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70806605"/>
    <w:bookmarkEnd w:id="1"/>
    <w:p w:rsidR="007D6E9A" w:rsidRDefault="00FA45D3" w:rsidP="003D5DBF">
      <w:pPr>
        <w:jc w:val="center"/>
      </w:pPr>
      <w:r>
        <w:object w:dxaOrig="23636" w:dyaOrig="1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.25pt;height:417.75pt" o:ole="">
            <v:imagedata r:id="rId8" o:title=""/>
          </v:shape>
          <o:OLEObject Type="Embed" ProgID="Excel.Sheet.12" ShapeID="_x0000_i1025" DrawAspect="Content" ObjectID="_1512800137" r:id="rId9"/>
        </w:object>
      </w:r>
    </w:p>
    <w:p w:rsidR="00EA5418" w:rsidRDefault="00EA5418" w:rsidP="00372F40">
      <w:pPr>
        <w:jc w:val="center"/>
      </w:pPr>
    </w:p>
    <w:bookmarkStart w:id="2" w:name="_MON_1470805999"/>
    <w:bookmarkEnd w:id="2"/>
    <w:p w:rsidR="00EA5418" w:rsidRDefault="00FA45D3" w:rsidP="0044253C">
      <w:pPr>
        <w:jc w:val="center"/>
      </w:pPr>
      <w:r>
        <w:object w:dxaOrig="25267" w:dyaOrig="18960">
          <v:shape id="_x0000_i1026" type="#_x0000_t75" style="width:587.25pt;height:439.5pt" o:ole="">
            <v:imagedata r:id="rId10" o:title=""/>
          </v:shape>
          <o:OLEObject Type="Embed" ProgID="Excel.Sheet.12" ShapeID="_x0000_i1026" DrawAspect="Content" ObjectID="_1512800138" r:id="rId11"/>
        </w:object>
      </w:r>
    </w:p>
    <w:bookmarkStart w:id="3" w:name="_MON_1470806992"/>
    <w:bookmarkEnd w:id="3"/>
    <w:p w:rsidR="00372F40" w:rsidRDefault="00BE4B24" w:rsidP="003E7FD0">
      <w:pPr>
        <w:jc w:val="center"/>
      </w:pPr>
      <w:r>
        <w:object w:dxaOrig="22094" w:dyaOrig="15695">
          <v:shape id="_x0000_i1027" type="#_x0000_t75" style="width:651.75pt;height:462.75pt" o:ole="">
            <v:imagedata r:id="rId12" o:title=""/>
          </v:shape>
          <o:OLEObject Type="Embed" ProgID="Excel.Sheet.12" ShapeID="_x0000_i1027" DrawAspect="Content" ObjectID="_1512800139" r:id="rId13"/>
        </w:object>
      </w:r>
    </w:p>
    <w:bookmarkStart w:id="4" w:name="_MON_1470807348"/>
    <w:bookmarkEnd w:id="4"/>
    <w:p w:rsidR="00372F40" w:rsidRDefault="00FA45D3" w:rsidP="008E3652">
      <w:pPr>
        <w:jc w:val="center"/>
      </w:pPr>
      <w:r>
        <w:object w:dxaOrig="18954" w:dyaOrig="12423">
          <v:shape id="_x0000_i1028" type="#_x0000_t75" style="width:690pt;height:452.25pt" o:ole="">
            <v:imagedata r:id="rId14" o:title=""/>
          </v:shape>
          <o:OLEObject Type="Embed" ProgID="Excel.Sheet.12" ShapeID="_x0000_i1028" DrawAspect="Content" ObjectID="_1512800140" r:id="rId15"/>
        </w:object>
      </w:r>
    </w:p>
    <w:bookmarkStart w:id="5" w:name="_MON_1470809138"/>
    <w:bookmarkEnd w:id="5"/>
    <w:p w:rsidR="00372F40" w:rsidRDefault="00FA45D3" w:rsidP="00522632">
      <w:pPr>
        <w:jc w:val="center"/>
      </w:pPr>
      <w:r>
        <w:object w:dxaOrig="17886" w:dyaOrig="12269">
          <v:shape id="_x0000_i1029" type="#_x0000_t75" style="width:635.25pt;height:434.25pt" o:ole="">
            <v:imagedata r:id="rId16" o:title=""/>
          </v:shape>
          <o:OLEObject Type="Embed" ProgID="Excel.Sheet.12" ShapeID="_x0000_i1029" DrawAspect="Content" ObjectID="_1512800141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14596"/>
    <w:bookmarkEnd w:id="6"/>
    <w:p w:rsidR="00E32708" w:rsidRDefault="00692C68" w:rsidP="00E32708">
      <w:pPr>
        <w:tabs>
          <w:tab w:val="left" w:pos="2430"/>
        </w:tabs>
        <w:jc w:val="center"/>
      </w:pPr>
      <w:r>
        <w:object w:dxaOrig="18312" w:dyaOrig="11218">
          <v:shape id="_x0000_i1030" type="#_x0000_t75" style="width:638.25pt;height:391.5pt" o:ole="">
            <v:imagedata r:id="rId18" o:title=""/>
          </v:shape>
          <o:OLEObject Type="Embed" ProgID="Excel.Sheet.12" ShapeID="_x0000_i1030" DrawAspect="Content" ObjectID="_1512800142" r:id="rId19"/>
        </w:object>
      </w:r>
    </w:p>
    <w:bookmarkStart w:id="7" w:name="_MON_1470810366"/>
    <w:bookmarkEnd w:id="7"/>
    <w:p w:rsidR="00E32708" w:rsidRDefault="00FA45D3" w:rsidP="00E32708">
      <w:pPr>
        <w:tabs>
          <w:tab w:val="left" w:pos="2430"/>
        </w:tabs>
        <w:jc w:val="center"/>
      </w:pPr>
      <w:r>
        <w:object w:dxaOrig="26040" w:dyaOrig="16796">
          <v:shape id="_x0000_i1031" type="#_x0000_t75" style="width:693.75pt;height:448.5pt" o:ole="">
            <v:imagedata r:id="rId20" o:title=""/>
          </v:shape>
          <o:OLEObject Type="Embed" ProgID="Excel.Sheet.12" ShapeID="_x0000_i1031" DrawAspect="Content" ObjectID="_1512800143" r:id="rId21"/>
        </w:object>
      </w:r>
    </w:p>
    <w:p w:rsidR="00372F40" w:rsidRPr="004219A4" w:rsidRDefault="00372F40">
      <w:pPr>
        <w:rPr>
          <w:rFonts w:ascii="Arial" w:hAnsi="Arial" w:cs="Arial"/>
          <w:sz w:val="18"/>
          <w:szCs w:val="18"/>
        </w:rPr>
      </w:pPr>
    </w:p>
    <w:p w:rsidR="00372F40" w:rsidRPr="004219A4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:rsidR="00621476" w:rsidRPr="004219A4" w:rsidRDefault="00621476">
      <w:pPr>
        <w:rPr>
          <w:rFonts w:ascii="Arial" w:hAnsi="Arial" w:cs="Arial"/>
          <w:sz w:val="18"/>
          <w:szCs w:val="18"/>
        </w:rPr>
      </w:pPr>
    </w:p>
    <w:p w:rsidR="00621476" w:rsidRPr="004219A4" w:rsidRDefault="004219A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Catastro n</w:t>
      </w:r>
      <w:r w:rsidR="00621476" w:rsidRPr="004219A4">
        <w:rPr>
          <w:rFonts w:ascii="Arial" w:hAnsi="Arial" w:cs="Arial"/>
          <w:sz w:val="18"/>
          <w:szCs w:val="18"/>
        </w:rPr>
        <w:t>o maneja pasivos contingentes</w:t>
      </w:r>
      <w:r>
        <w:rPr>
          <w:rFonts w:ascii="Arial" w:hAnsi="Arial" w:cs="Arial"/>
          <w:sz w:val="18"/>
          <w:szCs w:val="18"/>
        </w:rPr>
        <w:t>, toda vez que se trata de un ente descentralizado conforme a su Decreto de Creación.</w:t>
      </w: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a) NOTAS DE DESGLOSE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INCISO"/>
        <w:spacing w:after="0" w:line="240" w:lineRule="exact"/>
        <w:ind w:left="648"/>
        <w:rPr>
          <w:b/>
          <w:smallCaps/>
        </w:rPr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>Notas al Estado de Situación Financiera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Activo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</w:t>
      </w:r>
      <w:r w:rsidRPr="000F6B3C">
        <w:rPr>
          <w:lang w:val="es-MX"/>
        </w:rPr>
        <w:tab/>
        <w:t>El saldo por $</w:t>
      </w:r>
      <w:r w:rsidR="002A4338">
        <w:rPr>
          <w:lang w:val="es-MX"/>
        </w:rPr>
        <w:t>148,656.00</w:t>
      </w:r>
      <w:r w:rsidRPr="000F6B3C">
        <w:rPr>
          <w:lang w:val="es-MX"/>
        </w:rPr>
        <w:t xml:space="preserve"> corresponde a participaciones recibidas.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  <w:t>Se informa que el IDC cuenta derechos a recibir efectivo y equivalentes por $</w:t>
      </w:r>
      <w:r w:rsidR="002A4338">
        <w:rPr>
          <w:lang w:val="es-MX"/>
        </w:rPr>
        <w:t>5,069.00</w:t>
      </w:r>
      <w:r w:rsidRPr="000F6B3C">
        <w:rPr>
          <w:lang w:val="es-MX"/>
        </w:rPr>
        <w:t xml:space="preserve"> se estima que la factibilidad de cobro y/o cancelación sea a corto plazo, derivado</w:t>
      </w:r>
      <w:r w:rsidR="002A4338">
        <w:rPr>
          <w:lang w:val="es-MX"/>
        </w:rPr>
        <w:t xml:space="preserve"> a un depósito que está pendiente por realizarse por parte del Ex Administrativo del I.D.C.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Disponibles para su Transformación o Consumo (inventarios)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5.</w:t>
      </w:r>
      <w:r w:rsidRPr="000F6B3C">
        <w:rPr>
          <w:lang w:val="es-MX"/>
        </w:rPr>
        <w:tab/>
        <w:t>No se tiene la cuenta de Almacén.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Muebles, Inmuebles e Intangibles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  <w:t>El rubro de Bienes Muebles se integra de la siguiente manera:</w:t>
      </w:r>
    </w:p>
    <w:p w:rsidR="00DF3429" w:rsidRPr="000F6B3C" w:rsidRDefault="00DF3429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Equipo de transporte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$</w:t>
      </w:r>
      <w:r>
        <w:rPr>
          <w:lang w:val="es-MX"/>
        </w:rPr>
        <w:t>673,572.</w:t>
      </w:r>
      <w:r w:rsidRPr="000F6B3C">
        <w:rPr>
          <w:lang w:val="es-MX"/>
        </w:rPr>
        <w:t>00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Equipo de cómputo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</w:t>
      </w:r>
      <w:r w:rsidRPr="000F6B3C">
        <w:rPr>
          <w:lang w:val="es-MX"/>
        </w:rPr>
        <w:t xml:space="preserve">  </w:t>
      </w:r>
      <w:r>
        <w:rPr>
          <w:lang w:val="es-MX"/>
        </w:rPr>
        <w:t>3</w:t>
      </w:r>
      <w:proofErr w:type="gramStart"/>
      <w:r>
        <w:rPr>
          <w:lang w:val="es-MX"/>
        </w:rPr>
        <w:t>,999,960.00</w:t>
      </w:r>
      <w:proofErr w:type="gramEnd"/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>M</w:t>
      </w:r>
      <w:r w:rsidRPr="000F6B3C">
        <w:rPr>
          <w:lang w:val="es-MX"/>
        </w:rPr>
        <w:t>uebles de oficina y estantería</w:t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  </w:t>
      </w:r>
      <w:r>
        <w:rPr>
          <w:lang w:val="es-MX"/>
        </w:rPr>
        <w:t>506,372</w:t>
      </w:r>
      <w:r w:rsidRPr="000F6B3C">
        <w:rPr>
          <w:lang w:val="es-MX"/>
        </w:rPr>
        <w:t>.00</w:t>
      </w:r>
    </w:p>
    <w:p w:rsidR="00DF3429" w:rsidRPr="000F6B3C" w:rsidRDefault="00DF3429" w:rsidP="00DF3429">
      <w:pPr>
        <w:pStyle w:val="ROMANOS"/>
        <w:spacing w:after="0" w:line="240" w:lineRule="exact"/>
        <w:rPr>
          <w:u w:val="single"/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</w:t>
      </w:r>
      <w:r>
        <w:rPr>
          <w:lang w:val="es-MX"/>
        </w:rPr>
        <w:t>os de generación eléctrica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0F6B3C">
        <w:rPr>
          <w:lang w:val="es-MX"/>
        </w:rPr>
        <w:t xml:space="preserve"> </w:t>
      </w:r>
      <w:r w:rsidRPr="000F6B3C">
        <w:rPr>
          <w:u w:val="single"/>
          <w:lang w:val="es-MX"/>
        </w:rPr>
        <w:t xml:space="preserve">  </w:t>
      </w:r>
      <w:r>
        <w:rPr>
          <w:u w:val="single"/>
          <w:lang w:val="es-MX"/>
        </w:rPr>
        <w:t>298,600.00</w:t>
      </w: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Total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b/>
          <w:lang w:val="es-MX"/>
        </w:rPr>
        <w:t>$</w:t>
      </w:r>
      <w:r>
        <w:rPr>
          <w:b/>
          <w:lang w:val="es-MX"/>
        </w:rPr>
        <w:t>5</w:t>
      </w:r>
      <w:proofErr w:type="gramStart"/>
      <w:r>
        <w:rPr>
          <w:b/>
          <w:lang w:val="es-MX"/>
        </w:rPr>
        <w:t>,478,504.00</w:t>
      </w:r>
      <w:proofErr w:type="gramEnd"/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Es importante aclarar que el imp</w:t>
      </w:r>
      <w:r>
        <w:rPr>
          <w:lang w:val="es-MX"/>
        </w:rPr>
        <w:t>orte que se refleja en libros</w:t>
      </w:r>
      <w:r w:rsidRPr="000F6B3C">
        <w:rPr>
          <w:lang w:val="es-MX"/>
        </w:rPr>
        <w:t xml:space="preserve"> es el mismo al que se muestra</w:t>
      </w:r>
      <w:r>
        <w:rPr>
          <w:lang w:val="es-MX"/>
        </w:rPr>
        <w:t xml:space="preserve"> en el anexo de bienes muebles.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A la fecha de los estados financieros, no se ha calculado depreciación de bienes muebles.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De manera general, los bienes muebles se encuentran en buen y regular estado.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No se cuenta con bienes inmuebles.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9.</w:t>
      </w:r>
      <w:r w:rsidRPr="000F6B3C">
        <w:rPr>
          <w:lang w:val="es-MX"/>
        </w:rPr>
        <w:tab/>
      </w:r>
      <w:r>
        <w:rPr>
          <w:lang w:val="es-MX"/>
        </w:rPr>
        <w:t>No s</w:t>
      </w:r>
      <w:r w:rsidRPr="000F6B3C">
        <w:rPr>
          <w:lang w:val="es-MX"/>
        </w:rPr>
        <w:t>e cuenta con cuenta con los siguientes activos intangibles:</w:t>
      </w:r>
    </w:p>
    <w:p w:rsidR="00DF3429" w:rsidRPr="000F6B3C" w:rsidRDefault="00DF3429" w:rsidP="00DF3429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:rsidR="00C878E1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</w: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lastRenderedPageBreak/>
        <w:t>Estimaciones y Deterioros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:rsidR="00DF3429" w:rsidRPr="000F6B3C" w:rsidRDefault="00DF3429" w:rsidP="00DF3429">
      <w:pPr>
        <w:pStyle w:val="ROMANOS"/>
        <w:spacing w:after="0" w:line="240" w:lineRule="exact"/>
        <w:ind w:left="432"/>
        <w:rPr>
          <w:b/>
          <w:lang w:val="es-MX"/>
        </w:rPr>
      </w:pPr>
      <w:r w:rsidRPr="000F6B3C">
        <w:rPr>
          <w:b/>
          <w:lang w:val="es-MX"/>
        </w:rPr>
        <w:t>Pasivo</w:t>
      </w:r>
    </w:p>
    <w:p w:rsidR="00DF3429" w:rsidRDefault="002A4338" w:rsidP="002A4338">
      <w:pPr>
        <w:pStyle w:val="ROMANOS"/>
        <w:numPr>
          <w:ilvl w:val="0"/>
          <w:numId w:val="6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No </w:t>
      </w:r>
      <w:r w:rsidR="00DF3429">
        <w:rPr>
          <w:lang w:val="es-MX"/>
        </w:rPr>
        <w:t>Existen pasivos</w:t>
      </w:r>
      <w:r>
        <w:rPr>
          <w:lang w:val="es-MX"/>
        </w:rPr>
        <w:t>.</w:t>
      </w:r>
    </w:p>
    <w:p w:rsidR="002A4338" w:rsidRPr="000F6B3C" w:rsidRDefault="002A4338" w:rsidP="002A4338">
      <w:pPr>
        <w:pStyle w:val="ROMANOS"/>
        <w:spacing w:after="0" w:line="240" w:lineRule="exact"/>
        <w:ind w:left="723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II)</w:t>
      </w:r>
      <w:r w:rsidRPr="000F6B3C">
        <w:rPr>
          <w:b/>
          <w:smallCaps/>
        </w:rPr>
        <w:tab/>
        <w:t>Notas al Estado de Actividades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Ingresos de Gestión</w:t>
      </w:r>
    </w:p>
    <w:p w:rsidR="00DF3429" w:rsidRPr="000F6B3C" w:rsidRDefault="00DF3429" w:rsidP="00DF3429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registraron ingresos por Participaciones en cantidad de $</w:t>
      </w:r>
      <w:r w:rsidR="002A4338">
        <w:rPr>
          <w:lang w:val="es-MX"/>
        </w:rPr>
        <w:t>4</w:t>
      </w:r>
      <w:proofErr w:type="gramStart"/>
      <w:r w:rsidR="002A4338">
        <w:rPr>
          <w:lang w:val="es-MX"/>
        </w:rPr>
        <w:t>,742,011.00</w:t>
      </w:r>
      <w:proofErr w:type="gramEnd"/>
      <w:r w:rsidR="002A4338">
        <w:rPr>
          <w:lang w:val="es-MX"/>
        </w:rPr>
        <w:t xml:space="preserve"> </w:t>
      </w:r>
      <w:r w:rsidRPr="000F6B3C">
        <w:rPr>
          <w:lang w:val="es-MX"/>
        </w:rPr>
        <w:t>Cabe señalar que de éste importe, únicamente se recibieron efectivamente $</w:t>
      </w:r>
      <w:r w:rsidR="002A4338">
        <w:rPr>
          <w:lang w:val="es-MX"/>
        </w:rPr>
        <w:t>1,018,149.00</w:t>
      </w:r>
      <w:r w:rsidRPr="000F6B3C">
        <w:rPr>
          <w:lang w:val="es-MX"/>
        </w:rPr>
        <w:t xml:space="preserve"> el resto corresponde a cargos por concepto de nómina, y que no se recibieron, ya que son directamente cubiertos por el Gobierno del Estado de Tlaxcala.</w:t>
      </w:r>
    </w:p>
    <w:p w:rsidR="00DF3429" w:rsidRPr="000F6B3C" w:rsidRDefault="00DF3429" w:rsidP="00DF3429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Gastos y Otras Pérdidas:</w:t>
      </w:r>
    </w:p>
    <w:p w:rsidR="00DF3429" w:rsidRDefault="00DF3429" w:rsidP="00DF3429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Los gastos por concepto de Servicios Personales ascienden a $</w:t>
      </w:r>
      <w:r w:rsidR="002A4338">
        <w:rPr>
          <w:lang w:val="es-MX"/>
        </w:rPr>
        <w:t>4,005,534.00</w:t>
      </w:r>
      <w:r w:rsidR="000B062C">
        <w:rPr>
          <w:lang w:val="es-MX"/>
        </w:rPr>
        <w:t xml:space="preserve"> </w:t>
      </w:r>
      <w:r w:rsidRPr="000F6B3C">
        <w:rPr>
          <w:lang w:val="es-MX"/>
        </w:rPr>
        <w:t>mismos que incluyen remuneraciones al personal de carácter permanente, remuneraciones adicionales y especiales (aguinaldo y prima vacacional), otras compensaciones (cuotas despensa, servicio médico, aportaciones a pensiones).</w:t>
      </w:r>
    </w:p>
    <w:p w:rsidR="00DF3429" w:rsidRPr="000F6B3C" w:rsidRDefault="00DF3429" w:rsidP="00DF3429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Los materiales y suministros se registraron erogaciones por $</w:t>
      </w:r>
      <w:r w:rsidR="002A4338">
        <w:rPr>
          <w:lang w:val="es-MX"/>
        </w:rPr>
        <w:t>319,533.00</w:t>
      </w:r>
    </w:p>
    <w:p w:rsidR="00DF3429" w:rsidRDefault="00DF3429" w:rsidP="00DF3429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9265DF">
        <w:rPr>
          <w:lang w:val="es-MX"/>
        </w:rPr>
        <w:t>En Servicios Generales se registraron erogaciones por $</w:t>
      </w:r>
      <w:r w:rsidR="002A4338">
        <w:rPr>
          <w:lang w:val="es-MX"/>
        </w:rPr>
        <w:t>237,730.00</w:t>
      </w:r>
    </w:p>
    <w:p w:rsidR="00DF3429" w:rsidRPr="000F6B3C" w:rsidRDefault="00DF3429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III)</w:t>
      </w:r>
      <w:r w:rsidRPr="000F6B3C">
        <w:rPr>
          <w:b/>
          <w:smallCaps/>
        </w:rPr>
        <w:tab/>
        <w:t>Notas al Estado de Variación en la Hacienda Pública</w:t>
      </w:r>
    </w:p>
    <w:p w:rsidR="00DF3429" w:rsidRDefault="00DF3429" w:rsidP="00DF342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 xml:space="preserve">Se informa que el patrimonio contribuido se modificó debido a </w:t>
      </w:r>
      <w:r w:rsidR="002A4338">
        <w:rPr>
          <w:lang w:val="es-MX"/>
        </w:rPr>
        <w:t>la cancelación de la cuenta de Deudores diversos</w:t>
      </w:r>
      <w:r w:rsidR="00295745">
        <w:rPr>
          <w:lang w:val="es-MX"/>
        </w:rPr>
        <w:t xml:space="preserve"> por $42,600.00</w:t>
      </w:r>
      <w:r w:rsidR="002A4338">
        <w:rPr>
          <w:lang w:val="es-MX"/>
        </w:rPr>
        <w:t>, toda vez que la SPYF no depositó el recur</w:t>
      </w:r>
      <w:r w:rsidR="00295745">
        <w:rPr>
          <w:lang w:val="es-MX"/>
        </w:rPr>
        <w:t xml:space="preserve">so a la cuenta bancaria del IDC y liquidó al cien por ciento a la empresa “E Sistemas de Colaboración e Internet S.C.”, correspondiente a un cargo presupuestario en el ejercicio fiscal 2014, </w:t>
      </w:r>
      <w:r w:rsidR="002A4338">
        <w:rPr>
          <w:lang w:val="es-MX"/>
        </w:rPr>
        <w:t xml:space="preserve"> reflejando así un saldo de -$25,497.</w:t>
      </w:r>
      <w:r>
        <w:rPr>
          <w:lang w:val="es-MX"/>
        </w:rPr>
        <w:t>00</w:t>
      </w:r>
      <w:r w:rsidR="00295745">
        <w:rPr>
          <w:lang w:val="es-MX"/>
        </w:rPr>
        <w:t>.</w:t>
      </w:r>
    </w:p>
    <w:p w:rsidR="00DF3429" w:rsidRDefault="00DF3429" w:rsidP="00DF342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Se informa </w:t>
      </w:r>
      <w:r w:rsidRPr="000F6B3C">
        <w:rPr>
          <w:lang w:val="es-MX"/>
        </w:rPr>
        <w:t xml:space="preserve">que el patrimonio generado en el ejercicio (resultado del ejercicio) </w:t>
      </w:r>
      <w:r w:rsidR="002A4338">
        <w:rPr>
          <w:lang w:val="es-MX"/>
        </w:rPr>
        <w:t>es de $179,222.00</w:t>
      </w:r>
    </w:p>
    <w:p w:rsidR="00DF3429" w:rsidRPr="000F6B3C" w:rsidRDefault="00DF3429" w:rsidP="00DF342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>
        <w:rPr>
          <w:lang w:val="es-MX"/>
        </w:rPr>
        <w:t>Hubo modificaciones en el patrimonio Bienes muebles por -$11</w:t>
      </w:r>
      <w:proofErr w:type="gramStart"/>
      <w:r>
        <w:rPr>
          <w:lang w:val="es-MX"/>
        </w:rPr>
        <w:t>,770,777.00</w:t>
      </w:r>
      <w:proofErr w:type="gramEnd"/>
      <w:r>
        <w:rPr>
          <w:lang w:val="es-MX"/>
        </w:rPr>
        <w:t xml:space="preserve"> por concepto de bajas, en bienes intangibles.</w:t>
      </w:r>
    </w:p>
    <w:p w:rsidR="00DF3429" w:rsidRPr="000F6B3C" w:rsidRDefault="00DF3429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IV)</w:t>
      </w:r>
      <w:r w:rsidRPr="000F6B3C">
        <w:rPr>
          <w:b/>
          <w:smallCaps/>
        </w:rPr>
        <w:tab/>
        <w:t xml:space="preserve">Notas al Estado de Flujos de Efectivo 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:rsidR="00DF3429" w:rsidRPr="000F6B3C" w:rsidRDefault="00DF3429" w:rsidP="00DF3429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47276" w:rsidRPr="000F6B3C" w:rsidRDefault="00147276" w:rsidP="00147276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/>
      </w:tblPr>
      <w:tblGrid>
        <w:gridCol w:w="4245"/>
        <w:gridCol w:w="1300"/>
        <w:gridCol w:w="1031"/>
      </w:tblGrid>
      <w:tr w:rsidR="00147276" w:rsidRPr="000F6B3C" w:rsidTr="00DF3429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201</w:t>
            </w:r>
            <w:r>
              <w:rPr>
                <w:szCs w:val="18"/>
                <w:lang w:val="es-MX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201</w:t>
            </w:r>
            <w:r>
              <w:rPr>
                <w:szCs w:val="18"/>
                <w:lang w:val="es-MX"/>
              </w:rPr>
              <w:t>4</w:t>
            </w:r>
          </w:p>
        </w:tc>
      </w:tr>
      <w:tr w:rsidR="00147276" w:rsidRPr="000F6B3C" w:rsidTr="00DF3429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2A4338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148,656.00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57,095.00</w:t>
            </w:r>
          </w:p>
        </w:tc>
      </w:tr>
      <w:tr w:rsidR="00147276" w:rsidRPr="000F6B3C" w:rsidTr="00DF3429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DF3429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DF3429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DF3429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DF3429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2A4338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148,656.00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57,095.00</w:t>
            </w:r>
          </w:p>
        </w:tc>
      </w:tr>
    </w:tbl>
    <w:p w:rsidR="00147276" w:rsidRPr="000F6B3C" w:rsidRDefault="00147276" w:rsidP="000416C6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147276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  <w:t>No se adquirieron bi</w:t>
      </w:r>
      <w:r>
        <w:rPr>
          <w:lang w:val="es-MX"/>
        </w:rPr>
        <w:t>enes muebles e inmuebles.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</w:t>
      </w:r>
      <w:r w:rsidRPr="000F6B3C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/>
      </w:tblPr>
      <w:tblGrid>
        <w:gridCol w:w="6677"/>
        <w:gridCol w:w="1148"/>
        <w:gridCol w:w="1134"/>
      </w:tblGrid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201</w:t>
            </w:r>
            <w:r>
              <w:rPr>
                <w:szCs w:val="18"/>
                <w:lang w:val="es-MX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201</w:t>
            </w:r>
            <w:r>
              <w:rPr>
                <w:szCs w:val="18"/>
                <w:lang w:val="es-MX"/>
              </w:rPr>
              <w:t>4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2A4338" w:rsidP="000416C6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179,222.00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365,832.00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0F6B3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</w:tbl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  <w:lang w:val="es-MX"/>
        </w:rPr>
        <w:t>Se informa que el Instituto de Catastro tuvo una variación en flu</w:t>
      </w:r>
      <w:r>
        <w:rPr>
          <w:szCs w:val="18"/>
          <w:lang w:val="es-MX"/>
        </w:rPr>
        <w:t>j</w:t>
      </w:r>
      <w:r w:rsidR="000B062C">
        <w:rPr>
          <w:szCs w:val="18"/>
          <w:lang w:val="es-MX"/>
        </w:rPr>
        <w:t xml:space="preserve">os de efectivo </w:t>
      </w:r>
      <w:r w:rsidR="000416C6">
        <w:rPr>
          <w:szCs w:val="18"/>
          <w:lang w:val="es-MX"/>
        </w:rPr>
        <w:t>por el importe $</w:t>
      </w:r>
      <w:r w:rsidR="002A4338">
        <w:rPr>
          <w:szCs w:val="18"/>
          <w:lang w:val="es-MX"/>
        </w:rPr>
        <w:t>91,561.00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  <w:lang w:val="es-MX"/>
        </w:rPr>
        <w:t>La conciliación se presentará atendiendo a lo dispuesto por el Acuerdo por el que se emite el formato de conciliación entre los ingresos presupuestarios y contables, así como entre los egresos presupuestarios y los gastos contables.</w:t>
      </w:r>
    </w:p>
    <w:p w:rsidR="00147276" w:rsidRPr="000F6B3C" w:rsidRDefault="00372E75" w:rsidP="00147276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noProof/>
          <w:szCs w:val="18"/>
        </w:rPr>
        <w:pict>
          <v:shape id="_x0000_s1047" type="#_x0000_t75" style="position:absolute;left:0;text-align:left;margin-left:331.95pt;margin-top:15.6pt;width:355.95pt;height:182.65pt;z-index:251665408">
            <v:imagedata r:id="rId22" o:title=""/>
            <w10:wrap type="topAndBottom"/>
          </v:shape>
          <o:OLEObject Type="Embed" ProgID="Excel.Sheet.12" ShapeID="_x0000_s1047" DrawAspect="Content" ObjectID="_1512800144" r:id="rId23"/>
        </w:pict>
      </w:r>
      <w:r w:rsidRPr="00372E75">
        <w:rPr>
          <w:noProof/>
          <w:szCs w:val="18"/>
          <w:lang w:val="es-MX" w:eastAsia="es-MX"/>
        </w:rPr>
        <w:pict>
          <v:shape id="_x0000_s1046" type="#_x0000_t75" style="position:absolute;left:0;text-align:left;margin-left:-9.8pt;margin-top:15.6pt;width:384.85pt;height:186.7pt;z-index:251664384">
            <v:imagedata r:id="rId24" o:title=""/>
            <w10:wrap type="topAndBottom"/>
          </v:shape>
          <o:OLEObject Type="Embed" ProgID="Excel.Sheet.12" ShapeID="_x0000_s1046" DrawAspect="Content" ObjectID="_1512800145" r:id="rId25"/>
        </w:pict>
      </w: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szCs w:val="18"/>
        </w:rPr>
        <w:t xml:space="preserve"> </w:t>
      </w:r>
      <w:r w:rsidRPr="000F6B3C">
        <w:rPr>
          <w:b/>
          <w:szCs w:val="18"/>
        </w:rPr>
        <w:t>b)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NOTAS DE MEMORIA (CUENTAS DE ORDEN)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>No se registraron movimientos en las cuentas de orden Contables</w:t>
      </w:r>
      <w:r w:rsidR="004219A4">
        <w:rPr>
          <w:szCs w:val="18"/>
        </w:rPr>
        <w:t xml:space="preserve"> ya que son cuentas que no maneja el IDC</w:t>
      </w:r>
      <w:r>
        <w:rPr>
          <w:szCs w:val="18"/>
        </w:rPr>
        <w:t xml:space="preserve">: </w:t>
      </w:r>
    </w:p>
    <w:p w:rsidR="00856D32" w:rsidRPr="00856D32" w:rsidRDefault="00856D32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Contables: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Contratos para Inversión Mediante Proyectos para Prestación de Servicios (PPS) y Similares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856D32" w:rsidRPr="00856D32" w:rsidRDefault="00856D32" w:rsidP="00856D32">
      <w:pPr>
        <w:pStyle w:val="Texto"/>
        <w:spacing w:after="0" w:line="240" w:lineRule="exact"/>
        <w:ind w:firstLine="0"/>
        <w:rPr>
          <w:i/>
          <w:szCs w:val="18"/>
        </w:rPr>
      </w:pPr>
      <w:r w:rsidRPr="00856D32">
        <w:rPr>
          <w:szCs w:val="18"/>
        </w:rPr>
        <w:t xml:space="preserve">Y con lo que respecta a las cuentas de orden </w:t>
      </w:r>
      <w:r w:rsidRPr="00856D32">
        <w:rPr>
          <w:b/>
          <w:szCs w:val="18"/>
        </w:rPr>
        <w:t>Presupuestarias</w:t>
      </w:r>
      <w:r w:rsidRPr="00856D32">
        <w:rPr>
          <w:szCs w:val="18"/>
        </w:rPr>
        <w:t>,  se informa que quedaron salda</w:t>
      </w:r>
      <w:r w:rsidR="004219A4">
        <w:rPr>
          <w:szCs w:val="18"/>
        </w:rPr>
        <w:t>da</w:t>
      </w:r>
      <w:r w:rsidRPr="00856D32">
        <w:rPr>
          <w:szCs w:val="18"/>
        </w:rPr>
        <w:t>s ya que se trata del cierre del ejercicio fiscal, por lo que no hay información a revelar.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Presupuestarias: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ingresos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egresos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</w:rPr>
        <w:t>Se informará,</w:t>
      </w:r>
      <w:r w:rsidRPr="000F6B3C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 Los valores en custodia de instrumentos prestados a formadores de mercado e instrumentos de crédito recibidos en garantía de los formadores de mercado u otros.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 Por tipo de emisión de instrumento: monto, tasa y vencimiento.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 Los contratos firmados de construcciones por tipo de contrato.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c) NOTAS DE GESTIÓN ADMINISTRATIVA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0B062C" w:rsidRPr="000F6B3C" w:rsidRDefault="00147276" w:rsidP="000B062C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  <w:lang w:val="es-MX"/>
        </w:rPr>
        <w:t>1.</w:t>
      </w:r>
      <w:r w:rsidRPr="000F6B3C">
        <w:rPr>
          <w:b/>
          <w:szCs w:val="18"/>
          <w:lang w:val="es-MX"/>
        </w:rPr>
        <w:tab/>
      </w:r>
      <w:r w:rsidR="000B062C" w:rsidRPr="000F6B3C">
        <w:rPr>
          <w:b/>
          <w:szCs w:val="18"/>
          <w:lang w:val="es-MX"/>
        </w:rPr>
        <w:t>Introducción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Los Estados Financieros del Instituto de Catastro del Estado de Tlaxcala, proveen de información financiera a los principales usuarios de la misma, al Congreso y a los ciudadanos.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objetivo del presente documento es proporcionar información relevante de los aspectos económicos-financieros que influyeron en las deci</w:t>
      </w:r>
      <w:r>
        <w:rPr>
          <w:szCs w:val="18"/>
        </w:rPr>
        <w:t>siones del ejercicio fiscal 2015</w:t>
      </w:r>
      <w:r w:rsidRPr="000F6B3C">
        <w:rPr>
          <w:szCs w:val="18"/>
        </w:rPr>
        <w:t xml:space="preserve"> y que fueron considerados en la elaboración de los estados financieros para la mayor comprensión de los mismos y sus particularidades.</w:t>
      </w:r>
    </w:p>
    <w:p w:rsidR="00856D32" w:rsidRDefault="00856D32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lastRenderedPageBreak/>
        <w:t>Para el Instituto de Catastro del Estado de Tlaxcala, la elaboración de los estados financieros ha sido un gran reto, ya que la migración de la contabilidad tradicional a la contabilidad armonizada, implicó la incorporaron de los lineamientos que fueron publicados a través del  CONAC, para dar cumplimiento a la Ley General de Contabilidad Gubernamental, por lo que dicha adaptación no afectará la toma de decisiones en los periodos posteriores.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2.</w:t>
      </w:r>
      <w:r w:rsidRPr="000F6B3C">
        <w:rPr>
          <w:b/>
          <w:szCs w:val="18"/>
          <w:lang w:val="es-MX"/>
        </w:rPr>
        <w:tab/>
        <w:t>Panorama Económico y Financiero</w:t>
      </w:r>
    </w:p>
    <w:p w:rsidR="000B062C" w:rsidRPr="003A2603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Instituto de Catastro del Estado de Tlaxcala contó con un presupuesto autorizado y publicado en el periódico oficial del Gobierno del Estado de Tlaxcala, de</w:t>
      </w:r>
      <w:r>
        <w:rPr>
          <w:szCs w:val="18"/>
        </w:rPr>
        <w:t xml:space="preserve"> $5,070,421.00</w:t>
      </w:r>
      <w:r w:rsidRPr="000F6B3C">
        <w:rPr>
          <w:szCs w:val="18"/>
        </w:rPr>
        <w:t>,</w:t>
      </w:r>
      <w:r>
        <w:rPr>
          <w:szCs w:val="18"/>
        </w:rPr>
        <w:t xml:space="preserve"> </w:t>
      </w:r>
      <w:r w:rsidRPr="00962FC4">
        <w:t>publicado en el periódico oficial el 29 de diciembre de 2014</w:t>
      </w:r>
      <w:r w:rsidRPr="000F6B3C">
        <w:rPr>
          <w:szCs w:val="18"/>
        </w:rPr>
        <w:t xml:space="preserve"> sin embargo derivado de </w:t>
      </w:r>
      <w:r>
        <w:rPr>
          <w:szCs w:val="18"/>
        </w:rPr>
        <w:t>las medidas de austeridad y racionalidad del gasto se vio en la necesidad de reducir el presupuesto anual autorizado por $253,521.00, dicha reducción surtió efectos a partir del mes de abril de 2015, tal y como se autor</w:t>
      </w:r>
      <w:r w:rsidR="003A2603">
        <w:rPr>
          <w:szCs w:val="18"/>
        </w:rPr>
        <w:t>izó a través de Consejo Técnico; sin embargo al 18 de diciembre hubo una reducción al presupuesto por indicaciones superiores correspondiente al importe de $153,767.00 en el capítulo 1000 “Servicios Personales”, quedando el Presupuesto Anual Modificado de $ 4,663,133.00.</w:t>
      </w:r>
    </w:p>
    <w:p w:rsidR="00147276" w:rsidRPr="000B062C" w:rsidRDefault="00147276" w:rsidP="003A2603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3.</w:t>
      </w:r>
      <w:r w:rsidRPr="000F6B3C">
        <w:rPr>
          <w:b/>
          <w:szCs w:val="18"/>
          <w:lang w:val="es-MX"/>
        </w:rPr>
        <w:tab/>
        <w:t>Autorización e Historia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fue creado el 30 de enero de 2003, tal y como lo establece el Decreto que crea el Instituto de Catastro del Estado de Tlaxcala, publicado en el Periódico Oficial del Gobierno del Estado de Tlaxcala.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4.</w:t>
      </w:r>
      <w:r w:rsidRPr="000F6B3C">
        <w:rPr>
          <w:b/>
          <w:szCs w:val="18"/>
          <w:lang w:val="es-MX"/>
        </w:rPr>
        <w:tab/>
        <w:t>Organización y Objeto Social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:rsidR="00147276" w:rsidRPr="000F6B3C" w:rsidRDefault="00147276" w:rsidP="00147276">
      <w:pPr>
        <w:pStyle w:val="INCISO"/>
        <w:spacing w:after="0" w:line="240" w:lineRule="exact"/>
      </w:pPr>
      <w:r>
        <w:t>c)</w:t>
      </w:r>
      <w:r>
        <w:tab/>
        <w:t>Ejercicio fiscal: 2015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Régimen jurídico: Organismo público desconcentrado.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Consideraciones fiscales del ente: El Instituto de Catastro no está obligado a pagar  ningún tipo de contribución, sin embargo en caso de la prestación de servicios personales independientes (honorarios), está obligado a realizar la retención y entero del ISR.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 xml:space="preserve">Estructura organizacional básica: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1 Director General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4 Jefes de departamento (Administrativo, valuación, topografía y gestión y coordinación).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2 Jefes de Oficina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4 analistas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1 auxiliar de mantenimiento</w:t>
      </w:r>
    </w:p>
    <w:p w:rsidR="00147276" w:rsidRDefault="00147276" w:rsidP="00147276">
      <w:pPr>
        <w:pStyle w:val="INCISO"/>
        <w:spacing w:after="0" w:line="240" w:lineRule="exact"/>
      </w:pPr>
      <w:r>
        <w:t>1 Auxiliar administrativo</w:t>
      </w:r>
    </w:p>
    <w:p w:rsidR="00147276" w:rsidRDefault="00147276" w:rsidP="00147276">
      <w:pPr>
        <w:pStyle w:val="INCISO"/>
        <w:spacing w:after="0" w:line="240" w:lineRule="exact"/>
      </w:pPr>
      <w:r>
        <w:t>1 Auxiliar de archivo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5.</w:t>
      </w:r>
      <w:r w:rsidRPr="000F6B3C">
        <w:rPr>
          <w:b/>
          <w:szCs w:val="18"/>
          <w:lang w:val="es-MX"/>
        </w:rPr>
        <w:tab/>
        <w:t>Bases de Preparación de los Estados Financieros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lastRenderedPageBreak/>
        <w:t>a)</w:t>
      </w:r>
      <w:r w:rsidRPr="000F6B3C">
        <w:tab/>
        <w:t>Los Estado Financieros se han elaborado en base a la normatividad emitida por el CONAC y las disposiciones legales aplicables.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:rsidR="00147276" w:rsidRPr="000F6B3C" w:rsidRDefault="00147276" w:rsidP="00147276">
      <w:pPr>
        <w:pStyle w:val="Texto"/>
        <w:spacing w:after="0" w:line="240" w:lineRule="exact"/>
        <w:ind w:left="1440" w:hanging="36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6.</w:t>
      </w:r>
      <w:r w:rsidRPr="000F6B3C">
        <w:rPr>
          <w:b/>
          <w:szCs w:val="18"/>
          <w:lang w:val="es-MX"/>
        </w:rPr>
        <w:tab/>
        <w:t>Políticas de Contabilidad Significativas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implementa ningún Sistema y método de valuación de inventarios, en virtud de que no se utiliza esta cuenta.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:rsidR="00147276" w:rsidRPr="000F6B3C" w:rsidRDefault="00147276" w:rsidP="00147276">
      <w:pPr>
        <w:pStyle w:val="INCISO"/>
        <w:spacing w:after="0" w:line="240" w:lineRule="exact"/>
      </w:pPr>
      <w:r>
        <w:t>f)</w:t>
      </w:r>
      <w:r>
        <w:tab/>
        <w:t>S</w:t>
      </w:r>
      <w:r w:rsidRPr="000F6B3C">
        <w:t>e cuenta con pasivos por concepto de Provisiones</w:t>
      </w:r>
      <w:r>
        <w:t xml:space="preserve"> de gasto médico</w:t>
      </w:r>
      <w:r w:rsidRPr="000F6B3C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fiscal 2015</w:t>
      </w:r>
      <w:r w:rsidRPr="000F6B3C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7.</w:t>
      </w:r>
      <w:r w:rsidRPr="000F6B3C">
        <w:rPr>
          <w:b/>
          <w:szCs w:val="18"/>
          <w:lang w:val="es-MX"/>
        </w:rPr>
        <w:tab/>
        <w:t>Posición en Moneda Extranjera y Protección por Riesgo Cambiario</w:t>
      </w:r>
    </w:p>
    <w:p w:rsidR="00856D32" w:rsidRDefault="00856D32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Las operaciones que realiza el Instituto de Catastro, son en Moneda Nacional, por lo que no hay información a revelar con respecto a Moneda Extranjera.</w:t>
      </w:r>
    </w:p>
    <w:p w:rsidR="00147276" w:rsidRPr="000F6B3C" w:rsidRDefault="00856D32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 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8. Reporte Analítico del Activo</w:t>
      </w:r>
    </w:p>
    <w:p w:rsidR="00147276" w:rsidRPr="000F6B3C" w:rsidRDefault="00147276" w:rsidP="00147276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:rsidR="00147276" w:rsidRPr="000F6B3C" w:rsidRDefault="00147276" w:rsidP="00147276">
      <w:pPr>
        <w:pStyle w:val="INCISO"/>
        <w:spacing w:after="0" w:line="240" w:lineRule="exact"/>
      </w:pPr>
      <w:r>
        <w:t>e)</w:t>
      </w:r>
      <w:r>
        <w:tab/>
        <w:t>Se dieron de baja en saldos de bienes muebles por actualización de inventario con respecto al inventario físico, por el importe de $11</w:t>
      </w:r>
      <w:proofErr w:type="gramStart"/>
      <w:r>
        <w:t>,770,777.00</w:t>
      </w:r>
      <w:proofErr w:type="gramEnd"/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:rsidR="00147276" w:rsidRPr="000F6B3C" w:rsidRDefault="004219A4" w:rsidP="00147276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="00147276" w:rsidRPr="000F6B3C">
        <w:t>el Desmantelamiento de Activos, procedimientos, implicaciones, efectos contables</w:t>
      </w: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registraron Inversiones en valores.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El Patrimonio del IDC se modifico por afectación resultados de ejercicios anteriores por el importe de $</w:t>
      </w:r>
      <w:r>
        <w:t>89,744.00</w:t>
      </w:r>
      <w:r w:rsidRPr="000F6B3C">
        <w:t xml:space="preserve">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empresas de participación mayoritaria.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lastRenderedPageBreak/>
        <w:t>d)</w:t>
      </w:r>
      <w:r w:rsidRPr="000F6B3C">
        <w:tab/>
        <w:t>No se tienen inversiones en empresas de participación minoritaria.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9.</w:t>
      </w:r>
      <w:r w:rsidRPr="000F6B3C">
        <w:rPr>
          <w:b/>
          <w:szCs w:val="18"/>
          <w:lang w:val="es-MX"/>
        </w:rPr>
        <w:tab/>
        <w:t>Fideicomisos, Mandatos y Análogos</w:t>
      </w:r>
    </w:p>
    <w:p w:rsidR="00147276" w:rsidRPr="000F6B3C" w:rsidRDefault="0053035D" w:rsidP="00147276">
      <w:pPr>
        <w:pStyle w:val="INCISO"/>
        <w:spacing w:after="0" w:line="240" w:lineRule="exact"/>
      </w:pPr>
      <w:r>
        <w:t xml:space="preserve">No se cuentan con Fideicomisos, Mandatos y Análogos. 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10.</w:t>
      </w:r>
      <w:r w:rsidRPr="000F6B3C">
        <w:rPr>
          <w:b/>
          <w:szCs w:val="18"/>
          <w:lang w:val="es-MX"/>
        </w:rPr>
        <w:tab/>
        <w:t>Reporte de la Recaudación</w:t>
      </w:r>
    </w:p>
    <w:p w:rsidR="00147276" w:rsidRPr="000F6B3C" w:rsidRDefault="0053035D" w:rsidP="00147276">
      <w:pPr>
        <w:pStyle w:val="INCISO"/>
        <w:spacing w:after="0" w:line="240" w:lineRule="exact"/>
      </w:pPr>
      <w:r>
        <w:t>El Instituto de Catastro no registra recaudación.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11.</w:t>
      </w:r>
      <w:r w:rsidRPr="000F6B3C">
        <w:rPr>
          <w:b/>
          <w:szCs w:val="18"/>
          <w:lang w:val="es-MX"/>
        </w:rPr>
        <w:tab/>
        <w:t>Información sobre la Deuda y el Reporte Analítico de la Deuda</w:t>
      </w:r>
    </w:p>
    <w:p w:rsidR="00147276" w:rsidRDefault="0053035D" w:rsidP="00147276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>No se cuenta con Deuda.</w:t>
      </w:r>
    </w:p>
    <w:p w:rsidR="0053035D" w:rsidRPr="000F6B3C" w:rsidRDefault="0053035D" w:rsidP="00147276">
      <w:pPr>
        <w:pStyle w:val="INCISO"/>
        <w:spacing w:after="0" w:line="240" w:lineRule="exact"/>
        <w:rPr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12. Calificaciones otorgadas</w:t>
      </w:r>
    </w:p>
    <w:p w:rsidR="00147276" w:rsidRPr="000F6B3C" w:rsidRDefault="0053035D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</w:t>
      </w:r>
      <w:r w:rsidR="00147276" w:rsidRPr="000F6B3C">
        <w:rPr>
          <w:szCs w:val="18"/>
        </w:rPr>
        <w:t>El Instituto de Catastro no ha sido sujeto a una calificación crediticia.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13.</w:t>
      </w:r>
      <w:r w:rsidRPr="000F6B3C">
        <w:rPr>
          <w:b/>
          <w:szCs w:val="18"/>
          <w:lang w:val="es-MX"/>
        </w:rPr>
        <w:tab/>
        <w:t>Proceso de Mejora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de: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Principales Políticas de control interno son las que establece el Reglamento interior del IDC</w:t>
      </w:r>
    </w:p>
    <w:p w:rsidR="00147276" w:rsidRPr="000F6B3C" w:rsidRDefault="0053035D" w:rsidP="00147276">
      <w:pPr>
        <w:pStyle w:val="INCISO"/>
        <w:spacing w:after="0" w:line="240" w:lineRule="exact"/>
      </w:pPr>
      <w:r>
        <w:t>b)</w:t>
      </w:r>
      <w:r>
        <w:tab/>
        <w:t>Indicadores presupuestales que revela las m</w:t>
      </w:r>
      <w:r w:rsidR="00147276" w:rsidRPr="000F6B3C">
        <w:t>edidas de desempeño financiero,</w:t>
      </w:r>
      <w:r>
        <w:t xml:space="preserve"> e indicadores programáticos que revela el cumplimiento de</w:t>
      </w:r>
      <w:r w:rsidR="00147276" w:rsidRPr="000F6B3C">
        <w:t xml:space="preserve"> metas y alcance.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14.</w:t>
      </w:r>
      <w:r w:rsidRPr="000F6B3C">
        <w:rPr>
          <w:b/>
          <w:szCs w:val="18"/>
          <w:lang w:val="es-MX"/>
        </w:rPr>
        <w:tab/>
        <w:t>Información por Segmentos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  <w:lang w:val="es-MX"/>
        </w:rPr>
        <w:t>Cuando  es necesario revelar la información financiera de manera segmentada.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15.</w:t>
      </w:r>
      <w:r w:rsidRPr="000F6B3C">
        <w:rPr>
          <w:b/>
          <w:szCs w:val="18"/>
          <w:lang w:val="es-MX"/>
        </w:rPr>
        <w:tab/>
        <w:t>Eventos Posteriores al Cierre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:rsidR="00147276" w:rsidRPr="000F6B3C" w:rsidRDefault="0053035D" w:rsidP="0053035D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="00147276" w:rsidRPr="000F6B3C">
        <w:rPr>
          <w:szCs w:val="18"/>
        </w:rPr>
        <w:t>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:rsidR="00147276" w:rsidRPr="00367222" w:rsidRDefault="00372E75" w:rsidP="00147276">
      <w:pPr>
        <w:pStyle w:val="Texto"/>
        <w:spacing w:line="240" w:lineRule="auto"/>
      </w:pPr>
      <w:r>
        <w:rPr>
          <w:noProof/>
        </w:rPr>
        <w:pict>
          <v:shape id="_x0000_s1048" type="#_x0000_t75" style="position:absolute;left:0;text-align:left;margin-left:9.55pt;margin-top:31.85pt;width:728.45pt;height:94.35pt;z-index:251666432">
            <v:imagedata r:id="rId26" o:title=""/>
            <w10:wrap type="topAndBottom"/>
          </v:shape>
          <o:OLEObject Type="Embed" ProgID="Excel.Sheet.12" ShapeID="_x0000_s1048" DrawAspect="Content" ObjectID="_1512800146" r:id="rId27"/>
        </w:pict>
      </w:r>
      <w:r w:rsidR="00147276" w:rsidRPr="000F6B3C">
        <w:rPr>
          <w:szCs w:val="18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sectPr w:rsidR="00147276" w:rsidRPr="00367222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F50" w:rsidRDefault="00F42F50" w:rsidP="00EA5418">
      <w:pPr>
        <w:spacing w:after="0" w:line="240" w:lineRule="auto"/>
      </w:pPr>
      <w:r>
        <w:separator/>
      </w:r>
    </w:p>
  </w:endnote>
  <w:endnote w:type="continuationSeparator" w:id="0">
    <w:p w:rsidR="00F42F50" w:rsidRDefault="00F42F5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32" w:rsidRPr="0013011C" w:rsidRDefault="00372E75" w:rsidP="0013011C">
    <w:pPr>
      <w:pStyle w:val="Piedepgina"/>
      <w:jc w:val="center"/>
      <w:rPr>
        <w:rFonts w:ascii="Soberana Sans Light" w:hAnsi="Soberana Sans Light"/>
      </w:rPr>
    </w:pPr>
    <w:r w:rsidRPr="00372E75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856D32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856D32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219A4" w:rsidRPr="004219A4">
          <w:rPr>
            <w:rFonts w:ascii="Soberana Sans Light" w:hAnsi="Soberana Sans Light"/>
            <w:noProof/>
            <w:lang w:val="es-ES"/>
          </w:rPr>
          <w:t>14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56D32" w:rsidRDefault="00856D3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32" w:rsidRPr="008E3652" w:rsidRDefault="00372E75" w:rsidP="008E3652">
    <w:pPr>
      <w:pStyle w:val="Piedepgina"/>
      <w:jc w:val="center"/>
      <w:rPr>
        <w:rFonts w:ascii="Soberana Sans Light" w:hAnsi="Soberana Sans Light"/>
      </w:rPr>
    </w:pPr>
    <w:r w:rsidRPr="00372E75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56D32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856D3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219A4" w:rsidRPr="004219A4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F50" w:rsidRDefault="00F42F50" w:rsidP="00EA5418">
      <w:pPr>
        <w:spacing w:after="0" w:line="240" w:lineRule="auto"/>
      </w:pPr>
      <w:r>
        <w:separator/>
      </w:r>
    </w:p>
  </w:footnote>
  <w:footnote w:type="continuationSeparator" w:id="0">
    <w:p w:rsidR="00F42F50" w:rsidRDefault="00F42F5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32" w:rsidRDefault="00372E75">
    <w:pPr>
      <w:pStyle w:val="Encabezado"/>
    </w:pPr>
    <w:r w:rsidRPr="00372E75"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56D32" w:rsidRDefault="00856D32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56D32" w:rsidRDefault="00856D32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56D32" w:rsidRPr="00275FC6" w:rsidRDefault="00856D32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56D32" w:rsidRDefault="00856D3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856D32" w:rsidRDefault="00856D3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56D32" w:rsidRPr="00275FC6" w:rsidRDefault="00856D3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372E75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32" w:rsidRPr="0013011C" w:rsidRDefault="00372E75" w:rsidP="0013011C">
    <w:pPr>
      <w:pStyle w:val="Encabezado"/>
      <w:jc w:val="center"/>
      <w:rPr>
        <w:rFonts w:ascii="Soberana Sans Light" w:hAnsi="Soberana Sans Light"/>
      </w:rPr>
    </w:pPr>
    <w:r w:rsidRPr="00372E75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856D3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784835DA"/>
    <w:multiLevelType w:val="hybridMultilevel"/>
    <w:tmpl w:val="8C10E58A"/>
    <w:lvl w:ilvl="0" w:tplc="F1AA92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2384B"/>
    <w:rsid w:val="00040466"/>
    <w:rsid w:val="000416C6"/>
    <w:rsid w:val="00045A10"/>
    <w:rsid w:val="00071922"/>
    <w:rsid w:val="0009691F"/>
    <w:rsid w:val="00097FBC"/>
    <w:rsid w:val="000B062C"/>
    <w:rsid w:val="00100260"/>
    <w:rsid w:val="0013011C"/>
    <w:rsid w:val="00147276"/>
    <w:rsid w:val="00165BB4"/>
    <w:rsid w:val="001B1B72"/>
    <w:rsid w:val="001C6FD8"/>
    <w:rsid w:val="001E7072"/>
    <w:rsid w:val="001F2842"/>
    <w:rsid w:val="00204C86"/>
    <w:rsid w:val="00207C91"/>
    <w:rsid w:val="002564E7"/>
    <w:rsid w:val="00264426"/>
    <w:rsid w:val="00287CAC"/>
    <w:rsid w:val="00295745"/>
    <w:rsid w:val="002A4338"/>
    <w:rsid w:val="002A70B3"/>
    <w:rsid w:val="002B704C"/>
    <w:rsid w:val="002B7271"/>
    <w:rsid w:val="002F0052"/>
    <w:rsid w:val="00331410"/>
    <w:rsid w:val="00372E75"/>
    <w:rsid w:val="00372F40"/>
    <w:rsid w:val="00384036"/>
    <w:rsid w:val="0039043D"/>
    <w:rsid w:val="00396C2B"/>
    <w:rsid w:val="003A0303"/>
    <w:rsid w:val="003A2603"/>
    <w:rsid w:val="003A2F8C"/>
    <w:rsid w:val="003C47D7"/>
    <w:rsid w:val="003D5DBF"/>
    <w:rsid w:val="003E7FD0"/>
    <w:rsid w:val="003F0EA4"/>
    <w:rsid w:val="004210B9"/>
    <w:rsid w:val="004219A4"/>
    <w:rsid w:val="004311BE"/>
    <w:rsid w:val="00441451"/>
    <w:rsid w:val="0044253C"/>
    <w:rsid w:val="004578C7"/>
    <w:rsid w:val="004714CF"/>
    <w:rsid w:val="00484C0D"/>
    <w:rsid w:val="00497D8B"/>
    <w:rsid w:val="004D41B8"/>
    <w:rsid w:val="004F5641"/>
    <w:rsid w:val="00520D68"/>
    <w:rsid w:val="00522632"/>
    <w:rsid w:val="00522EF3"/>
    <w:rsid w:val="0053035D"/>
    <w:rsid w:val="00540418"/>
    <w:rsid w:val="0055694A"/>
    <w:rsid w:val="005675AB"/>
    <w:rsid w:val="00567C26"/>
    <w:rsid w:val="00573514"/>
    <w:rsid w:val="00574266"/>
    <w:rsid w:val="005C2176"/>
    <w:rsid w:val="005D3D25"/>
    <w:rsid w:val="005E7B8D"/>
    <w:rsid w:val="005F77E1"/>
    <w:rsid w:val="00621476"/>
    <w:rsid w:val="00662A7E"/>
    <w:rsid w:val="00670998"/>
    <w:rsid w:val="00682E19"/>
    <w:rsid w:val="00692C68"/>
    <w:rsid w:val="006B1FE7"/>
    <w:rsid w:val="006E0AB1"/>
    <w:rsid w:val="006E77DD"/>
    <w:rsid w:val="006E7FBC"/>
    <w:rsid w:val="006F2FEA"/>
    <w:rsid w:val="007057E1"/>
    <w:rsid w:val="00732B25"/>
    <w:rsid w:val="00777F0F"/>
    <w:rsid w:val="0079582C"/>
    <w:rsid w:val="007A5986"/>
    <w:rsid w:val="007B1102"/>
    <w:rsid w:val="007D6E9A"/>
    <w:rsid w:val="00811DAC"/>
    <w:rsid w:val="00856D32"/>
    <w:rsid w:val="0089054E"/>
    <w:rsid w:val="00890785"/>
    <w:rsid w:val="008A6E4D"/>
    <w:rsid w:val="008A793D"/>
    <w:rsid w:val="008B0017"/>
    <w:rsid w:val="008E3652"/>
    <w:rsid w:val="008F5851"/>
    <w:rsid w:val="008F6D58"/>
    <w:rsid w:val="0093222B"/>
    <w:rsid w:val="0093492C"/>
    <w:rsid w:val="00957043"/>
    <w:rsid w:val="009745C4"/>
    <w:rsid w:val="009D5D4C"/>
    <w:rsid w:val="009F23C4"/>
    <w:rsid w:val="009F4700"/>
    <w:rsid w:val="00A016C8"/>
    <w:rsid w:val="00A14109"/>
    <w:rsid w:val="00A15F01"/>
    <w:rsid w:val="00A36182"/>
    <w:rsid w:val="00A363B6"/>
    <w:rsid w:val="00A46BF5"/>
    <w:rsid w:val="00A51B25"/>
    <w:rsid w:val="00A70CB9"/>
    <w:rsid w:val="00A817F4"/>
    <w:rsid w:val="00A82FDE"/>
    <w:rsid w:val="00B03176"/>
    <w:rsid w:val="00B146E2"/>
    <w:rsid w:val="00B25AC3"/>
    <w:rsid w:val="00B54CCA"/>
    <w:rsid w:val="00B63D24"/>
    <w:rsid w:val="00B849EE"/>
    <w:rsid w:val="00B84D02"/>
    <w:rsid w:val="00B90138"/>
    <w:rsid w:val="00BA2940"/>
    <w:rsid w:val="00BD06DC"/>
    <w:rsid w:val="00BE4B24"/>
    <w:rsid w:val="00BF12F0"/>
    <w:rsid w:val="00C16E53"/>
    <w:rsid w:val="00C35E58"/>
    <w:rsid w:val="00C431B4"/>
    <w:rsid w:val="00C65551"/>
    <w:rsid w:val="00C86C59"/>
    <w:rsid w:val="00C878E1"/>
    <w:rsid w:val="00C91C5A"/>
    <w:rsid w:val="00CC3367"/>
    <w:rsid w:val="00CD6D9A"/>
    <w:rsid w:val="00CF46CD"/>
    <w:rsid w:val="00D00E92"/>
    <w:rsid w:val="00D055EC"/>
    <w:rsid w:val="00D44728"/>
    <w:rsid w:val="00D562FF"/>
    <w:rsid w:val="00D741F9"/>
    <w:rsid w:val="00D775F5"/>
    <w:rsid w:val="00DC2B37"/>
    <w:rsid w:val="00DC57E2"/>
    <w:rsid w:val="00DF3429"/>
    <w:rsid w:val="00DF3E28"/>
    <w:rsid w:val="00DF56C9"/>
    <w:rsid w:val="00E232EF"/>
    <w:rsid w:val="00E30177"/>
    <w:rsid w:val="00E30318"/>
    <w:rsid w:val="00E32708"/>
    <w:rsid w:val="00E37B0C"/>
    <w:rsid w:val="00E8526F"/>
    <w:rsid w:val="00EA5418"/>
    <w:rsid w:val="00EC7775"/>
    <w:rsid w:val="00EE46FB"/>
    <w:rsid w:val="00F17C0D"/>
    <w:rsid w:val="00F27F57"/>
    <w:rsid w:val="00F42F50"/>
    <w:rsid w:val="00F46300"/>
    <w:rsid w:val="00F755D0"/>
    <w:rsid w:val="00F953EE"/>
    <w:rsid w:val="00FA45D3"/>
    <w:rsid w:val="00FB1010"/>
    <w:rsid w:val="00FC5A5D"/>
    <w:rsid w:val="00FD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Libro_de_Microsoft_Office_Excel_2007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Libro_de_Microsoft_Office_Excel_2007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Libro_de_Microsoft_Office_Excel_20075.xlsx"/><Relationship Id="rId25" Type="http://schemas.openxmlformats.org/officeDocument/2006/relationships/package" Target="embeddings/Libro_de_Microsoft_Office_Excel_2007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bro_de_Microsoft_Office_Excel_2007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Libro_de_Microsoft_Office_Excel_20074.xlsx"/><Relationship Id="rId23" Type="http://schemas.openxmlformats.org/officeDocument/2006/relationships/package" Target="embeddings/Libro_de_Microsoft_Office_Excel_2007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Libro_de_Microsoft_Office_Excel_2007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Libro_de_Microsoft_Office_Excel_2007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Libro_de_Microsoft_Office_Excel_2007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5DC5-461D-495D-8C41-63D52267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15</Pages>
  <Words>2195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Wheleer</cp:lastModifiedBy>
  <cp:revision>17</cp:revision>
  <cp:lastPrinted>2015-12-28T14:57:00Z</cp:lastPrinted>
  <dcterms:created xsi:type="dcterms:W3CDTF">2015-10-05T19:45:00Z</dcterms:created>
  <dcterms:modified xsi:type="dcterms:W3CDTF">2015-12-28T15:29:00Z</dcterms:modified>
</cp:coreProperties>
</file>