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B74" w:rsidRDefault="00A700AD" w:rsidP="0044253C">
      <w:pPr>
        <w:jc w:val="center"/>
        <w:rPr>
          <w:rFonts w:ascii="Soberana Sans Light" w:hAnsi="Soberana Sans Light"/>
        </w:rPr>
      </w:pPr>
      <w:r w:rsidRPr="00892FEC">
        <w:rPr>
          <w:rFonts w:ascii="Soberana Sans Light" w:hAnsi="Soberana Sans Light"/>
        </w:rPr>
        <w:object w:dxaOrig="17661" w:dyaOrig="11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7pt;height:459.75pt" o:ole="">
            <v:imagedata r:id="rId8" o:title=""/>
          </v:shape>
          <o:OLEObject Type="Embed" ProgID="Excel.Sheet.12" ShapeID="_x0000_i1025" DrawAspect="Content" ObjectID="_1512823174" r:id="rId9"/>
        </w:object>
      </w:r>
      <w:bookmarkStart w:id="0" w:name="_MON_1470839431"/>
      <w:bookmarkEnd w:id="0"/>
      <w:r w:rsidR="00853E68" w:rsidRPr="00892FEC">
        <w:rPr>
          <w:rFonts w:ascii="Soberana Sans Light" w:hAnsi="Soberana Sans Light"/>
        </w:rPr>
        <w:object w:dxaOrig="17661" w:dyaOrig="10391">
          <v:shape id="_x0000_i1026" type="#_x0000_t75" style="width:687pt;height:405pt" o:ole="">
            <v:imagedata r:id="rId10" o:title=""/>
          </v:shape>
          <o:OLEObject Type="Embed" ProgID="Excel.Sheet.12" ShapeID="_x0000_i1026" DrawAspect="Content" ObjectID="_1512823175" r:id="rId11"/>
        </w:object>
      </w:r>
    </w:p>
    <w:p w:rsidR="005117F4" w:rsidRDefault="005117F4" w:rsidP="00CA2D37">
      <w:pPr>
        <w:rPr>
          <w:rFonts w:ascii="Soberana Sans Light" w:hAnsi="Soberana Sans Light"/>
        </w:rPr>
      </w:pPr>
    </w:p>
    <w:p w:rsidR="00A749E3" w:rsidRDefault="00A749E3" w:rsidP="00CA2D37">
      <w:pPr>
        <w:rPr>
          <w:rFonts w:ascii="Soberana Sans Light" w:hAnsi="Soberana Sans Light"/>
        </w:rPr>
      </w:pPr>
    </w:p>
    <w:p w:rsidR="00A749E3" w:rsidRDefault="00432957" w:rsidP="00CA2D37">
      <w:pPr>
        <w:rPr>
          <w:rFonts w:ascii="Soberana Sans Light" w:hAnsi="Soberana Sans Light"/>
        </w:rPr>
      </w:pPr>
      <w:r w:rsidRPr="00853E68">
        <w:rPr>
          <w:noProof/>
          <w:sz w:val="18"/>
          <w:szCs w:val="18"/>
        </w:rPr>
        <w:lastRenderedPageBreak/>
        <w:pict>
          <v:shape id="_x0000_s1029" type="#_x0000_t75" style="position:absolute;margin-left:60.75pt;margin-top:13.15pt;width:538.5pt;height:273.35pt;z-index:251660288">
            <v:imagedata r:id="rId12" o:title=""/>
            <w10:wrap type="square" side="left"/>
          </v:shape>
          <o:OLEObject Type="Embed" ProgID="Excel.Sheet.12" ShapeID="_x0000_s1029" DrawAspect="Content" ObjectID="_1512823176" r:id="rId13"/>
        </w:pict>
      </w:r>
    </w:p>
    <w:p w:rsidR="00F96944" w:rsidRDefault="007605C3" w:rsidP="007605C3">
      <w:r>
        <w:br w:type="textWrapping" w:clear="all"/>
      </w:r>
    </w:p>
    <w:p w:rsidR="00AB13B7" w:rsidRDefault="00AB13B7" w:rsidP="0044253C">
      <w:pPr>
        <w:jc w:val="center"/>
      </w:pPr>
    </w:p>
    <w:p w:rsidR="00CA2D37" w:rsidRDefault="00CA2D37">
      <w:r>
        <w:br w:type="page"/>
      </w:r>
    </w:p>
    <w:p w:rsidR="00AB13B7" w:rsidRDefault="00AB13B7" w:rsidP="0044253C">
      <w:pPr>
        <w:jc w:val="center"/>
      </w:pPr>
    </w:p>
    <w:p w:rsidR="00372F40"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FA231B" w:rsidRPr="00CA2D37" w:rsidRDefault="00FA231B" w:rsidP="00CA2D37">
      <w:pPr>
        <w:jc w:val="center"/>
        <w:rPr>
          <w:rFonts w:ascii="Soberana Sans Light" w:hAnsi="Soberana Sans Light"/>
        </w:rPr>
      </w:pPr>
    </w:p>
    <w:p w:rsidR="00372F40" w:rsidRPr="00CA2D37" w:rsidRDefault="007605C3" w:rsidP="00CA2D37">
      <w:pPr>
        <w:tabs>
          <w:tab w:val="left" w:pos="2430"/>
        </w:tabs>
        <w:jc w:val="center"/>
        <w:rPr>
          <w:rFonts w:ascii="Soberana Sans Light" w:hAnsi="Soberana Sans Light"/>
        </w:rPr>
      </w:pPr>
      <w:r>
        <w:rPr>
          <w:rFonts w:ascii="Soberana Sans Light" w:hAnsi="Soberana Sans Light"/>
        </w:rPr>
        <w:t xml:space="preserve"> </w:t>
      </w:r>
      <w:r w:rsidR="00CA2D37">
        <w:rPr>
          <w:rFonts w:ascii="Soberana Sans Light" w:hAnsi="Soberana Sans Light"/>
        </w:rPr>
        <w:t>(Artículo 46, último párrafo LGCG)</w:t>
      </w:r>
    </w:p>
    <w:p w:rsidR="00E32708" w:rsidRDefault="00E32708" w:rsidP="00CA2D37">
      <w:pPr>
        <w:tabs>
          <w:tab w:val="left" w:pos="2430"/>
        </w:tabs>
        <w:jc w:val="center"/>
        <w:rPr>
          <w:rFonts w:ascii="Soberana Sans Light" w:hAnsi="Soberana Sans Light"/>
        </w:rPr>
      </w:pPr>
    </w:p>
    <w:p w:rsidR="00FA231B" w:rsidRDefault="00FA231B" w:rsidP="00CA2D37">
      <w:pPr>
        <w:tabs>
          <w:tab w:val="left" w:pos="2430"/>
        </w:tabs>
        <w:jc w:val="center"/>
        <w:rPr>
          <w:rFonts w:ascii="Soberana Sans Light" w:hAnsi="Soberana Sans Light"/>
        </w:rPr>
      </w:pPr>
    </w:p>
    <w:p w:rsidR="001D3F00" w:rsidRDefault="007605C3" w:rsidP="007605C3">
      <w:pPr>
        <w:tabs>
          <w:tab w:val="center" w:pos="6840"/>
        </w:tabs>
        <w:jc w:val="center"/>
        <w:rPr>
          <w:rFonts w:ascii="Soberana Sans Light" w:hAnsi="Soberana Sans Light"/>
        </w:rPr>
      </w:pPr>
      <w:r>
        <w:rPr>
          <w:rFonts w:ascii="Soberana Sans Light" w:hAnsi="Soberana Sans Light"/>
        </w:rPr>
        <w:t>No Aplica</w:t>
      </w:r>
    </w:p>
    <w:p w:rsidR="001D3F00" w:rsidRDefault="001D3F00" w:rsidP="007605C3">
      <w:pPr>
        <w:tabs>
          <w:tab w:val="center" w:pos="6840"/>
        </w:tabs>
        <w:jc w:val="center"/>
        <w:rPr>
          <w:rFonts w:ascii="Soberana Sans Light" w:hAnsi="Soberana Sans Light"/>
        </w:rPr>
      </w:pPr>
    </w:p>
    <w:p w:rsidR="00CA2D37" w:rsidRDefault="001D3F00" w:rsidP="007605C3">
      <w:pPr>
        <w:tabs>
          <w:tab w:val="center" w:pos="6840"/>
        </w:tabs>
        <w:jc w:val="center"/>
        <w:rPr>
          <w:rFonts w:ascii="Soberana Sans Light" w:hAnsi="Soberana Sans Light"/>
        </w:rPr>
      </w:pPr>
      <w:r>
        <w:rPr>
          <w:rFonts w:ascii="Soberana Sans Light" w:hAnsi="Soberana Sans Light"/>
        </w:rPr>
        <w:t>El Fideicomiso no tiene relación de esquemas bursátiles y de coberturas financieras</w:t>
      </w:r>
      <w:r w:rsidR="00CA2D37">
        <w:rPr>
          <w:rFonts w:ascii="Soberana Sans Light" w:hAnsi="Soberana Sans Light"/>
        </w:rPr>
        <w:br w:type="page"/>
      </w:r>
    </w:p>
    <w:p w:rsidR="007605C3" w:rsidRDefault="007605C3">
      <w:pPr>
        <w:rPr>
          <w:rFonts w:ascii="Soberana Sans Light" w:hAnsi="Soberana Sans Light"/>
        </w:rPr>
      </w:pPr>
    </w:p>
    <w:p w:rsidR="007605C3" w:rsidRDefault="007605C3">
      <w:pPr>
        <w:rPr>
          <w:rFonts w:ascii="Soberana Sans Light" w:hAnsi="Soberana Sans Light"/>
        </w:rPr>
      </w:pPr>
    </w:p>
    <w:p w:rsidR="00CA2D37" w:rsidRDefault="00CA2D37" w:rsidP="00CA2D37">
      <w:pPr>
        <w:tabs>
          <w:tab w:val="left" w:pos="2430"/>
        </w:tabs>
        <w:jc w:val="center"/>
        <w:rPr>
          <w:rFonts w:ascii="Soberana Sans Light" w:hAnsi="Soberana Sans Light"/>
        </w:rPr>
      </w:pPr>
      <w:r>
        <w:rPr>
          <w:rFonts w:ascii="Soberana Sans Light" w:hAnsi="Soberana Sans Light"/>
        </w:rPr>
        <w:t>Información adicional que dispongan otras leyes</w:t>
      </w:r>
    </w:p>
    <w:p w:rsidR="00CA2D37" w:rsidRDefault="00CA2D37"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7605C3" w:rsidP="00CA2D37">
      <w:pPr>
        <w:tabs>
          <w:tab w:val="left" w:pos="2430"/>
        </w:tabs>
        <w:jc w:val="center"/>
        <w:rPr>
          <w:rFonts w:ascii="Soberana Sans Light" w:hAnsi="Soberana Sans Light"/>
        </w:rPr>
      </w:pPr>
      <w:r>
        <w:rPr>
          <w:rFonts w:ascii="Soberana Sans Light" w:hAnsi="Soberana Sans Light"/>
        </w:rPr>
        <w:t>No Aplica</w:t>
      </w:r>
    </w:p>
    <w:p w:rsidR="00D137EA" w:rsidRDefault="00D137EA" w:rsidP="00CA2D37">
      <w:pPr>
        <w:tabs>
          <w:tab w:val="left" w:pos="2430"/>
        </w:tabs>
        <w:jc w:val="center"/>
        <w:rPr>
          <w:rFonts w:ascii="Soberana Sans Light" w:hAnsi="Soberana Sans Light"/>
        </w:rPr>
      </w:pPr>
    </w:p>
    <w:p w:rsidR="00D137EA" w:rsidRDefault="00910D2B" w:rsidP="00CA2D37">
      <w:pPr>
        <w:tabs>
          <w:tab w:val="left" w:pos="2430"/>
        </w:tabs>
        <w:jc w:val="center"/>
        <w:rPr>
          <w:rFonts w:ascii="Soberana Sans Light" w:hAnsi="Soberana Sans Light"/>
        </w:rPr>
      </w:pPr>
      <w:r>
        <w:rPr>
          <w:rFonts w:ascii="Soberana Sans Light" w:hAnsi="Soberana Sans Light"/>
        </w:rPr>
        <w:t>El Fideicomiso no tiene información adicional que dispongan otras leyes</w:t>
      </w:r>
      <w:r w:rsidR="00853E68">
        <w:rPr>
          <w:rFonts w:ascii="Soberana Sans Light" w:hAnsi="Soberana Sans Light"/>
        </w:rPr>
        <w:t xml:space="preserve"> se rige por su decreto de creación</w:t>
      </w: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p>
    <w:p w:rsidR="007E1412" w:rsidRDefault="007E1412" w:rsidP="00CA2D37">
      <w:pPr>
        <w:tabs>
          <w:tab w:val="left" w:pos="2430"/>
        </w:tabs>
        <w:jc w:val="center"/>
        <w:rPr>
          <w:rFonts w:ascii="Soberana Sans Light" w:hAnsi="Soberana Sans Light"/>
        </w:rPr>
      </w:pPr>
      <w:r>
        <w:rPr>
          <w:rFonts w:ascii="Soberana Sans Light" w:hAnsi="Soberana Sans Light"/>
        </w:rPr>
        <w:t>Liga de Transparencia</w:t>
      </w:r>
    </w:p>
    <w:p w:rsidR="007E1412" w:rsidRDefault="007E1412" w:rsidP="00CA2D37">
      <w:pPr>
        <w:tabs>
          <w:tab w:val="left" w:pos="2430"/>
        </w:tabs>
        <w:jc w:val="center"/>
        <w:rPr>
          <w:rFonts w:ascii="Soberana Sans Light" w:hAnsi="Soberana Sans Light"/>
        </w:rPr>
      </w:pPr>
    </w:p>
    <w:p w:rsidR="007E1412" w:rsidRDefault="007E1412" w:rsidP="007E1412">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7E1412" w:rsidRDefault="007E1412" w:rsidP="007E1412">
      <w:pPr>
        <w:jc w:val="center"/>
        <w:rPr>
          <w:rFonts w:ascii="Arial" w:hAnsi="Arial" w:cs="Arial"/>
          <w:sz w:val="18"/>
          <w:szCs w:val="18"/>
        </w:rPr>
      </w:pPr>
    </w:p>
    <w:p w:rsidR="007E1412" w:rsidRDefault="007E1412" w:rsidP="007E1412">
      <w:pPr>
        <w:jc w:val="center"/>
        <w:rPr>
          <w:rFonts w:ascii="Arial" w:hAnsi="Arial" w:cs="Arial"/>
          <w:sz w:val="18"/>
          <w:szCs w:val="18"/>
        </w:rPr>
      </w:pPr>
    </w:p>
    <w:p w:rsidR="007E1412" w:rsidRPr="00D60C3C" w:rsidRDefault="007E1412" w:rsidP="007E1412">
      <w:pPr>
        <w:jc w:val="center"/>
        <w:rPr>
          <w:rFonts w:ascii="Arial" w:hAnsi="Arial" w:cs="Arial"/>
          <w:sz w:val="18"/>
          <w:szCs w:val="18"/>
        </w:rPr>
      </w:pPr>
      <w:hyperlink r:id="rId14" w:history="1">
        <w:r w:rsidRPr="005D2D1C">
          <w:rPr>
            <w:rStyle w:val="Hipervnculo"/>
            <w:rFonts w:ascii="Arial" w:hAnsi="Arial" w:cs="Arial"/>
            <w:sz w:val="18"/>
            <w:szCs w:val="18"/>
          </w:rPr>
          <w:t>http://www.fomtlax.gob.mx/transparencia/cuenta-publica-2015</w:t>
        </w:r>
      </w:hyperlink>
      <w:r>
        <w:rPr>
          <w:rFonts w:ascii="Arial" w:hAnsi="Arial" w:cs="Arial"/>
          <w:sz w:val="18"/>
          <w:szCs w:val="18"/>
        </w:rPr>
        <w:t xml:space="preserve"> </w:t>
      </w:r>
    </w:p>
    <w:p w:rsidR="007E1412" w:rsidRPr="00CA2D37" w:rsidRDefault="007E1412" w:rsidP="00CA2D37">
      <w:pPr>
        <w:tabs>
          <w:tab w:val="left" w:pos="2430"/>
        </w:tabs>
        <w:jc w:val="center"/>
        <w:rPr>
          <w:rFonts w:ascii="Soberana Sans Light" w:hAnsi="Soberana Sans Light"/>
        </w:rPr>
      </w:pPr>
    </w:p>
    <w:sectPr w:rsidR="007E1412" w:rsidRPr="00CA2D37"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E75" w:rsidRDefault="00604E75" w:rsidP="00EA5418">
      <w:pPr>
        <w:spacing w:after="0" w:line="240" w:lineRule="auto"/>
      </w:pPr>
      <w:r>
        <w:separator/>
      </w:r>
    </w:p>
  </w:endnote>
  <w:endnote w:type="continuationSeparator" w:id="1">
    <w:p w:rsidR="00604E75" w:rsidRDefault="00604E75"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432957"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7E1412" w:rsidRPr="007E1412">
          <w:rPr>
            <w:rFonts w:ascii="Soberana Sans Light" w:hAnsi="Soberana Sans Light"/>
            <w:noProof/>
            <w:lang w:val="es-ES"/>
          </w:rPr>
          <w:t>6</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432957"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CA2D37">
          <w:rPr>
            <w:rFonts w:ascii="Soberana Sans Light" w:hAnsi="Soberana Sans Light"/>
          </w:rPr>
          <w:t>Anexos</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7E1412" w:rsidRPr="007E1412">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E75" w:rsidRDefault="00604E75" w:rsidP="00EA5418">
      <w:pPr>
        <w:spacing w:after="0" w:line="240" w:lineRule="auto"/>
      </w:pPr>
      <w:r>
        <w:separator/>
      </w:r>
    </w:p>
  </w:footnote>
  <w:footnote w:type="continuationSeparator" w:id="1">
    <w:p w:rsidR="00604E75" w:rsidRDefault="00604E75"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432957">
    <w:pPr>
      <w:pStyle w:val="Encabezado"/>
    </w:pPr>
    <w:r>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240AE">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432957">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432957"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C7638C">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hdrShapeDefaults>
    <o:shapedefaults v:ext="edit" spidmax="31746"/>
    <o:shapelayout v:ext="edit">
      <o:idmap v:ext="edit" data="4"/>
    </o:shapelayout>
  </w:hdrShapeDefaults>
  <w:footnotePr>
    <w:footnote w:id="0"/>
    <w:footnote w:id="1"/>
  </w:footnotePr>
  <w:endnotePr>
    <w:endnote w:id="0"/>
    <w:endnote w:id="1"/>
  </w:endnotePr>
  <w:compat/>
  <w:rsids>
    <w:rsidRoot w:val="00EA5418"/>
    <w:rsid w:val="00006AF9"/>
    <w:rsid w:val="00040466"/>
    <w:rsid w:val="00040531"/>
    <w:rsid w:val="000750C4"/>
    <w:rsid w:val="00083CF8"/>
    <w:rsid w:val="000C2BD6"/>
    <w:rsid w:val="00126BCF"/>
    <w:rsid w:val="0013011C"/>
    <w:rsid w:val="00135FB0"/>
    <w:rsid w:val="00141B1C"/>
    <w:rsid w:val="0014282B"/>
    <w:rsid w:val="00143CBA"/>
    <w:rsid w:val="001772B3"/>
    <w:rsid w:val="001B1B72"/>
    <w:rsid w:val="001D3F00"/>
    <w:rsid w:val="001E6A5B"/>
    <w:rsid w:val="002073F3"/>
    <w:rsid w:val="002116C1"/>
    <w:rsid w:val="00232417"/>
    <w:rsid w:val="00255AAD"/>
    <w:rsid w:val="002A70B3"/>
    <w:rsid w:val="002C580D"/>
    <w:rsid w:val="00307635"/>
    <w:rsid w:val="00345360"/>
    <w:rsid w:val="003553E7"/>
    <w:rsid w:val="00370BCC"/>
    <w:rsid w:val="00372F40"/>
    <w:rsid w:val="003A1393"/>
    <w:rsid w:val="003D5DBF"/>
    <w:rsid w:val="003E7FD0"/>
    <w:rsid w:val="003F0E5F"/>
    <w:rsid w:val="003F0EA4"/>
    <w:rsid w:val="00405F37"/>
    <w:rsid w:val="00426A1B"/>
    <w:rsid w:val="00432957"/>
    <w:rsid w:val="0044253C"/>
    <w:rsid w:val="0048590C"/>
    <w:rsid w:val="00486AE1"/>
    <w:rsid w:val="00497D8B"/>
    <w:rsid w:val="004B6221"/>
    <w:rsid w:val="004D41B8"/>
    <w:rsid w:val="00502D8E"/>
    <w:rsid w:val="005117F4"/>
    <w:rsid w:val="00522632"/>
    <w:rsid w:val="00531310"/>
    <w:rsid w:val="00534982"/>
    <w:rsid w:val="00540418"/>
    <w:rsid w:val="005706B0"/>
    <w:rsid w:val="00571595"/>
    <w:rsid w:val="00571E8F"/>
    <w:rsid w:val="0058377D"/>
    <w:rsid w:val="005859FA"/>
    <w:rsid w:val="005E09CB"/>
    <w:rsid w:val="006048D2"/>
    <w:rsid w:val="00604E75"/>
    <w:rsid w:val="00611E39"/>
    <w:rsid w:val="00633916"/>
    <w:rsid w:val="006B7B8B"/>
    <w:rsid w:val="006D43E1"/>
    <w:rsid w:val="006E77DD"/>
    <w:rsid w:val="00730DC8"/>
    <w:rsid w:val="00751C92"/>
    <w:rsid w:val="007605C3"/>
    <w:rsid w:val="00763942"/>
    <w:rsid w:val="007758A6"/>
    <w:rsid w:val="0079582C"/>
    <w:rsid w:val="007B21BD"/>
    <w:rsid w:val="007C0AB2"/>
    <w:rsid w:val="007D6E9A"/>
    <w:rsid w:val="007E1412"/>
    <w:rsid w:val="00816B8B"/>
    <w:rsid w:val="00843A85"/>
    <w:rsid w:val="00853E68"/>
    <w:rsid w:val="00892FEC"/>
    <w:rsid w:val="008A6E4D"/>
    <w:rsid w:val="008B0017"/>
    <w:rsid w:val="008B4D7F"/>
    <w:rsid w:val="008E3652"/>
    <w:rsid w:val="00910D2B"/>
    <w:rsid w:val="0091585F"/>
    <w:rsid w:val="009D5DC1"/>
    <w:rsid w:val="009F0915"/>
    <w:rsid w:val="00A14B74"/>
    <w:rsid w:val="00A700AD"/>
    <w:rsid w:val="00A749E3"/>
    <w:rsid w:val="00A86658"/>
    <w:rsid w:val="00AB13B7"/>
    <w:rsid w:val="00AB4117"/>
    <w:rsid w:val="00AE148A"/>
    <w:rsid w:val="00B5519D"/>
    <w:rsid w:val="00B849EE"/>
    <w:rsid w:val="00B85A95"/>
    <w:rsid w:val="00BE0A89"/>
    <w:rsid w:val="00C4068C"/>
    <w:rsid w:val="00C47322"/>
    <w:rsid w:val="00C7638C"/>
    <w:rsid w:val="00CA2D37"/>
    <w:rsid w:val="00CC5CB6"/>
    <w:rsid w:val="00CC65D3"/>
    <w:rsid w:val="00CD748F"/>
    <w:rsid w:val="00D02499"/>
    <w:rsid w:val="00D055EC"/>
    <w:rsid w:val="00D137EA"/>
    <w:rsid w:val="00D35D66"/>
    <w:rsid w:val="00D51261"/>
    <w:rsid w:val="00D63B06"/>
    <w:rsid w:val="00D748D3"/>
    <w:rsid w:val="00D96F90"/>
    <w:rsid w:val="00E05D67"/>
    <w:rsid w:val="00E240AE"/>
    <w:rsid w:val="00E32708"/>
    <w:rsid w:val="00E9212D"/>
    <w:rsid w:val="00EA5418"/>
    <w:rsid w:val="00EB2653"/>
    <w:rsid w:val="00EE56E3"/>
    <w:rsid w:val="00F02E1F"/>
    <w:rsid w:val="00F31BFC"/>
    <w:rsid w:val="00F670A3"/>
    <w:rsid w:val="00F770EA"/>
    <w:rsid w:val="00F90C8C"/>
    <w:rsid w:val="00F96944"/>
    <w:rsid w:val="00FA1B54"/>
    <w:rsid w:val="00FA231B"/>
    <w:rsid w:val="00FD4627"/>
    <w:rsid w:val="00FD5C8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F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7E14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hyperlink" Target="http://www.fomtlax.gob.mx/transparencia/cuenta-publica-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18A66-6E53-471A-BB37-0CEC6849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229</Words>
  <Characters>1261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Felix Nava Muñoz</cp:lastModifiedBy>
  <cp:revision>50</cp:revision>
  <cp:lastPrinted>2015-12-24T17:05:00Z</cp:lastPrinted>
  <dcterms:created xsi:type="dcterms:W3CDTF">2014-08-29T22:30:00Z</dcterms:created>
  <dcterms:modified xsi:type="dcterms:W3CDTF">2015-12-28T21:53:00Z</dcterms:modified>
</cp:coreProperties>
</file>