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p w:rsidR="00EA5418" w:rsidRPr="00F65771" w:rsidRDefault="00056042" w:rsidP="00372F40">
      <w:pPr>
        <w:jc w:val="center"/>
        <w:rPr>
          <w:rFonts w:ascii="Arial" w:hAnsi="Arial" w:cs="Arial"/>
          <w:sz w:val="18"/>
          <w:szCs w:val="18"/>
        </w:rPr>
      </w:pPr>
      <w:r w:rsidRPr="00F65771">
        <w:rPr>
          <w:rFonts w:ascii="Arial" w:hAnsi="Arial" w:cs="Arial"/>
          <w:sz w:val="18"/>
          <w:szCs w:val="18"/>
        </w:rPr>
        <w:t>Introducción</w:t>
      </w:r>
    </w:p>
    <w:p w:rsidR="00F65771" w:rsidRPr="00F65771" w:rsidRDefault="00F65771" w:rsidP="00F65771">
      <w:pPr>
        <w:pStyle w:val="Texto"/>
        <w:spacing w:after="0" w:line="240" w:lineRule="exact"/>
        <w:ind w:left="288" w:firstLine="0"/>
        <w:rPr>
          <w:szCs w:val="18"/>
        </w:rPr>
      </w:pPr>
      <w:r w:rsidRPr="00F65771">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F65771" w:rsidRPr="00F65771" w:rsidRDefault="00F65771" w:rsidP="00F65771">
      <w:pPr>
        <w:pStyle w:val="Texto"/>
        <w:spacing w:after="0" w:line="240" w:lineRule="exact"/>
        <w:ind w:left="288"/>
        <w:rPr>
          <w:color w:val="000000"/>
          <w:szCs w:val="18"/>
          <w:lang w:val="es-ES_tradnl" w:eastAsia="es-ES_tradnl"/>
        </w:rPr>
      </w:pPr>
      <w:r w:rsidRPr="00F65771">
        <w:rPr>
          <w:szCs w:val="18"/>
        </w:rPr>
        <w:br/>
        <w:t xml:space="preserve">El Ejecutivo Estatal con fecha 24 de noviembre de 2008 publica el Decreto No. 26 en el Periódico Oficial el cual da origen al Instituto Tlaxcalteca de la Infraestructura Física Educativa (ITIFE), </w:t>
      </w:r>
      <w:r w:rsidRPr="00F65771">
        <w:rPr>
          <w:color w:val="000000"/>
          <w:szCs w:val="18"/>
          <w:lang w:val="es-ES_tradnl" w:eastAsia="es-ES_tradnl"/>
        </w:rPr>
        <w:t>con la naturaleza y objeto indicado en el capítulo II de este decreto y cuyo objeto se describe en el artículo 4 que dice:</w:t>
      </w:r>
    </w:p>
    <w:p w:rsidR="00F65771" w:rsidRPr="00F65771" w:rsidRDefault="00F65771" w:rsidP="00F65771">
      <w:pPr>
        <w:numPr>
          <w:ilvl w:val="0"/>
          <w:numId w:val="16"/>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F65771" w:rsidRPr="00F65771" w:rsidRDefault="00F65771" w:rsidP="00F65771">
      <w:pPr>
        <w:numPr>
          <w:ilvl w:val="0"/>
          <w:numId w:val="17"/>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F65771" w:rsidRPr="00F65771" w:rsidRDefault="00F65771" w:rsidP="00F65771">
      <w:pPr>
        <w:numPr>
          <w:ilvl w:val="0"/>
          <w:numId w:val="18"/>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Actuar como una instancia asesora en materia de prevención y atención de daños ocasionados por desastres naturales, tecnológicos o humanos en el sector educativo, y</w:t>
      </w:r>
    </w:p>
    <w:p w:rsidR="00F65771" w:rsidRPr="00F65771" w:rsidRDefault="00F65771" w:rsidP="00F65771">
      <w:pPr>
        <w:numPr>
          <w:ilvl w:val="0"/>
          <w:numId w:val="19"/>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Encargarse de la construcción, equipamiento, mantenimiento, rehabilitación, refuerzo, reconstrucción, reconversión y habilitación de inmuebles e instalaciones educativas.</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 xml:space="preserve">En cumplimiento a la Ley General de Contabilidad Gubernamental en su artículo 53, que establece que la Cuenta Pública del Gobierno Federal se formulará por la Secretaría de Hacienda y Crédito Público, y </w:t>
      </w:r>
      <w:r w:rsidR="004713AD" w:rsidRPr="00F65771">
        <w:rPr>
          <w:rFonts w:ascii="Arial" w:hAnsi="Arial" w:cs="Arial"/>
          <w:sz w:val="18"/>
          <w:szCs w:val="18"/>
        </w:rPr>
        <w:t xml:space="preserve">las de las Entidades Federativas deberá atender en su cobertura, a lo establecido en su marco legal vigente y </w:t>
      </w:r>
      <w:r w:rsidRPr="00F65771">
        <w:rPr>
          <w:rFonts w:ascii="Arial" w:hAnsi="Arial" w:cs="Arial"/>
          <w:sz w:val="18"/>
          <w:szCs w:val="18"/>
        </w:rPr>
        <w:t>al Acuerdo por el que se armoniza la estructura de las cuentas públicas, emitido por el Consejo Nacional de Armonización Contable</w:t>
      </w:r>
      <w:r w:rsidR="004713AD" w:rsidRPr="00F65771">
        <w:rPr>
          <w:rFonts w:ascii="Arial" w:hAnsi="Arial" w:cs="Arial"/>
          <w:sz w:val="18"/>
          <w:szCs w:val="18"/>
        </w:rPr>
        <w:t>.</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De conformidad con el Acuerdo por el que se armoniza la estructura de las cuentas públicas y atendiendo a la recomendación de la Auditoría Superior de la Federación, la información contable que se presenta, es la siguiente:</w:t>
      </w:r>
    </w:p>
    <w:p w:rsidR="00B62456" w:rsidRPr="00F65771" w:rsidRDefault="00B62456"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INTRODUCCION</w:t>
      </w:r>
    </w:p>
    <w:p w:rsidR="00B62456" w:rsidRPr="00F65771" w:rsidRDefault="00B62456" w:rsidP="00B62456">
      <w:pPr>
        <w:autoSpaceDE w:val="0"/>
        <w:autoSpaceDN w:val="0"/>
        <w:adjustRightInd w:val="0"/>
        <w:spacing w:before="80" w:line="250" w:lineRule="exact"/>
        <w:jc w:val="both"/>
        <w:rPr>
          <w:rFonts w:ascii="Arial" w:hAnsi="Arial" w:cs="Arial"/>
          <w:sz w:val="18"/>
          <w:szCs w:val="18"/>
        </w:rPr>
      </w:pPr>
    </w:p>
    <w:p w:rsidR="0009457C" w:rsidRPr="00F65771" w:rsidRDefault="0009457C"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CONTABLE</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actividades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cambios en la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lastRenderedPageBreak/>
        <w:t xml:space="preserve">Estado analítico del activo </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analítico de la deuda y otros pasivos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variación de la hacienda pública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flujos de efectivo</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Informe de pasivos contingentes</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Notas a los estados financieros</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desglose</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Memoria (cuentas de orden)</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Gestión Administrativa</w:t>
      </w:r>
    </w:p>
    <w:p w:rsidR="0009457C" w:rsidRPr="00F65771" w:rsidRDefault="0009457C" w:rsidP="0009457C">
      <w:pPr>
        <w:autoSpaceDE w:val="0"/>
        <w:autoSpaceDN w:val="0"/>
        <w:adjustRightInd w:val="0"/>
        <w:spacing w:before="80" w:after="0" w:line="250" w:lineRule="exact"/>
        <w:jc w:val="both"/>
        <w:rPr>
          <w:rFonts w:ascii="Arial" w:hAnsi="Arial" w:cs="Arial"/>
          <w:sz w:val="18"/>
          <w:szCs w:val="18"/>
        </w:rPr>
      </w:pPr>
    </w:p>
    <w:p w:rsidR="0009457C" w:rsidRPr="00F65771" w:rsidRDefault="007C199A" w:rsidP="007C199A">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INFORMACION PRESUPUESTAL</w:t>
      </w:r>
    </w:p>
    <w:p w:rsidR="0009457C"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 ingresos (por rubro y fuente de financiamiento)</w:t>
      </w:r>
    </w:p>
    <w:p w:rsidR="0009457C" w:rsidRPr="00F65771" w:rsidRDefault="0009457C"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Estado analítico del ejercicio del presupuesto de egresos </w:t>
      </w:r>
      <w:r w:rsidR="007C199A" w:rsidRPr="00F65771">
        <w:rPr>
          <w:rFonts w:ascii="Arial" w:hAnsi="Arial" w:cs="Arial"/>
          <w:sz w:val="18"/>
          <w:szCs w:val="18"/>
        </w:rPr>
        <w:t>Clasificación Administrativa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por Objeto del Gasto (capítulo y concepto)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Económica (por tipo de Gasto)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Funcional (Finalidad y Función)</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Endeudamiento Neto </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Intereses de la deuda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postura fiscal</w:t>
      </w:r>
    </w:p>
    <w:p w:rsidR="00B62456" w:rsidRPr="00F65771" w:rsidRDefault="00B62456" w:rsidP="0009457C">
      <w:pPr>
        <w:autoSpaceDE w:val="0"/>
        <w:autoSpaceDN w:val="0"/>
        <w:adjustRightInd w:val="0"/>
        <w:spacing w:before="80" w:line="250" w:lineRule="exact"/>
        <w:jc w:val="both"/>
        <w:rPr>
          <w:rFonts w:ascii="Arial" w:hAnsi="Arial" w:cs="Arial"/>
          <w:sz w:val="18"/>
          <w:szCs w:val="18"/>
        </w:rPr>
      </w:pPr>
    </w:p>
    <w:p w:rsidR="0009457C" w:rsidRPr="00F65771" w:rsidRDefault="00B62456" w:rsidP="00B62456">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PROGRAMATICA</w:t>
      </w:r>
    </w:p>
    <w:p w:rsidR="0009457C" w:rsidRPr="00F65771" w:rsidRDefault="0009457C"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G</w:t>
      </w:r>
      <w:r w:rsidR="00B62456" w:rsidRPr="00F65771">
        <w:rPr>
          <w:rFonts w:ascii="Arial" w:hAnsi="Arial" w:cs="Arial"/>
          <w:sz w:val="18"/>
          <w:szCs w:val="18"/>
        </w:rPr>
        <w:t>asto por Categoría Programática</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Programas y Proyectos de Inversión</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Resultados</w:t>
      </w:r>
    </w:p>
    <w:p w:rsidR="00B62456" w:rsidRPr="00F65771" w:rsidRDefault="00B62456" w:rsidP="00B62456">
      <w:pPr>
        <w:autoSpaceDE w:val="0"/>
        <w:autoSpaceDN w:val="0"/>
        <w:adjustRightInd w:val="0"/>
        <w:spacing w:before="80" w:after="0" w:line="250" w:lineRule="exact"/>
        <w:jc w:val="both"/>
        <w:rPr>
          <w:rFonts w:ascii="Arial" w:hAnsi="Arial" w:cs="Arial"/>
          <w:sz w:val="18"/>
          <w:szCs w:val="18"/>
        </w:rPr>
      </w:pPr>
    </w:p>
    <w:p w:rsidR="00B62456" w:rsidRPr="00F65771" w:rsidRDefault="00B62456" w:rsidP="00B62456">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ANEXOS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Inmuebles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Cuentas Bancarias Productivas Específicas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Esquemas Bursátiles y Coberturas Financieras</w:t>
      </w:r>
    </w:p>
    <w:p w:rsidR="0009457C" w:rsidRPr="00F65771" w:rsidRDefault="0009457C" w:rsidP="0009457C">
      <w:pPr>
        <w:autoSpaceDE w:val="0"/>
        <w:autoSpaceDN w:val="0"/>
        <w:adjustRightInd w:val="0"/>
        <w:spacing w:line="250" w:lineRule="exact"/>
        <w:jc w:val="both"/>
        <w:rPr>
          <w:rFonts w:ascii="Arial" w:hAnsi="Arial" w:cs="Arial"/>
          <w:b/>
          <w:sz w:val="18"/>
          <w:szCs w:val="18"/>
        </w:rPr>
      </w:pPr>
    </w:p>
    <w:p w:rsidR="00F65771" w:rsidRPr="00F65771" w:rsidRDefault="00F65771" w:rsidP="00F65771">
      <w:pPr>
        <w:pStyle w:val="Texto"/>
        <w:spacing w:after="0" w:line="240" w:lineRule="exact"/>
        <w:rPr>
          <w:szCs w:val="18"/>
          <w:lang w:val="es-ES_tradnl"/>
        </w:rPr>
      </w:pPr>
    </w:p>
    <w:p w:rsidR="00F65771" w:rsidRPr="00F65771" w:rsidRDefault="00F65771" w:rsidP="00F65771">
      <w:pPr>
        <w:pStyle w:val="Texto"/>
        <w:spacing w:after="0" w:line="240" w:lineRule="exact"/>
        <w:ind w:left="288"/>
        <w:rPr>
          <w:szCs w:val="18"/>
        </w:rPr>
      </w:pPr>
    </w:p>
    <w:p w:rsidR="00056042" w:rsidRPr="00053D7A" w:rsidRDefault="00056042" w:rsidP="00053D7A">
      <w:pPr>
        <w:rPr>
          <w:rFonts w:ascii="Arial" w:hAnsi="Arial" w:cs="Arial"/>
          <w:sz w:val="18"/>
          <w:szCs w:val="18"/>
        </w:rPr>
      </w:pPr>
      <w:bookmarkStart w:id="0" w:name="_GoBack"/>
      <w:bookmarkEnd w:id="0"/>
    </w:p>
    <w:sectPr w:rsidR="00056042" w:rsidRPr="00053D7A"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45" w:rsidRDefault="00ED2A45" w:rsidP="00EA5418">
      <w:pPr>
        <w:spacing w:after="0" w:line="240" w:lineRule="auto"/>
      </w:pPr>
      <w:r>
        <w:separator/>
      </w:r>
    </w:p>
  </w:endnote>
  <w:endnote w:type="continuationSeparator" w:id="0">
    <w:p w:rsidR="00ED2A45" w:rsidRDefault="00ED2A4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F1BFD90" wp14:editId="0FDB4A6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53D7A" w:rsidRPr="00053D7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C29AD3" wp14:editId="46BA741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53D7A" w:rsidRPr="00053D7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45" w:rsidRDefault="00ED2A45" w:rsidP="00EA5418">
      <w:pPr>
        <w:spacing w:after="0" w:line="240" w:lineRule="auto"/>
      </w:pPr>
      <w:r>
        <w:separator/>
      </w:r>
    </w:p>
  </w:footnote>
  <w:footnote w:type="continuationSeparator" w:id="0">
    <w:p w:rsidR="00ED2A45" w:rsidRDefault="00ED2A4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4FC9A4DF" wp14:editId="05C6D376">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E53B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E53B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7AAFE2E" wp14:editId="35E5F9E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2B13942" wp14:editId="73EE7C1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713AD">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B96746"/>
    <w:multiLevelType w:val="hybridMultilevel"/>
    <w:tmpl w:val="5AB40F3E"/>
    <w:lvl w:ilvl="0" w:tplc="0164BC8E">
      <w:start w:val="1"/>
      <w:numFmt w:val="decimal"/>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E060FF"/>
    <w:multiLevelType w:val="hybridMultilevel"/>
    <w:tmpl w:val="9DF07B36"/>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F983F80"/>
    <w:multiLevelType w:val="multilevel"/>
    <w:tmpl w:val="957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246DD"/>
    <w:multiLevelType w:val="hybridMultilevel"/>
    <w:tmpl w:val="A9DE2C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23E54DA4"/>
    <w:multiLevelType w:val="multilevel"/>
    <w:tmpl w:val="AE9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0978B5"/>
    <w:multiLevelType w:val="hybridMultilevel"/>
    <w:tmpl w:val="09ECDCF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5C22B6"/>
    <w:multiLevelType w:val="multilevel"/>
    <w:tmpl w:val="A17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0B76945"/>
    <w:multiLevelType w:val="hybridMultilevel"/>
    <w:tmpl w:val="0D8E6C32"/>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nsid w:val="454A7144"/>
    <w:multiLevelType w:val="multilevel"/>
    <w:tmpl w:val="0E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100B3"/>
    <w:multiLevelType w:val="hybridMultilevel"/>
    <w:tmpl w:val="BFBE8A24"/>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nsid w:val="68500A87"/>
    <w:multiLevelType w:val="hybridMultilevel"/>
    <w:tmpl w:val="EA86C3C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nsid w:val="721A2705"/>
    <w:multiLevelType w:val="hybridMultilevel"/>
    <w:tmpl w:val="288A9D9C"/>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3"/>
  </w:num>
  <w:num w:numId="11">
    <w:abstractNumId w:val="5"/>
  </w:num>
  <w:num w:numId="12">
    <w:abstractNumId w:val="16"/>
  </w:num>
  <w:num w:numId="13">
    <w:abstractNumId w:val="8"/>
  </w:num>
  <w:num w:numId="14">
    <w:abstractNumId w:val="17"/>
  </w:num>
  <w:num w:numId="15">
    <w:abstractNumId w:val="1"/>
  </w:num>
  <w:num w:numId="16">
    <w:abstractNumId w:val="6"/>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C08"/>
    <w:rsid w:val="00040466"/>
    <w:rsid w:val="00053D7A"/>
    <w:rsid w:val="00056042"/>
    <w:rsid w:val="0009457C"/>
    <w:rsid w:val="0013011C"/>
    <w:rsid w:val="001646D9"/>
    <w:rsid w:val="001856CE"/>
    <w:rsid w:val="001B1B72"/>
    <w:rsid w:val="002865A7"/>
    <w:rsid w:val="002A70B3"/>
    <w:rsid w:val="002E5897"/>
    <w:rsid w:val="00307635"/>
    <w:rsid w:val="00355821"/>
    <w:rsid w:val="003575A4"/>
    <w:rsid w:val="003610E0"/>
    <w:rsid w:val="00372F40"/>
    <w:rsid w:val="003D5DBF"/>
    <w:rsid w:val="003E53B0"/>
    <w:rsid w:val="003E7FD0"/>
    <w:rsid w:val="0044253C"/>
    <w:rsid w:val="004713AD"/>
    <w:rsid w:val="00486AE1"/>
    <w:rsid w:val="00497D8B"/>
    <w:rsid w:val="004D41B8"/>
    <w:rsid w:val="00502D8E"/>
    <w:rsid w:val="005117F4"/>
    <w:rsid w:val="00522632"/>
    <w:rsid w:val="00531310"/>
    <w:rsid w:val="00534982"/>
    <w:rsid w:val="00540418"/>
    <w:rsid w:val="00582405"/>
    <w:rsid w:val="005859FA"/>
    <w:rsid w:val="006048D2"/>
    <w:rsid w:val="00611E39"/>
    <w:rsid w:val="006A333C"/>
    <w:rsid w:val="006B729B"/>
    <w:rsid w:val="006E6B8E"/>
    <w:rsid w:val="006E77DD"/>
    <w:rsid w:val="007568AD"/>
    <w:rsid w:val="0079582C"/>
    <w:rsid w:val="007C199A"/>
    <w:rsid w:val="007D6E9A"/>
    <w:rsid w:val="00850E90"/>
    <w:rsid w:val="008A6E4D"/>
    <w:rsid w:val="008B0017"/>
    <w:rsid w:val="008D4272"/>
    <w:rsid w:val="008E3652"/>
    <w:rsid w:val="00A14B74"/>
    <w:rsid w:val="00AB13B7"/>
    <w:rsid w:val="00B17423"/>
    <w:rsid w:val="00B42A02"/>
    <w:rsid w:val="00B62456"/>
    <w:rsid w:val="00B849EE"/>
    <w:rsid w:val="00C44F01"/>
    <w:rsid w:val="00CA2D37"/>
    <w:rsid w:val="00CC5CB6"/>
    <w:rsid w:val="00D055EC"/>
    <w:rsid w:val="00D404ED"/>
    <w:rsid w:val="00D51261"/>
    <w:rsid w:val="00D748D3"/>
    <w:rsid w:val="00DD230F"/>
    <w:rsid w:val="00E32708"/>
    <w:rsid w:val="00EA5418"/>
    <w:rsid w:val="00ED2A45"/>
    <w:rsid w:val="00F65771"/>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579363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5209">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35145399">
          <w:marLeft w:val="0"/>
          <w:marRight w:val="0"/>
          <w:marTop w:val="0"/>
          <w:marBottom w:val="0"/>
          <w:divBdr>
            <w:top w:val="none" w:sz="0" w:space="0" w:color="auto"/>
            <w:left w:val="none" w:sz="0" w:space="0" w:color="auto"/>
            <w:bottom w:val="none" w:sz="0" w:space="0" w:color="auto"/>
            <w:right w:val="none" w:sz="0" w:space="0" w:color="auto"/>
          </w:divBdr>
        </w:div>
        <w:div w:id="163251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84DB-4227-4E39-A81F-57A31391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cp:revision>
  <cp:lastPrinted>2014-10-24T01:42:00Z</cp:lastPrinted>
  <dcterms:created xsi:type="dcterms:W3CDTF">2015-12-21T23:39:00Z</dcterms:created>
  <dcterms:modified xsi:type="dcterms:W3CDTF">2015-12-22T20:53:00Z</dcterms:modified>
</cp:coreProperties>
</file>