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481100339"/>
    <w:bookmarkEnd w:id="0"/>
    <w:p w:rsidR="007D6E9A" w:rsidRDefault="006F102E" w:rsidP="003D5DBF">
      <w:pPr>
        <w:jc w:val="center"/>
      </w:pPr>
      <w:r>
        <w:object w:dxaOrig="23636" w:dyaOrig="14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75pt;height:418.5pt" o:ole="">
            <v:imagedata r:id="rId9" o:title=""/>
          </v:shape>
          <o:OLEObject Type="Embed" ProgID="Excel.Sheet.12" ShapeID="_x0000_i1025" DrawAspect="Content" ObjectID="_1499238950" r:id="rId10"/>
        </w:object>
      </w:r>
    </w:p>
    <w:p w:rsidR="00EA5418" w:rsidRDefault="00EA5418" w:rsidP="00372F40">
      <w:pPr>
        <w:jc w:val="center"/>
      </w:pPr>
    </w:p>
    <w:bookmarkStart w:id="1" w:name="_MON_1470805999"/>
    <w:bookmarkEnd w:id="1"/>
    <w:p w:rsidR="00EA5418" w:rsidRDefault="006F102E" w:rsidP="0044253C">
      <w:pPr>
        <w:jc w:val="center"/>
      </w:pPr>
      <w:r>
        <w:object w:dxaOrig="25267" w:dyaOrig="18974">
          <v:shape id="_x0000_i1026" type="#_x0000_t75" style="width:587.25pt;height:440.25pt" o:ole="">
            <v:imagedata r:id="rId11" o:title=""/>
          </v:shape>
          <o:OLEObject Type="Embed" ProgID="Excel.Sheet.12" ShapeID="_x0000_i1026" DrawAspect="Content" ObjectID="_1499238951" r:id="rId12"/>
        </w:object>
      </w:r>
    </w:p>
    <w:bookmarkStart w:id="2" w:name="_MON_1470806992"/>
    <w:bookmarkEnd w:id="2"/>
    <w:p w:rsidR="00372F40" w:rsidRDefault="002843B4" w:rsidP="000C0AB9">
      <w:r>
        <w:object w:dxaOrig="22868" w:dyaOrig="15736">
          <v:shape id="_x0000_i1027" type="#_x0000_t75" style="width:674.25pt;height:464.25pt" o:ole="">
            <v:imagedata r:id="rId13" o:title=""/>
          </v:shape>
          <o:OLEObject Type="Embed" ProgID="Excel.Sheet.12" ShapeID="_x0000_i1027" DrawAspect="Content" ObjectID="_1499238952" r:id="rId14"/>
        </w:object>
      </w:r>
    </w:p>
    <w:bookmarkStart w:id="3" w:name="_MON_1470807348"/>
    <w:bookmarkEnd w:id="3"/>
    <w:p w:rsidR="00372F40" w:rsidRDefault="006F102E" w:rsidP="008E3652">
      <w:pPr>
        <w:jc w:val="center"/>
      </w:pPr>
      <w:r>
        <w:object w:dxaOrig="17792" w:dyaOrig="12654">
          <v:shape id="_x0000_i1028" type="#_x0000_t75" style="width:9in;height:460.5pt" o:ole="">
            <v:imagedata r:id="rId15" o:title=""/>
          </v:shape>
          <o:OLEObject Type="Embed" ProgID="Excel.Sheet.12" ShapeID="_x0000_i1028" DrawAspect="Content" ObjectID="_1499238953" r:id="rId16"/>
        </w:object>
      </w:r>
    </w:p>
    <w:bookmarkStart w:id="4" w:name="_MON_1470809138"/>
    <w:bookmarkEnd w:id="4"/>
    <w:p w:rsidR="00372F40" w:rsidRDefault="00370B12" w:rsidP="00522632">
      <w:pPr>
        <w:jc w:val="center"/>
      </w:pPr>
      <w:r>
        <w:object w:dxaOrig="17886" w:dyaOrig="12213">
          <v:shape id="_x0000_i1029" type="#_x0000_t75" style="width:635.25pt;height:6in" o:ole="">
            <v:imagedata r:id="rId17" o:title=""/>
          </v:shape>
          <o:OLEObject Type="Embed" ProgID="Excel.Sheet.12" ShapeID="_x0000_i1029" DrawAspect="Content" ObjectID="_1499238954" r:id="rId18"/>
        </w:object>
      </w:r>
    </w:p>
    <w:p w:rsidR="00372F40" w:rsidRDefault="00372F40" w:rsidP="002A70B3">
      <w:pPr>
        <w:tabs>
          <w:tab w:val="left" w:pos="2430"/>
        </w:tabs>
      </w:pPr>
    </w:p>
    <w:bookmarkStart w:id="5" w:name="_MON_1470814596"/>
    <w:bookmarkEnd w:id="5"/>
    <w:p w:rsidR="00E32708" w:rsidRDefault="00AC23A2" w:rsidP="00E32708">
      <w:pPr>
        <w:tabs>
          <w:tab w:val="left" w:pos="2430"/>
        </w:tabs>
        <w:jc w:val="center"/>
      </w:pPr>
      <w:r>
        <w:object w:dxaOrig="19183" w:dyaOrig="11483">
          <v:shape id="_x0000_i1030" type="#_x0000_t75" style="width:668.25pt;height:399.75pt" o:ole="">
            <v:imagedata r:id="rId19" o:title=""/>
          </v:shape>
          <o:OLEObject Type="Embed" ProgID="Excel.Sheet.12" ShapeID="_x0000_i1030" DrawAspect="Content" ObjectID="_1499238955" r:id="rId20"/>
        </w:object>
      </w:r>
    </w:p>
    <w:bookmarkStart w:id="6" w:name="_MON_1470810366"/>
    <w:bookmarkEnd w:id="6"/>
    <w:p w:rsidR="00E32708" w:rsidRDefault="00AC23A2" w:rsidP="00E32708">
      <w:pPr>
        <w:tabs>
          <w:tab w:val="left" w:pos="2430"/>
        </w:tabs>
        <w:jc w:val="center"/>
      </w:pPr>
      <w:r>
        <w:object w:dxaOrig="26040" w:dyaOrig="16798">
          <v:shape id="_x0000_i1031" type="#_x0000_t75" style="width:693.75pt;height:448.5pt" o:ole="">
            <v:imagedata r:id="rId21" o:title=""/>
          </v:shape>
          <o:OLEObject Type="Embed" ProgID="Excel.Sheet.12" ShapeID="_x0000_i1031" DrawAspect="Content" ObjectID="_1499238956" r:id="rId22"/>
        </w:object>
      </w:r>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540418" w:rsidRDefault="000B32EB">
      <w:pPr>
        <w:rPr>
          <w:rFonts w:ascii="Soberana Sans Light" w:hAnsi="Soberana Sans Light"/>
        </w:rPr>
      </w:pPr>
      <w:r>
        <w:rPr>
          <w:rFonts w:ascii="Soberana Sans Light" w:hAnsi="Soberana Sans Light"/>
        </w:rPr>
        <w:t>En lo que se refiere a los pasi</w:t>
      </w:r>
      <w:r w:rsidR="00701F5D">
        <w:rPr>
          <w:rFonts w:ascii="Soberana Sans Light" w:hAnsi="Soberana Sans Light"/>
        </w:rPr>
        <w:t>vos contingentes, estos está</w:t>
      </w:r>
      <w:r>
        <w:rPr>
          <w:rFonts w:ascii="Soberana Sans Light" w:hAnsi="Soberana Sans Light"/>
        </w:rPr>
        <w:t>n señalados en las notas financieras del presente documento</w:t>
      </w:r>
      <w:r w:rsidR="00701F5D">
        <w:rPr>
          <w:rFonts w:ascii="Soberana Sans Light" w:hAnsi="Soberana Sans Light"/>
        </w:rPr>
        <w:t>.</w:t>
      </w:r>
      <w:r w:rsidR="00540418">
        <w:rPr>
          <w:rFonts w:ascii="Soberana Sans Light" w:hAnsi="Soberana Sans Light"/>
        </w:rPr>
        <w:br w:type="page"/>
      </w:r>
    </w:p>
    <w:p w:rsidR="00574266" w:rsidRDefault="00574266" w:rsidP="00540418">
      <w:pPr>
        <w:pStyle w:val="Texto"/>
        <w:spacing w:after="0" w:line="240" w:lineRule="exact"/>
        <w:rPr>
          <w:rFonts w:ascii="Soberana Sans Light" w:hAnsi="Soberana Sans Light"/>
          <w:sz w:val="22"/>
          <w:szCs w:val="22"/>
        </w:rPr>
      </w:pPr>
    </w:p>
    <w:p w:rsidR="000B32EB" w:rsidRPr="00B94587" w:rsidRDefault="000B32EB" w:rsidP="000B32EB">
      <w:pPr>
        <w:jc w:val="center"/>
        <w:rPr>
          <w:rFonts w:ascii="Arial Narrow" w:hAnsi="Arial Narrow"/>
          <w:b/>
        </w:rPr>
      </w:pPr>
      <w:r w:rsidRPr="00B94587">
        <w:rPr>
          <w:rFonts w:ascii="Arial Narrow" w:hAnsi="Arial Narrow"/>
          <w:noProof/>
          <w:lang w:eastAsia="es-MX"/>
        </w:rPr>
        <w:drawing>
          <wp:anchor distT="0" distB="0" distL="114300" distR="114300" simplePos="0" relativeHeight="251664384" behindDoc="0" locked="0" layoutInCell="1" allowOverlap="1">
            <wp:simplePos x="0" y="0"/>
            <wp:positionH relativeFrom="column">
              <wp:posOffset>-254635</wp:posOffset>
            </wp:positionH>
            <wp:positionV relativeFrom="paragraph">
              <wp:posOffset>-2540</wp:posOffset>
            </wp:positionV>
            <wp:extent cx="723265" cy="747395"/>
            <wp:effectExtent l="0" t="0" r="635"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oder judicial.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23265" cy="747395"/>
                    </a:xfrm>
                    <a:prstGeom prst="rect">
                      <a:avLst/>
                    </a:prstGeom>
                  </pic:spPr>
                </pic:pic>
              </a:graphicData>
            </a:graphic>
          </wp:anchor>
        </w:drawing>
      </w:r>
      <w:r w:rsidRPr="00B94587">
        <w:rPr>
          <w:rFonts w:ascii="Arial Narrow" w:hAnsi="Arial Narrow"/>
          <w:b/>
        </w:rPr>
        <w:t>TRIBUNAL SUPERIOR DE JUSTICIA DEL ESTADO DE TLAXCALA</w:t>
      </w:r>
    </w:p>
    <w:p w:rsidR="000B32EB" w:rsidRPr="00B94587" w:rsidRDefault="000B32EB" w:rsidP="000B32EB">
      <w:pPr>
        <w:jc w:val="center"/>
        <w:rPr>
          <w:rFonts w:ascii="Arial Narrow" w:hAnsi="Arial Narrow"/>
          <w:b/>
        </w:rPr>
      </w:pPr>
      <w:r w:rsidRPr="00B94587">
        <w:rPr>
          <w:rFonts w:ascii="Arial Narrow" w:hAnsi="Arial Narrow"/>
          <w:b/>
        </w:rPr>
        <w:t>NOTAS A LOS ESTADOS FINANCIEROS</w:t>
      </w:r>
    </w:p>
    <w:p w:rsidR="000B32EB" w:rsidRPr="00B94587" w:rsidRDefault="000B32EB" w:rsidP="000B32EB">
      <w:pPr>
        <w:jc w:val="center"/>
        <w:rPr>
          <w:rFonts w:ascii="Arial Narrow" w:hAnsi="Arial Narrow"/>
          <w:b/>
        </w:rPr>
      </w:pPr>
      <w:r w:rsidRPr="00B94587">
        <w:rPr>
          <w:rFonts w:ascii="Arial Narrow" w:hAnsi="Arial Narrow"/>
          <w:b/>
        </w:rPr>
        <w:t>PRIMER TRIMESTRE 2015</w:t>
      </w:r>
    </w:p>
    <w:p w:rsidR="000B32EB" w:rsidRPr="00B94587" w:rsidRDefault="000B32EB" w:rsidP="000B32EB">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rPr>
      </w:pPr>
      <w:r w:rsidRPr="00B94587">
        <w:rPr>
          <w:rFonts w:ascii="Arial Narrow" w:hAnsi="Arial Narrow"/>
          <w:b/>
        </w:rPr>
        <w:t>NOTAS DE DESGLOSE</w:t>
      </w:r>
    </w:p>
    <w:p w:rsidR="000B32EB" w:rsidRPr="00917741" w:rsidRDefault="000B32EB" w:rsidP="000B32EB">
      <w:pPr>
        <w:jc w:val="both"/>
        <w:rPr>
          <w:rFonts w:ascii="Arial Narrow" w:hAnsi="Arial Narrow"/>
        </w:rPr>
      </w:pPr>
      <w:r w:rsidRPr="00917741">
        <w:rPr>
          <w:rFonts w:ascii="Arial Narrow" w:hAnsi="Arial Narrow"/>
        </w:rPr>
        <w:t>Conforme al artículo 46 y 49 de la Ley General de contabilidad Gubernamental, tomando en cuenta lo postulados de revelación suficiente e importancia relativa con la finalidad de que la información sea transparente. En este apartado son reveladas las cuentas que tuvieron movimientos durante el primer trimestre de año 2015 que se presenta, las cuales son derivadas de las operaciones financieras y presupuestales del Honorable Tribunal de Superior de Justicia.</w:t>
      </w:r>
    </w:p>
    <w:p w:rsidR="000B32EB" w:rsidRPr="00B936EC" w:rsidRDefault="000B32EB" w:rsidP="000B32EB">
      <w:pPr>
        <w:pStyle w:val="Prrafodelista"/>
        <w:numPr>
          <w:ilvl w:val="0"/>
          <w:numId w:val="17"/>
        </w:numPr>
        <w:jc w:val="both"/>
        <w:rPr>
          <w:rFonts w:ascii="Arial Narrow" w:hAnsi="Arial Narrow"/>
          <w:b/>
          <w:u w:val="single"/>
        </w:rPr>
      </w:pPr>
      <w:r w:rsidRPr="00B936EC">
        <w:rPr>
          <w:rFonts w:ascii="Arial Narrow" w:hAnsi="Arial Narrow"/>
          <w:b/>
          <w:u w:val="single"/>
        </w:rPr>
        <w:t>NOTAS AL ESTADO DE SITUACIÓN FINANCIERA</w:t>
      </w:r>
    </w:p>
    <w:p w:rsidR="000B32EB" w:rsidRPr="00B94587" w:rsidRDefault="000B32EB" w:rsidP="000B32EB">
      <w:pPr>
        <w:jc w:val="both"/>
        <w:rPr>
          <w:rFonts w:ascii="Arial Narrow" w:hAnsi="Arial Narrow"/>
          <w:b/>
          <w:u w:val="single"/>
        </w:rPr>
      </w:pPr>
      <w:r w:rsidRPr="00B94587">
        <w:rPr>
          <w:rFonts w:ascii="Arial Narrow" w:hAnsi="Arial Narrow"/>
          <w:b/>
          <w:u w:val="single"/>
        </w:rPr>
        <w:t>ACTIVO</w:t>
      </w:r>
    </w:p>
    <w:p w:rsidR="000B32EB" w:rsidRPr="00B94587" w:rsidRDefault="000B32EB" w:rsidP="000B32EB">
      <w:pPr>
        <w:jc w:val="both"/>
        <w:rPr>
          <w:rFonts w:ascii="Arial Narrow" w:hAnsi="Arial Narrow"/>
          <w:b/>
          <w:u w:val="single"/>
        </w:rPr>
      </w:pPr>
      <w:r w:rsidRPr="00B94587">
        <w:rPr>
          <w:rFonts w:ascii="Arial Narrow" w:hAnsi="Arial Narrow"/>
          <w:b/>
          <w:u w:val="single"/>
        </w:rPr>
        <w:t>1. Efectivo y equivalentes</w:t>
      </w:r>
    </w:p>
    <w:tbl>
      <w:tblPr>
        <w:tblStyle w:val="Cuadrculamedia1-nfasis5"/>
        <w:tblW w:w="0" w:type="auto"/>
        <w:jc w:val="center"/>
        <w:tblLook w:val="04A0" w:firstRow="1" w:lastRow="0" w:firstColumn="1" w:lastColumn="0" w:noHBand="0" w:noVBand="1"/>
      </w:tblPr>
      <w:tblGrid>
        <w:gridCol w:w="2943"/>
        <w:gridCol w:w="1843"/>
      </w:tblGrid>
      <w:tr w:rsidR="000B32EB" w:rsidRPr="00701F5D" w:rsidTr="00701F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rsidR="000B32EB" w:rsidRPr="00701F5D" w:rsidRDefault="000B32EB" w:rsidP="000B32EB">
            <w:pPr>
              <w:jc w:val="both"/>
              <w:rPr>
                <w:rFonts w:ascii="Arial Narrow" w:hAnsi="Arial Narrow"/>
                <w:b w:val="0"/>
                <w:sz w:val="18"/>
                <w:szCs w:val="18"/>
              </w:rPr>
            </w:pPr>
            <w:r w:rsidRPr="00701F5D">
              <w:rPr>
                <w:rFonts w:ascii="Arial Narrow" w:hAnsi="Arial Narrow"/>
                <w:b w:val="0"/>
                <w:sz w:val="18"/>
                <w:szCs w:val="18"/>
              </w:rPr>
              <w:t xml:space="preserve">Fondo fijo </w:t>
            </w:r>
          </w:p>
        </w:tc>
        <w:tc>
          <w:tcPr>
            <w:tcW w:w="1843" w:type="dxa"/>
          </w:tcPr>
          <w:p w:rsidR="000B32EB" w:rsidRPr="00701F5D" w:rsidRDefault="000B32EB" w:rsidP="000B32EB">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701F5D">
              <w:rPr>
                <w:rFonts w:ascii="Arial Narrow" w:hAnsi="Arial Narrow"/>
                <w:b w:val="0"/>
                <w:sz w:val="18"/>
                <w:szCs w:val="18"/>
              </w:rPr>
              <w:t>$13,000.03</w:t>
            </w:r>
          </w:p>
        </w:tc>
      </w:tr>
      <w:tr w:rsidR="000B32EB" w:rsidRPr="00701F5D" w:rsidTr="00701F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rsidR="000B32EB" w:rsidRPr="00701F5D" w:rsidRDefault="00D076FB" w:rsidP="000B32EB">
            <w:pPr>
              <w:jc w:val="both"/>
              <w:rPr>
                <w:rFonts w:ascii="Arial Narrow" w:hAnsi="Arial Narrow"/>
                <w:b w:val="0"/>
                <w:sz w:val="18"/>
                <w:szCs w:val="18"/>
              </w:rPr>
            </w:pPr>
            <w:r w:rsidRPr="00701F5D">
              <w:rPr>
                <w:rFonts w:ascii="Arial Narrow" w:hAnsi="Arial Narrow"/>
                <w:b w:val="0"/>
                <w:sz w:val="18"/>
                <w:szCs w:val="18"/>
              </w:rPr>
              <w:t>B</w:t>
            </w:r>
            <w:r w:rsidR="000B32EB" w:rsidRPr="00701F5D">
              <w:rPr>
                <w:rFonts w:ascii="Arial Narrow" w:hAnsi="Arial Narrow"/>
                <w:b w:val="0"/>
                <w:sz w:val="18"/>
                <w:szCs w:val="18"/>
              </w:rPr>
              <w:t>ancos</w:t>
            </w:r>
          </w:p>
        </w:tc>
        <w:tc>
          <w:tcPr>
            <w:tcW w:w="1843" w:type="dxa"/>
          </w:tcPr>
          <w:p w:rsidR="000B32EB" w:rsidRPr="00701F5D"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701F5D">
              <w:rPr>
                <w:rFonts w:ascii="Arial Narrow" w:hAnsi="Arial Narrow"/>
                <w:sz w:val="18"/>
                <w:szCs w:val="18"/>
              </w:rPr>
              <w:t>$4,457,027.26</w:t>
            </w:r>
          </w:p>
        </w:tc>
      </w:tr>
      <w:tr w:rsidR="000B32EB" w:rsidRPr="00701F5D" w:rsidTr="00701F5D">
        <w:trPr>
          <w:jc w:val="center"/>
        </w:trPr>
        <w:tc>
          <w:tcPr>
            <w:cnfStyle w:val="001000000000" w:firstRow="0" w:lastRow="0" w:firstColumn="1" w:lastColumn="0" w:oddVBand="0" w:evenVBand="0" w:oddHBand="0" w:evenHBand="0" w:firstRowFirstColumn="0" w:firstRowLastColumn="0" w:lastRowFirstColumn="0" w:lastRowLastColumn="0"/>
            <w:tcW w:w="2943" w:type="dxa"/>
          </w:tcPr>
          <w:p w:rsidR="000B32EB" w:rsidRPr="00701F5D" w:rsidRDefault="000B32EB" w:rsidP="000B32EB">
            <w:pPr>
              <w:jc w:val="both"/>
              <w:rPr>
                <w:rFonts w:ascii="Arial Narrow" w:hAnsi="Arial Narrow"/>
                <w:b w:val="0"/>
                <w:sz w:val="18"/>
                <w:szCs w:val="18"/>
              </w:rPr>
            </w:pPr>
            <w:r w:rsidRPr="00701F5D">
              <w:rPr>
                <w:rFonts w:ascii="Arial Narrow" w:hAnsi="Arial Narrow"/>
                <w:b w:val="0"/>
                <w:sz w:val="18"/>
                <w:szCs w:val="18"/>
              </w:rPr>
              <w:t>Inversiones temporales a 3 meses</w:t>
            </w:r>
          </w:p>
        </w:tc>
        <w:tc>
          <w:tcPr>
            <w:tcW w:w="1843" w:type="dxa"/>
          </w:tcPr>
          <w:p w:rsidR="000B32EB" w:rsidRPr="00701F5D"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01F5D">
              <w:rPr>
                <w:rFonts w:ascii="Arial Narrow" w:hAnsi="Arial Narrow"/>
                <w:sz w:val="18"/>
                <w:szCs w:val="18"/>
              </w:rPr>
              <w:t>$5,023,776.07</w:t>
            </w:r>
          </w:p>
        </w:tc>
      </w:tr>
      <w:tr w:rsidR="000B32EB" w:rsidRPr="00701F5D" w:rsidTr="00701F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rsidR="000B32EB" w:rsidRPr="00701F5D" w:rsidRDefault="000B32EB" w:rsidP="000B32EB">
            <w:pPr>
              <w:jc w:val="both"/>
              <w:rPr>
                <w:rFonts w:ascii="Arial Narrow" w:hAnsi="Arial Narrow"/>
                <w:sz w:val="18"/>
                <w:szCs w:val="18"/>
              </w:rPr>
            </w:pPr>
            <w:r w:rsidRPr="00701F5D">
              <w:rPr>
                <w:rFonts w:ascii="Arial Narrow" w:hAnsi="Arial Narrow"/>
                <w:sz w:val="18"/>
                <w:szCs w:val="18"/>
              </w:rPr>
              <w:t>Efectivo y equivalentes</w:t>
            </w:r>
          </w:p>
        </w:tc>
        <w:tc>
          <w:tcPr>
            <w:tcW w:w="1843" w:type="dxa"/>
          </w:tcPr>
          <w:p w:rsidR="000B32EB" w:rsidRPr="00701F5D" w:rsidRDefault="0015198C"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701F5D">
              <w:rPr>
                <w:rFonts w:ascii="Arial Narrow" w:hAnsi="Arial Narrow"/>
                <w:b/>
                <w:sz w:val="18"/>
                <w:szCs w:val="18"/>
              </w:rPr>
              <w:fldChar w:fldCharType="begin"/>
            </w:r>
            <w:r w:rsidR="000B32EB" w:rsidRPr="00701F5D">
              <w:rPr>
                <w:rFonts w:ascii="Arial Narrow" w:hAnsi="Arial Narrow"/>
                <w:b/>
                <w:sz w:val="18"/>
                <w:szCs w:val="18"/>
              </w:rPr>
              <w:instrText xml:space="preserve"> =SUM(ABOVE) </w:instrText>
            </w:r>
            <w:r w:rsidRPr="00701F5D">
              <w:rPr>
                <w:rFonts w:ascii="Arial Narrow" w:hAnsi="Arial Narrow"/>
                <w:b/>
                <w:sz w:val="18"/>
                <w:szCs w:val="18"/>
              </w:rPr>
              <w:fldChar w:fldCharType="separate"/>
            </w:r>
            <w:r w:rsidR="000B32EB" w:rsidRPr="00701F5D">
              <w:rPr>
                <w:rFonts w:ascii="Arial Narrow" w:hAnsi="Arial Narrow"/>
                <w:b/>
                <w:noProof/>
                <w:sz w:val="18"/>
                <w:szCs w:val="18"/>
              </w:rPr>
              <w:t>$9,493,803.36</w:t>
            </w:r>
            <w:r w:rsidRPr="00701F5D">
              <w:rPr>
                <w:rFonts w:ascii="Arial Narrow" w:hAnsi="Arial Narrow"/>
                <w:b/>
                <w:sz w:val="18"/>
                <w:szCs w:val="18"/>
              </w:rPr>
              <w:fldChar w:fldCharType="end"/>
            </w:r>
          </w:p>
        </w:tc>
      </w:tr>
    </w:tbl>
    <w:p w:rsidR="000B32EB" w:rsidRPr="00B94587" w:rsidRDefault="000B32EB" w:rsidP="000B32EB">
      <w:pPr>
        <w:jc w:val="both"/>
        <w:rPr>
          <w:rFonts w:ascii="Arial Narrow" w:hAnsi="Arial Narrow"/>
          <w:b/>
          <w:u w:val="single"/>
        </w:rPr>
      </w:pPr>
    </w:p>
    <w:p w:rsidR="000B32EB" w:rsidRDefault="000B32EB" w:rsidP="000B32EB">
      <w:pPr>
        <w:spacing w:after="0"/>
        <w:jc w:val="both"/>
        <w:rPr>
          <w:rFonts w:ascii="Arial Narrow" w:hAnsi="Arial Narrow"/>
        </w:rPr>
      </w:pPr>
      <w:r w:rsidRPr="00B94587">
        <w:rPr>
          <w:rFonts w:ascii="Arial Narrow" w:hAnsi="Arial Narrow"/>
        </w:rPr>
        <w:t xml:space="preserve">Los Fondos Fijos </w:t>
      </w:r>
      <w:proofErr w:type="spellStart"/>
      <w:r w:rsidRPr="00B94587">
        <w:rPr>
          <w:rFonts w:ascii="Arial Narrow" w:hAnsi="Arial Narrow"/>
        </w:rPr>
        <w:t>Revolvente</w:t>
      </w:r>
      <w:proofErr w:type="spellEnd"/>
      <w:r w:rsidRPr="00B94587">
        <w:rPr>
          <w:rFonts w:ascii="Arial Narrow" w:hAnsi="Arial Narrow"/>
        </w:rPr>
        <w:t xml:space="preserve"> fueron creados, a efecto de cubrir gastos menores de operación en ciertas áreas, principalmente administrativas; la mayoría de estos fondos son cancelados al cierre de cada Ejercicio.</w:t>
      </w:r>
    </w:p>
    <w:p w:rsidR="00701F5D" w:rsidRPr="00B94587" w:rsidRDefault="00701F5D" w:rsidP="000B32EB">
      <w:pPr>
        <w:spacing w:after="0"/>
        <w:jc w:val="both"/>
        <w:rPr>
          <w:rFonts w:ascii="Arial Narrow" w:hAnsi="Arial Narrow"/>
        </w:rPr>
      </w:pPr>
    </w:p>
    <w:p w:rsidR="000B32EB" w:rsidRPr="00B94587" w:rsidRDefault="000B32EB" w:rsidP="000B32EB">
      <w:pPr>
        <w:jc w:val="both"/>
        <w:rPr>
          <w:rFonts w:ascii="Arial Narrow" w:hAnsi="Arial Narrow"/>
          <w:b/>
          <w:u w:val="single"/>
        </w:rPr>
      </w:pPr>
      <w:r w:rsidRPr="00B94587">
        <w:rPr>
          <w:rFonts w:ascii="Arial Narrow" w:hAnsi="Arial Narrow"/>
          <w:b/>
          <w:u w:val="single"/>
        </w:rPr>
        <w:t>2. Derechos a recibir en Efectivo y Equivalente y Bienes o Servicios a recibir</w:t>
      </w:r>
    </w:p>
    <w:tbl>
      <w:tblPr>
        <w:tblStyle w:val="Sombreadoclaro-nfasis11"/>
        <w:tblW w:w="0" w:type="auto"/>
        <w:jc w:val="center"/>
        <w:tblLook w:val="04A0" w:firstRow="1" w:lastRow="0" w:firstColumn="1" w:lastColumn="0" w:noHBand="0" w:noVBand="1"/>
      </w:tblPr>
      <w:tblGrid>
        <w:gridCol w:w="2515"/>
        <w:gridCol w:w="1562"/>
        <w:gridCol w:w="1843"/>
        <w:gridCol w:w="1701"/>
      </w:tblGrid>
      <w:tr w:rsidR="000B32EB" w:rsidRPr="00917741" w:rsidTr="000B32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tcPr>
          <w:p w:rsidR="000B32EB" w:rsidRPr="00917741" w:rsidRDefault="000B32EB" w:rsidP="000B32EB">
            <w:pPr>
              <w:jc w:val="both"/>
              <w:rPr>
                <w:rFonts w:ascii="Arial Narrow" w:hAnsi="Arial Narrow"/>
                <w:color w:val="auto"/>
                <w:sz w:val="18"/>
                <w:szCs w:val="18"/>
              </w:rPr>
            </w:pPr>
            <w:r w:rsidRPr="00917741">
              <w:rPr>
                <w:rFonts w:ascii="Arial Narrow" w:hAnsi="Arial Narrow"/>
                <w:color w:val="auto"/>
                <w:sz w:val="18"/>
                <w:szCs w:val="18"/>
              </w:rPr>
              <w:t>Concepto</w:t>
            </w:r>
          </w:p>
        </w:tc>
        <w:tc>
          <w:tcPr>
            <w:tcW w:w="1562"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Importe</w:t>
            </w:r>
          </w:p>
        </w:tc>
        <w:tc>
          <w:tcPr>
            <w:tcW w:w="1843"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Antigüedad</w:t>
            </w:r>
          </w:p>
        </w:tc>
        <w:tc>
          <w:tcPr>
            <w:tcW w:w="1701"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Factibilidad de cobro</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Depósitos en garantía</w:t>
            </w:r>
          </w:p>
        </w:tc>
        <w:tc>
          <w:tcPr>
            <w:tcW w:w="1562"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$147,239.08</w:t>
            </w:r>
          </w:p>
        </w:tc>
        <w:tc>
          <w:tcPr>
            <w:tcW w:w="1843"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Mayor a un año</w:t>
            </w:r>
          </w:p>
        </w:tc>
        <w:tc>
          <w:tcPr>
            <w:tcW w:w="1701"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Buena</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251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Deudores diversos a corto plazo</w:t>
            </w:r>
          </w:p>
        </w:tc>
        <w:tc>
          <w:tcPr>
            <w:tcW w:w="1562"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$301,873.60</w:t>
            </w:r>
          </w:p>
        </w:tc>
        <w:tc>
          <w:tcPr>
            <w:tcW w:w="1843"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Menor a un año</w:t>
            </w:r>
          </w:p>
        </w:tc>
        <w:tc>
          <w:tcPr>
            <w:tcW w:w="1701"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Buena</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Pagos anticipados a proveedores</w:t>
            </w:r>
          </w:p>
        </w:tc>
        <w:tc>
          <w:tcPr>
            <w:tcW w:w="1562"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$2,070.00</w:t>
            </w:r>
          </w:p>
        </w:tc>
        <w:tc>
          <w:tcPr>
            <w:tcW w:w="1843"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Mayor a un año</w:t>
            </w:r>
          </w:p>
        </w:tc>
        <w:tc>
          <w:tcPr>
            <w:tcW w:w="1701"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Buena</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251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Subsidio al empleo</w:t>
            </w:r>
          </w:p>
        </w:tc>
        <w:tc>
          <w:tcPr>
            <w:tcW w:w="1562"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$842.58</w:t>
            </w:r>
          </w:p>
        </w:tc>
        <w:tc>
          <w:tcPr>
            <w:tcW w:w="1843"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Menor a un año</w:t>
            </w:r>
          </w:p>
        </w:tc>
        <w:tc>
          <w:tcPr>
            <w:tcW w:w="1701"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Buena</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TOTAL</w:t>
            </w:r>
          </w:p>
        </w:tc>
        <w:tc>
          <w:tcPr>
            <w:tcW w:w="1562"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$452,025.26</w:t>
            </w:r>
          </w:p>
        </w:tc>
        <w:tc>
          <w:tcPr>
            <w:tcW w:w="1843"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c>
          <w:tcPr>
            <w:tcW w:w="1701"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bl>
    <w:p w:rsidR="000B32EB" w:rsidRPr="00B94587" w:rsidRDefault="000B32EB" w:rsidP="000B32EB">
      <w:pPr>
        <w:jc w:val="both"/>
        <w:rPr>
          <w:rFonts w:ascii="Arial Narrow" w:hAnsi="Arial Narrow"/>
          <w:b/>
          <w:u w:val="single"/>
        </w:rPr>
      </w:pPr>
    </w:p>
    <w:p w:rsidR="000B32EB" w:rsidRPr="00B94587" w:rsidRDefault="000B32EB" w:rsidP="000B32EB">
      <w:pPr>
        <w:jc w:val="both"/>
        <w:rPr>
          <w:rFonts w:ascii="Arial Narrow" w:hAnsi="Arial Narrow"/>
          <w:b/>
          <w:u w:val="single"/>
        </w:rPr>
      </w:pPr>
      <w:r w:rsidRPr="00B94587">
        <w:rPr>
          <w:rFonts w:ascii="Arial Narrow" w:hAnsi="Arial Narrow"/>
          <w:b/>
          <w:u w:val="single"/>
        </w:rPr>
        <w:lastRenderedPageBreak/>
        <w:t>3. Bienes para su transformación o consumo (inventarios)</w:t>
      </w:r>
    </w:p>
    <w:p w:rsidR="000B32EB" w:rsidRPr="00B94587" w:rsidRDefault="000B32EB" w:rsidP="000B32EB">
      <w:pPr>
        <w:jc w:val="both"/>
        <w:rPr>
          <w:rFonts w:ascii="Arial Narrow" w:hAnsi="Arial Narrow"/>
        </w:rPr>
      </w:pPr>
      <w:r w:rsidRPr="00B94587">
        <w:rPr>
          <w:rFonts w:ascii="Arial Narrow" w:hAnsi="Arial Narrow"/>
        </w:rPr>
        <w:t>No aplica</w:t>
      </w:r>
    </w:p>
    <w:p w:rsidR="000B32EB" w:rsidRPr="00B94587" w:rsidRDefault="000B32EB" w:rsidP="000B32EB">
      <w:pPr>
        <w:jc w:val="both"/>
        <w:rPr>
          <w:rFonts w:ascii="Arial Narrow" w:hAnsi="Arial Narrow"/>
          <w:b/>
          <w:u w:val="single"/>
        </w:rPr>
      </w:pPr>
      <w:r w:rsidRPr="00B94587">
        <w:rPr>
          <w:rFonts w:ascii="Arial Narrow" w:hAnsi="Arial Narrow"/>
          <w:b/>
          <w:u w:val="single"/>
        </w:rPr>
        <w:t>4. inversiones financieras</w:t>
      </w:r>
    </w:p>
    <w:p w:rsidR="000B32EB" w:rsidRPr="00B94587" w:rsidRDefault="000B32EB" w:rsidP="000B32EB">
      <w:pPr>
        <w:jc w:val="both"/>
        <w:rPr>
          <w:rFonts w:ascii="Arial Narrow" w:hAnsi="Arial Narrow"/>
          <w:u w:val="single"/>
        </w:rPr>
      </w:pPr>
      <w:r w:rsidRPr="00B94587">
        <w:rPr>
          <w:rFonts w:ascii="Arial Narrow" w:hAnsi="Arial Narrow"/>
          <w:u w:val="single"/>
        </w:rPr>
        <w:t>No aplica</w:t>
      </w:r>
    </w:p>
    <w:p w:rsidR="000B32EB" w:rsidRPr="00B94587" w:rsidRDefault="000B32EB" w:rsidP="000B32EB">
      <w:pPr>
        <w:jc w:val="both"/>
        <w:rPr>
          <w:rFonts w:ascii="Arial Narrow" w:hAnsi="Arial Narrow"/>
          <w:b/>
          <w:u w:val="single"/>
        </w:rPr>
      </w:pPr>
      <w:r w:rsidRPr="00B94587">
        <w:rPr>
          <w:rFonts w:ascii="Arial Narrow" w:hAnsi="Arial Narrow"/>
          <w:b/>
          <w:u w:val="single"/>
        </w:rPr>
        <w:t>5. Bienes muebles, inmuebles e intangibles</w:t>
      </w:r>
    </w:p>
    <w:tbl>
      <w:tblPr>
        <w:tblStyle w:val="Sombreadoclaro-nfasis11"/>
        <w:tblW w:w="0" w:type="auto"/>
        <w:jc w:val="center"/>
        <w:tblLook w:val="04A0" w:firstRow="1" w:lastRow="0" w:firstColumn="1" w:lastColumn="0" w:noHBand="0" w:noVBand="1"/>
      </w:tblPr>
      <w:tblGrid>
        <w:gridCol w:w="2660"/>
        <w:gridCol w:w="1559"/>
        <w:gridCol w:w="1412"/>
        <w:gridCol w:w="1387"/>
        <w:gridCol w:w="1454"/>
        <w:gridCol w:w="1591"/>
      </w:tblGrid>
      <w:tr w:rsidR="000B32EB" w:rsidRPr="00917741" w:rsidTr="001323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1559"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Monto</w:t>
            </w:r>
          </w:p>
        </w:tc>
        <w:tc>
          <w:tcPr>
            <w:tcW w:w="1412"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Depreciación del ejercicio</w:t>
            </w:r>
          </w:p>
        </w:tc>
        <w:tc>
          <w:tcPr>
            <w:tcW w:w="1387"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Depreciación acumulada</w:t>
            </w:r>
          </w:p>
        </w:tc>
        <w:tc>
          <w:tcPr>
            <w:tcW w:w="1454"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Tasa de depreciación</w:t>
            </w:r>
          </w:p>
        </w:tc>
        <w:tc>
          <w:tcPr>
            <w:tcW w:w="1591"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Estado en que se encuentran</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63" w:type="dxa"/>
            <w:gridSpan w:val="6"/>
          </w:tcPr>
          <w:p w:rsidR="000B32EB" w:rsidRPr="0040035B" w:rsidRDefault="000B32EB" w:rsidP="000B32EB">
            <w:pPr>
              <w:jc w:val="both"/>
              <w:rPr>
                <w:rFonts w:ascii="Arial Narrow" w:hAnsi="Arial Narrow"/>
                <w:color w:val="auto"/>
                <w:sz w:val="18"/>
                <w:szCs w:val="18"/>
              </w:rPr>
            </w:pPr>
            <w:r w:rsidRPr="0040035B">
              <w:rPr>
                <w:rFonts w:ascii="Arial Narrow" w:hAnsi="Arial Narrow"/>
                <w:color w:val="auto"/>
                <w:sz w:val="18"/>
                <w:szCs w:val="18"/>
              </w:rPr>
              <w:t>BIENES MUEBLES</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Muebles de oficina y estantería</w:t>
            </w:r>
          </w:p>
        </w:tc>
        <w:tc>
          <w:tcPr>
            <w:tcW w:w="1559"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$5,072,062.78</w:t>
            </w:r>
          </w:p>
        </w:tc>
        <w:tc>
          <w:tcPr>
            <w:tcW w:w="1412" w:type="dxa"/>
          </w:tcPr>
          <w:p w:rsidR="000B32EB" w:rsidRPr="00917741" w:rsidRDefault="000B32EB" w:rsidP="007D5C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7D5C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7D5C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Equipo de cómputo y de tecnologías de la información</w:t>
            </w:r>
          </w:p>
        </w:tc>
        <w:tc>
          <w:tcPr>
            <w:tcW w:w="1559"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$5,566,766.68</w:t>
            </w:r>
          </w:p>
        </w:tc>
        <w:tc>
          <w:tcPr>
            <w:tcW w:w="1412" w:type="dxa"/>
          </w:tcPr>
          <w:p w:rsidR="000B32EB" w:rsidRPr="00917741" w:rsidRDefault="000B32EB" w:rsidP="007D5C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7D5C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7D5C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Equipos y aparatos audiovisuales</w:t>
            </w:r>
          </w:p>
        </w:tc>
        <w:tc>
          <w:tcPr>
            <w:tcW w:w="1559"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$21,192.89</w:t>
            </w:r>
          </w:p>
        </w:tc>
        <w:tc>
          <w:tcPr>
            <w:tcW w:w="1412" w:type="dxa"/>
          </w:tcPr>
          <w:p w:rsidR="000B32EB" w:rsidRPr="00917741" w:rsidRDefault="000B32EB" w:rsidP="007D5C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7D5C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7D5C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Otros mobiliarios y equipo educacional y recreativo</w:t>
            </w:r>
          </w:p>
        </w:tc>
        <w:tc>
          <w:tcPr>
            <w:tcW w:w="1559"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$14,261.20</w:t>
            </w:r>
          </w:p>
        </w:tc>
        <w:tc>
          <w:tcPr>
            <w:tcW w:w="1412" w:type="dxa"/>
          </w:tcPr>
          <w:p w:rsidR="000B32EB" w:rsidRPr="00917741" w:rsidRDefault="000B32EB" w:rsidP="007D5C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7D5C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7D5C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Vehículos y equipo de transporte</w:t>
            </w:r>
          </w:p>
        </w:tc>
        <w:tc>
          <w:tcPr>
            <w:tcW w:w="1559"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$2,361,455.25</w:t>
            </w:r>
          </w:p>
        </w:tc>
        <w:tc>
          <w:tcPr>
            <w:tcW w:w="1412" w:type="dxa"/>
          </w:tcPr>
          <w:p w:rsidR="000B32EB" w:rsidRPr="00917741" w:rsidRDefault="000B32EB" w:rsidP="007D5C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7D5C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7D5C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Equipo de comunicación y telecomunicación</w:t>
            </w:r>
          </w:p>
        </w:tc>
        <w:tc>
          <w:tcPr>
            <w:tcW w:w="1559"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70,102.00</w:t>
            </w:r>
          </w:p>
        </w:tc>
        <w:tc>
          <w:tcPr>
            <w:tcW w:w="1412" w:type="dxa"/>
          </w:tcPr>
          <w:p w:rsidR="000B32EB" w:rsidRPr="00917741" w:rsidRDefault="000B32EB" w:rsidP="007D5C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7D5C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7D5C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c>
          <w:tcPr>
            <w:tcW w:w="1591"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Aparatos y accesorios eléctricos</w:t>
            </w:r>
          </w:p>
        </w:tc>
        <w:tc>
          <w:tcPr>
            <w:tcW w:w="1559"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9,614.97</w:t>
            </w:r>
          </w:p>
        </w:tc>
        <w:tc>
          <w:tcPr>
            <w:tcW w:w="1412" w:type="dxa"/>
          </w:tcPr>
          <w:p w:rsidR="000B32EB" w:rsidRPr="00917741" w:rsidRDefault="000B32EB" w:rsidP="007D5C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387" w:type="dxa"/>
          </w:tcPr>
          <w:p w:rsidR="000B32EB" w:rsidRPr="00917741" w:rsidRDefault="000B32EB" w:rsidP="007D5C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454" w:type="dxa"/>
          </w:tcPr>
          <w:p w:rsidR="000B32EB" w:rsidRPr="00917741" w:rsidRDefault="000B32EB" w:rsidP="007D5C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591"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Herramientas y máquinas-herramienta</w:t>
            </w:r>
          </w:p>
        </w:tc>
        <w:tc>
          <w:tcPr>
            <w:tcW w:w="1559"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$563,501.05</w:t>
            </w:r>
          </w:p>
        </w:tc>
        <w:tc>
          <w:tcPr>
            <w:tcW w:w="1412" w:type="dxa"/>
          </w:tcPr>
          <w:p w:rsidR="000B32EB" w:rsidRPr="00917741" w:rsidRDefault="000B32EB" w:rsidP="007D5C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7D5C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7D5C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color w:val="auto"/>
                <w:sz w:val="18"/>
                <w:szCs w:val="18"/>
              </w:rPr>
            </w:pPr>
            <w:r w:rsidRPr="00917741">
              <w:rPr>
                <w:rFonts w:ascii="Arial Narrow" w:hAnsi="Arial Narrow"/>
                <w:color w:val="auto"/>
                <w:sz w:val="18"/>
                <w:szCs w:val="18"/>
              </w:rPr>
              <w:t>TOTAL EN BIENES MUEBLES</w:t>
            </w:r>
          </w:p>
        </w:tc>
        <w:tc>
          <w:tcPr>
            <w:tcW w:w="1559" w:type="dxa"/>
          </w:tcPr>
          <w:p w:rsidR="000B32EB" w:rsidRPr="00917741" w:rsidRDefault="0015198C"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sidRPr="00917741">
              <w:rPr>
                <w:rFonts w:ascii="Arial Narrow" w:hAnsi="Arial Narrow"/>
                <w:b/>
                <w:sz w:val="18"/>
                <w:szCs w:val="18"/>
              </w:rPr>
              <w:fldChar w:fldCharType="begin"/>
            </w:r>
            <w:r w:rsidR="000B32EB" w:rsidRPr="00917741">
              <w:rPr>
                <w:rFonts w:ascii="Arial Narrow" w:hAnsi="Arial Narrow"/>
                <w:b/>
                <w:color w:val="auto"/>
                <w:sz w:val="18"/>
                <w:szCs w:val="18"/>
              </w:rPr>
              <w:instrText xml:space="preserve"> =SUM(ABOVE) </w:instrText>
            </w:r>
            <w:r w:rsidRPr="00917741">
              <w:rPr>
                <w:rFonts w:ascii="Arial Narrow" w:hAnsi="Arial Narrow"/>
                <w:b/>
                <w:sz w:val="18"/>
                <w:szCs w:val="18"/>
              </w:rPr>
              <w:fldChar w:fldCharType="separate"/>
            </w:r>
            <w:r w:rsidR="000B32EB" w:rsidRPr="00917741">
              <w:rPr>
                <w:rFonts w:ascii="Arial Narrow" w:hAnsi="Arial Narrow"/>
                <w:b/>
                <w:noProof/>
                <w:color w:val="auto"/>
                <w:sz w:val="18"/>
                <w:szCs w:val="18"/>
              </w:rPr>
              <w:t>$13,678,956.82</w:t>
            </w:r>
            <w:r w:rsidRPr="00917741">
              <w:rPr>
                <w:rFonts w:ascii="Arial Narrow" w:hAnsi="Arial Narrow"/>
                <w:b/>
                <w:sz w:val="18"/>
                <w:szCs w:val="18"/>
              </w:rPr>
              <w:fldChar w:fldCharType="end"/>
            </w:r>
          </w:p>
        </w:tc>
        <w:tc>
          <w:tcPr>
            <w:tcW w:w="1412" w:type="dxa"/>
          </w:tcPr>
          <w:p w:rsidR="000B32EB" w:rsidRPr="00917741" w:rsidRDefault="000B32EB" w:rsidP="007D5C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387" w:type="dxa"/>
          </w:tcPr>
          <w:p w:rsidR="000B32EB" w:rsidRPr="00917741" w:rsidRDefault="000B32EB" w:rsidP="007D5C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454" w:type="dxa"/>
          </w:tcPr>
          <w:p w:rsidR="000B32EB" w:rsidRPr="00917741" w:rsidRDefault="000B32EB" w:rsidP="007D5C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591"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Edificio Juzgado de Cuauhtémoc, ubicado  Av. de las Torres 1303, Apizaco Tlaxcala</w:t>
            </w:r>
          </w:p>
        </w:tc>
        <w:tc>
          <w:tcPr>
            <w:tcW w:w="1559"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$1,462,517.83</w:t>
            </w:r>
          </w:p>
        </w:tc>
        <w:tc>
          <w:tcPr>
            <w:tcW w:w="1412" w:type="dxa"/>
          </w:tcPr>
          <w:p w:rsidR="000B32EB" w:rsidRPr="00917741" w:rsidRDefault="000B32EB" w:rsidP="007D5C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7D5C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7D5C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regular estado</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color w:val="auto"/>
                <w:sz w:val="18"/>
                <w:szCs w:val="18"/>
              </w:rPr>
            </w:pPr>
            <w:r w:rsidRPr="00917741">
              <w:rPr>
                <w:rFonts w:ascii="Arial Narrow" w:hAnsi="Arial Narrow"/>
                <w:color w:val="auto"/>
                <w:sz w:val="18"/>
                <w:szCs w:val="18"/>
              </w:rPr>
              <w:t>TOTAL DE BIENES INMUEBLES</w:t>
            </w:r>
          </w:p>
        </w:tc>
        <w:tc>
          <w:tcPr>
            <w:tcW w:w="1559"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$1,462,517.83</w:t>
            </w:r>
          </w:p>
        </w:tc>
        <w:tc>
          <w:tcPr>
            <w:tcW w:w="1412"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387"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454"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591"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r>
    </w:tbl>
    <w:p w:rsidR="000B32EB" w:rsidRPr="00B94587" w:rsidRDefault="000B32EB" w:rsidP="000B32EB">
      <w:pPr>
        <w:jc w:val="both"/>
        <w:rPr>
          <w:rFonts w:ascii="Arial Narrow" w:hAnsi="Arial Narrow"/>
        </w:rPr>
      </w:pPr>
    </w:p>
    <w:p w:rsidR="000B32EB" w:rsidRPr="00B94587" w:rsidRDefault="000B32EB" w:rsidP="000B32EB">
      <w:pPr>
        <w:jc w:val="both"/>
        <w:rPr>
          <w:rFonts w:ascii="Arial Narrow" w:hAnsi="Arial Narrow"/>
        </w:rPr>
      </w:pPr>
      <w:r>
        <w:rPr>
          <w:rFonts w:ascii="Arial Narrow" w:hAnsi="Arial Narrow"/>
        </w:rPr>
        <w:t>Esta</w:t>
      </w:r>
      <w:r w:rsidRPr="00B94587">
        <w:rPr>
          <w:rFonts w:ascii="Arial Narrow" w:hAnsi="Arial Narrow"/>
        </w:rPr>
        <w:t xml:space="preserve"> en proceso de actualización el inventario de bienes muebles, por lo que no se registra la tasa de depreciación hasta conciliar lo registrado con lo físico y realizar las modificaciones correspondientes y poder determinar los datos de depreciación del ejercicio y depreciación acumulada.</w:t>
      </w:r>
    </w:p>
    <w:p w:rsidR="000B32EB" w:rsidRPr="00B94587" w:rsidRDefault="000B32EB" w:rsidP="000B32EB">
      <w:pPr>
        <w:jc w:val="both"/>
        <w:rPr>
          <w:rFonts w:ascii="Arial Narrow" w:hAnsi="Arial Narrow"/>
          <w:b/>
          <w:u w:val="single"/>
        </w:rPr>
      </w:pPr>
      <w:r w:rsidRPr="00B94587">
        <w:rPr>
          <w:rFonts w:ascii="Arial Narrow" w:hAnsi="Arial Narrow"/>
          <w:b/>
          <w:u w:val="single"/>
        </w:rPr>
        <w:t>6. Estimaciones y Deterioros</w:t>
      </w:r>
    </w:p>
    <w:p w:rsidR="000B32EB" w:rsidRDefault="000B32EB" w:rsidP="000B32EB">
      <w:pPr>
        <w:jc w:val="both"/>
        <w:rPr>
          <w:rFonts w:ascii="Arial Narrow" w:hAnsi="Arial Narrow"/>
        </w:rPr>
      </w:pPr>
      <w:r w:rsidRPr="00B94587">
        <w:rPr>
          <w:rFonts w:ascii="Arial Narrow" w:hAnsi="Arial Narrow"/>
        </w:rPr>
        <w:t>No aplica</w:t>
      </w:r>
      <w:r w:rsidR="00701F5D">
        <w:rPr>
          <w:rFonts w:ascii="Arial Narrow" w:hAnsi="Arial Narrow"/>
        </w:rPr>
        <w:t>.</w:t>
      </w:r>
    </w:p>
    <w:p w:rsidR="000B32EB" w:rsidRPr="00701F5D" w:rsidRDefault="000B32EB" w:rsidP="000B32EB">
      <w:pPr>
        <w:jc w:val="both"/>
        <w:rPr>
          <w:rFonts w:ascii="Arial Narrow" w:hAnsi="Arial Narrow"/>
          <w:b/>
          <w:u w:val="single"/>
        </w:rPr>
      </w:pPr>
      <w:r w:rsidRPr="00B94587">
        <w:rPr>
          <w:rFonts w:ascii="Arial Narrow" w:hAnsi="Arial Narrow"/>
          <w:b/>
        </w:rPr>
        <w:t xml:space="preserve">7. </w:t>
      </w:r>
      <w:r w:rsidRPr="00701F5D">
        <w:rPr>
          <w:rFonts w:ascii="Arial Narrow" w:hAnsi="Arial Narrow"/>
          <w:b/>
          <w:u w:val="single"/>
        </w:rPr>
        <w:t xml:space="preserve">Otros </w:t>
      </w:r>
      <w:r w:rsidRPr="00701F5D">
        <w:rPr>
          <w:rFonts w:ascii="Arial Narrow" w:hAnsi="Arial Narrow"/>
          <w:b/>
        </w:rPr>
        <w:t>activos</w:t>
      </w:r>
      <w:r w:rsidR="00701F5D">
        <w:rPr>
          <w:rFonts w:ascii="Arial Narrow" w:hAnsi="Arial Narrow"/>
          <w:b/>
        </w:rPr>
        <w:t xml:space="preserve">    </w:t>
      </w:r>
      <w:r w:rsidRPr="00701F5D">
        <w:rPr>
          <w:rFonts w:ascii="Arial Narrow" w:hAnsi="Arial Narrow"/>
        </w:rPr>
        <w:t>No</w:t>
      </w:r>
      <w:r w:rsidRPr="00B94587">
        <w:rPr>
          <w:rFonts w:ascii="Arial Narrow" w:hAnsi="Arial Narrow"/>
        </w:rPr>
        <w:t xml:space="preserve"> aplica</w:t>
      </w:r>
      <w:r w:rsidR="00701F5D">
        <w:rPr>
          <w:rFonts w:ascii="Arial Narrow" w:hAnsi="Arial Narrow"/>
        </w:rPr>
        <w:t>.</w:t>
      </w:r>
    </w:p>
    <w:p w:rsidR="000B32EB" w:rsidRPr="00B94587" w:rsidRDefault="000B32EB" w:rsidP="000B32EB">
      <w:pPr>
        <w:jc w:val="both"/>
        <w:rPr>
          <w:rFonts w:ascii="Arial Narrow" w:hAnsi="Arial Narrow"/>
          <w:b/>
          <w:u w:val="single"/>
        </w:rPr>
      </w:pPr>
      <w:r w:rsidRPr="00B94587">
        <w:rPr>
          <w:rFonts w:ascii="Arial Narrow" w:hAnsi="Arial Narrow"/>
          <w:b/>
          <w:u w:val="single"/>
        </w:rPr>
        <w:lastRenderedPageBreak/>
        <w:t>PASIVO</w:t>
      </w:r>
    </w:p>
    <w:tbl>
      <w:tblPr>
        <w:tblStyle w:val="Sombreadoclaro-nfasis11"/>
        <w:tblW w:w="8897" w:type="dxa"/>
        <w:jc w:val="center"/>
        <w:tblLook w:val="04A0" w:firstRow="1" w:lastRow="0" w:firstColumn="1" w:lastColumn="0" w:noHBand="0" w:noVBand="1"/>
      </w:tblPr>
      <w:tblGrid>
        <w:gridCol w:w="3455"/>
        <w:gridCol w:w="1615"/>
        <w:gridCol w:w="1999"/>
        <w:gridCol w:w="1828"/>
      </w:tblGrid>
      <w:tr w:rsidR="000B32EB" w:rsidRPr="00917741" w:rsidTr="001323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1615"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Importe</w:t>
            </w:r>
          </w:p>
        </w:tc>
        <w:tc>
          <w:tcPr>
            <w:tcW w:w="1999"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Factibilidad de pago</w:t>
            </w:r>
          </w:p>
        </w:tc>
        <w:tc>
          <w:tcPr>
            <w:tcW w:w="1828"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Vencimiento</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97" w:type="dxa"/>
            <w:gridSpan w:val="4"/>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Pasivos a Corto plazo</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Servicios personales por pagar a corto plazo “gastos médicos”</w:t>
            </w:r>
          </w:p>
        </w:tc>
        <w:tc>
          <w:tcPr>
            <w:tcW w:w="1615"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$13,248.52</w:t>
            </w:r>
          </w:p>
        </w:tc>
        <w:tc>
          <w:tcPr>
            <w:tcW w:w="1999"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3 meses</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Proveedores de bienes y servicios</w:t>
            </w:r>
          </w:p>
        </w:tc>
        <w:tc>
          <w:tcPr>
            <w:tcW w:w="1615"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$972,934.52</w:t>
            </w:r>
          </w:p>
        </w:tc>
        <w:tc>
          <w:tcPr>
            <w:tcW w:w="1999" w:type="dxa"/>
          </w:tcPr>
          <w:p w:rsidR="000B32EB" w:rsidRPr="00917741" w:rsidRDefault="000B32EB"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Retenciones sobre la renta ISR</w:t>
            </w:r>
          </w:p>
        </w:tc>
        <w:tc>
          <w:tcPr>
            <w:tcW w:w="1615"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$1,444,492.71</w:t>
            </w:r>
          </w:p>
        </w:tc>
        <w:tc>
          <w:tcPr>
            <w:tcW w:w="1999"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10% de ISR arrendamientos</w:t>
            </w:r>
          </w:p>
        </w:tc>
        <w:tc>
          <w:tcPr>
            <w:tcW w:w="1615"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$11,554.68</w:t>
            </w:r>
          </w:p>
        </w:tc>
        <w:tc>
          <w:tcPr>
            <w:tcW w:w="1999" w:type="dxa"/>
          </w:tcPr>
          <w:p w:rsidR="000B32EB" w:rsidRPr="00917741" w:rsidRDefault="000B32EB"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10% de ISR honorarios</w:t>
            </w:r>
          </w:p>
        </w:tc>
        <w:tc>
          <w:tcPr>
            <w:tcW w:w="1615"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$1,488.07</w:t>
            </w:r>
          </w:p>
        </w:tc>
        <w:tc>
          <w:tcPr>
            <w:tcW w:w="1999"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Previsiones Monserrat</w:t>
            </w:r>
          </w:p>
        </w:tc>
        <w:tc>
          <w:tcPr>
            <w:tcW w:w="1615"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$7,420.00</w:t>
            </w:r>
          </w:p>
        </w:tc>
        <w:tc>
          <w:tcPr>
            <w:tcW w:w="1999" w:type="dxa"/>
          </w:tcPr>
          <w:p w:rsidR="000B32EB" w:rsidRPr="00917741" w:rsidRDefault="000B32EB"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proofErr w:type="spellStart"/>
            <w:r w:rsidRPr="00917741">
              <w:rPr>
                <w:rFonts w:ascii="Arial Narrow" w:hAnsi="Arial Narrow"/>
                <w:b w:val="0"/>
                <w:color w:val="auto"/>
                <w:sz w:val="18"/>
                <w:szCs w:val="18"/>
              </w:rPr>
              <w:t>Metlife</w:t>
            </w:r>
            <w:proofErr w:type="spellEnd"/>
            <w:r w:rsidRPr="00917741">
              <w:rPr>
                <w:rFonts w:ascii="Arial Narrow" w:hAnsi="Arial Narrow"/>
                <w:b w:val="0"/>
                <w:color w:val="auto"/>
                <w:sz w:val="18"/>
                <w:szCs w:val="18"/>
              </w:rPr>
              <w:t xml:space="preserve"> México</w:t>
            </w:r>
          </w:p>
        </w:tc>
        <w:tc>
          <w:tcPr>
            <w:tcW w:w="1615"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$193,767.70</w:t>
            </w:r>
          </w:p>
        </w:tc>
        <w:tc>
          <w:tcPr>
            <w:tcW w:w="1999"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HIR</w:t>
            </w:r>
          </w:p>
        </w:tc>
        <w:tc>
          <w:tcPr>
            <w:tcW w:w="1615"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$37,520.00</w:t>
            </w:r>
          </w:p>
        </w:tc>
        <w:tc>
          <w:tcPr>
            <w:tcW w:w="1999" w:type="dxa"/>
          </w:tcPr>
          <w:p w:rsidR="000B32EB" w:rsidRPr="00917741" w:rsidRDefault="000B32EB"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Sindicato 7 de Mayo</w:t>
            </w:r>
          </w:p>
        </w:tc>
        <w:tc>
          <w:tcPr>
            <w:tcW w:w="1615"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290,614.01</w:t>
            </w:r>
          </w:p>
        </w:tc>
        <w:tc>
          <w:tcPr>
            <w:tcW w:w="1999"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Pensiones civiles</w:t>
            </w:r>
          </w:p>
        </w:tc>
        <w:tc>
          <w:tcPr>
            <w:tcW w:w="1615"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$723,196.24</w:t>
            </w:r>
          </w:p>
        </w:tc>
        <w:tc>
          <w:tcPr>
            <w:tcW w:w="1999" w:type="dxa"/>
          </w:tcPr>
          <w:p w:rsidR="000B32EB" w:rsidRPr="00917741" w:rsidRDefault="000B32EB"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Otros Documentos por pagar a corto plazo</w:t>
            </w:r>
          </w:p>
        </w:tc>
        <w:tc>
          <w:tcPr>
            <w:tcW w:w="1615"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$2,009,608.00</w:t>
            </w:r>
          </w:p>
        </w:tc>
        <w:tc>
          <w:tcPr>
            <w:tcW w:w="1999"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color w:val="auto"/>
                <w:sz w:val="18"/>
                <w:szCs w:val="18"/>
              </w:rPr>
            </w:pPr>
            <w:r w:rsidRPr="00917741">
              <w:rPr>
                <w:rFonts w:ascii="Arial Narrow" w:hAnsi="Arial Narrow"/>
                <w:color w:val="auto"/>
                <w:sz w:val="18"/>
                <w:szCs w:val="18"/>
              </w:rPr>
              <w:t xml:space="preserve">Total  </w:t>
            </w:r>
            <w:r>
              <w:rPr>
                <w:rFonts w:ascii="Arial Narrow" w:hAnsi="Arial Narrow"/>
                <w:color w:val="auto"/>
                <w:sz w:val="18"/>
                <w:szCs w:val="18"/>
              </w:rPr>
              <w:t xml:space="preserve">pasivo </w:t>
            </w:r>
            <w:r w:rsidRPr="00917741">
              <w:rPr>
                <w:rFonts w:ascii="Arial Narrow" w:hAnsi="Arial Narrow"/>
                <w:color w:val="auto"/>
                <w:sz w:val="18"/>
                <w:szCs w:val="18"/>
              </w:rPr>
              <w:t>a corto plazo</w:t>
            </w:r>
          </w:p>
        </w:tc>
        <w:tc>
          <w:tcPr>
            <w:tcW w:w="1615" w:type="dxa"/>
          </w:tcPr>
          <w:p w:rsidR="000B32EB" w:rsidRPr="00917741" w:rsidRDefault="0015198C"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917741">
              <w:rPr>
                <w:rFonts w:ascii="Arial Narrow" w:hAnsi="Arial Narrow"/>
                <w:b/>
                <w:sz w:val="18"/>
                <w:szCs w:val="18"/>
              </w:rPr>
              <w:fldChar w:fldCharType="begin"/>
            </w:r>
            <w:r w:rsidR="000B32EB" w:rsidRPr="00917741">
              <w:rPr>
                <w:rFonts w:ascii="Arial Narrow" w:hAnsi="Arial Narrow"/>
                <w:b/>
                <w:color w:val="auto"/>
                <w:sz w:val="18"/>
                <w:szCs w:val="18"/>
              </w:rPr>
              <w:instrText xml:space="preserve"> =SUM(ABOVE) </w:instrText>
            </w:r>
            <w:r w:rsidRPr="00917741">
              <w:rPr>
                <w:rFonts w:ascii="Arial Narrow" w:hAnsi="Arial Narrow"/>
                <w:b/>
                <w:sz w:val="18"/>
                <w:szCs w:val="18"/>
              </w:rPr>
              <w:fldChar w:fldCharType="end"/>
            </w:r>
            <w:r w:rsidRPr="00917741">
              <w:rPr>
                <w:rFonts w:ascii="Arial Narrow" w:hAnsi="Arial Narrow"/>
                <w:b/>
                <w:sz w:val="18"/>
                <w:szCs w:val="18"/>
              </w:rPr>
              <w:fldChar w:fldCharType="begin"/>
            </w:r>
            <w:r w:rsidR="000B32EB" w:rsidRPr="00917741">
              <w:rPr>
                <w:rFonts w:ascii="Arial Narrow" w:hAnsi="Arial Narrow"/>
                <w:b/>
                <w:color w:val="auto"/>
                <w:sz w:val="18"/>
                <w:szCs w:val="18"/>
              </w:rPr>
              <w:instrText xml:space="preserve"> =SUM(ABOVE) </w:instrText>
            </w:r>
            <w:r w:rsidRPr="00917741">
              <w:rPr>
                <w:rFonts w:ascii="Arial Narrow" w:hAnsi="Arial Narrow"/>
                <w:b/>
                <w:sz w:val="18"/>
                <w:szCs w:val="18"/>
              </w:rPr>
              <w:fldChar w:fldCharType="separate"/>
            </w:r>
            <w:r w:rsidR="000B32EB" w:rsidRPr="00917741">
              <w:rPr>
                <w:rFonts w:ascii="Arial Narrow" w:hAnsi="Arial Narrow"/>
                <w:b/>
                <w:noProof/>
                <w:color w:val="auto"/>
                <w:sz w:val="18"/>
                <w:szCs w:val="18"/>
              </w:rPr>
              <w:t>$5,705,844.45</w:t>
            </w:r>
            <w:r w:rsidRPr="00917741">
              <w:rPr>
                <w:rFonts w:ascii="Arial Narrow" w:hAnsi="Arial Narrow"/>
                <w:b/>
                <w:sz w:val="18"/>
                <w:szCs w:val="18"/>
              </w:rPr>
              <w:fldChar w:fldCharType="end"/>
            </w:r>
          </w:p>
        </w:tc>
        <w:tc>
          <w:tcPr>
            <w:tcW w:w="1999"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828"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Pasivos a  Largo Plazo</w:t>
            </w:r>
          </w:p>
        </w:tc>
        <w:tc>
          <w:tcPr>
            <w:tcW w:w="1615"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999"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828"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Otros Documentos por pagar a largo plazo “Fondo Auxiliar”</w:t>
            </w:r>
          </w:p>
        </w:tc>
        <w:tc>
          <w:tcPr>
            <w:tcW w:w="1615"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$10,084,758.13</w:t>
            </w:r>
          </w:p>
        </w:tc>
        <w:tc>
          <w:tcPr>
            <w:tcW w:w="1999"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Mala</w:t>
            </w:r>
          </w:p>
        </w:tc>
        <w:tc>
          <w:tcPr>
            <w:tcW w:w="1828"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Mayor de 365 días</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color w:val="auto"/>
                <w:sz w:val="18"/>
                <w:szCs w:val="18"/>
              </w:rPr>
            </w:pPr>
            <w:r>
              <w:rPr>
                <w:rFonts w:ascii="Arial Narrow" w:hAnsi="Arial Narrow"/>
                <w:color w:val="auto"/>
                <w:sz w:val="18"/>
                <w:szCs w:val="18"/>
              </w:rPr>
              <w:t xml:space="preserve">Total pasivo </w:t>
            </w:r>
            <w:r w:rsidRPr="00917741">
              <w:rPr>
                <w:rFonts w:ascii="Arial Narrow" w:hAnsi="Arial Narrow"/>
                <w:color w:val="auto"/>
                <w:sz w:val="18"/>
                <w:szCs w:val="18"/>
              </w:rPr>
              <w:t>a largo plazo</w:t>
            </w:r>
          </w:p>
        </w:tc>
        <w:tc>
          <w:tcPr>
            <w:tcW w:w="1615"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$10,084,758.13</w:t>
            </w:r>
          </w:p>
        </w:tc>
        <w:tc>
          <w:tcPr>
            <w:tcW w:w="1999"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828"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color w:val="auto"/>
                <w:sz w:val="18"/>
                <w:szCs w:val="18"/>
              </w:rPr>
            </w:pPr>
            <w:r w:rsidRPr="00917741">
              <w:rPr>
                <w:rFonts w:ascii="Arial Narrow" w:hAnsi="Arial Narrow"/>
                <w:color w:val="auto"/>
                <w:sz w:val="18"/>
                <w:szCs w:val="18"/>
              </w:rPr>
              <w:t>Total pasivos</w:t>
            </w:r>
          </w:p>
        </w:tc>
        <w:tc>
          <w:tcPr>
            <w:tcW w:w="1615"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$15,790,602.58</w:t>
            </w:r>
          </w:p>
        </w:tc>
        <w:tc>
          <w:tcPr>
            <w:tcW w:w="1999"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828"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r>
    </w:tbl>
    <w:p w:rsidR="000B32EB" w:rsidRPr="00701F5D" w:rsidRDefault="000B32EB" w:rsidP="000B32EB">
      <w:pPr>
        <w:jc w:val="both"/>
        <w:rPr>
          <w:rFonts w:ascii="Arial Narrow" w:hAnsi="Arial Narrow"/>
          <w:sz w:val="16"/>
          <w:szCs w:val="16"/>
        </w:rPr>
      </w:pPr>
    </w:p>
    <w:p w:rsidR="000B32EB" w:rsidRPr="00B936EC" w:rsidRDefault="000B32EB" w:rsidP="000B32EB">
      <w:pPr>
        <w:pStyle w:val="Prrafodelista"/>
        <w:numPr>
          <w:ilvl w:val="0"/>
          <w:numId w:val="17"/>
        </w:numPr>
        <w:jc w:val="both"/>
        <w:rPr>
          <w:rFonts w:ascii="Arial Narrow" w:hAnsi="Arial Narrow"/>
          <w:b/>
          <w:u w:val="single"/>
        </w:rPr>
      </w:pPr>
      <w:r w:rsidRPr="00B936EC">
        <w:rPr>
          <w:rFonts w:ascii="Arial Narrow" w:hAnsi="Arial Narrow"/>
          <w:b/>
          <w:u w:val="single"/>
        </w:rPr>
        <w:t xml:space="preserve"> NOTAS AL ESTADO DE ACTIVIDADES</w:t>
      </w:r>
    </w:p>
    <w:p w:rsidR="000B32EB" w:rsidRPr="00B94587" w:rsidRDefault="000B32EB" w:rsidP="000B32EB">
      <w:pPr>
        <w:pStyle w:val="Prrafodelista"/>
        <w:numPr>
          <w:ilvl w:val="0"/>
          <w:numId w:val="6"/>
        </w:numPr>
        <w:jc w:val="both"/>
        <w:rPr>
          <w:rFonts w:ascii="Arial Narrow" w:hAnsi="Arial Narrow"/>
          <w:b/>
          <w:u w:val="single"/>
        </w:rPr>
      </w:pPr>
      <w:r w:rsidRPr="00B94587">
        <w:rPr>
          <w:rFonts w:ascii="Arial Narrow" w:hAnsi="Arial Narrow"/>
          <w:b/>
          <w:u w:val="single"/>
        </w:rPr>
        <w:t>Ingresos de Gestión</w:t>
      </w:r>
    </w:p>
    <w:p w:rsidR="000B32EB" w:rsidRPr="00B94587" w:rsidRDefault="000B32EB" w:rsidP="000B32EB">
      <w:pPr>
        <w:pStyle w:val="Prrafodelista"/>
        <w:jc w:val="both"/>
        <w:rPr>
          <w:rFonts w:ascii="Arial Narrow" w:hAnsi="Arial Narrow"/>
        </w:rPr>
      </w:pPr>
      <w:r w:rsidRPr="00B94587">
        <w:rPr>
          <w:rFonts w:ascii="Arial Narrow" w:hAnsi="Arial Narrow"/>
        </w:rPr>
        <w:t>Los ingresos del H. Tribunal de Justicia del Estado del primer trimestre 2015, se integran de la siguiente manera:</w:t>
      </w:r>
    </w:p>
    <w:p w:rsidR="000B32EB" w:rsidRPr="00B94587" w:rsidRDefault="000B32EB" w:rsidP="000B32EB">
      <w:pPr>
        <w:pStyle w:val="Prrafodelista"/>
        <w:jc w:val="both"/>
        <w:rPr>
          <w:rFonts w:ascii="Arial Narrow" w:hAnsi="Arial Narrow"/>
        </w:rPr>
      </w:pPr>
    </w:p>
    <w:tbl>
      <w:tblPr>
        <w:tblStyle w:val="Sombreadoclaro-nfasis11"/>
        <w:tblW w:w="0" w:type="auto"/>
        <w:jc w:val="center"/>
        <w:tblInd w:w="-364" w:type="dxa"/>
        <w:tblLook w:val="04A0" w:firstRow="1" w:lastRow="0" w:firstColumn="1" w:lastColumn="0" w:noHBand="0" w:noVBand="1"/>
      </w:tblPr>
      <w:tblGrid>
        <w:gridCol w:w="4288"/>
        <w:gridCol w:w="2433"/>
      </w:tblGrid>
      <w:tr w:rsidR="000B32EB" w:rsidRPr="00917741" w:rsidTr="000B32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2433" w:type="dxa"/>
          </w:tcPr>
          <w:p w:rsidR="000B32EB" w:rsidRPr="00917741" w:rsidRDefault="000B32EB" w:rsidP="000B32EB">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CANTIDAD</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Impuestos</w:t>
            </w:r>
          </w:p>
        </w:tc>
        <w:tc>
          <w:tcPr>
            <w:tcW w:w="2433" w:type="dxa"/>
          </w:tcPr>
          <w:p w:rsidR="000B32EB" w:rsidRPr="00917741" w:rsidRDefault="000B32EB" w:rsidP="000B32EB">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0.00</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Derechos (Expedición de copias certificadas)</w:t>
            </w:r>
          </w:p>
        </w:tc>
        <w:tc>
          <w:tcPr>
            <w:tcW w:w="2433" w:type="dxa"/>
          </w:tcPr>
          <w:p w:rsidR="000B32EB" w:rsidRPr="00917741" w:rsidRDefault="000B32EB" w:rsidP="000B32EB">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$110,164.31</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Productos de tipo corriente (rendimientos bancarios)</w:t>
            </w:r>
          </w:p>
        </w:tc>
        <w:tc>
          <w:tcPr>
            <w:tcW w:w="2433" w:type="dxa"/>
          </w:tcPr>
          <w:p w:rsidR="000B32EB" w:rsidRPr="00917741" w:rsidRDefault="000B32EB" w:rsidP="000B32EB">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$35,148.07</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Aprovechamientos de tipo corriente (conmutaciones y multas)</w:t>
            </w:r>
          </w:p>
        </w:tc>
        <w:tc>
          <w:tcPr>
            <w:tcW w:w="2433" w:type="dxa"/>
          </w:tcPr>
          <w:p w:rsidR="000B32EB" w:rsidRPr="00917741" w:rsidRDefault="000B32EB" w:rsidP="000B32EB">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$759,440.00</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Ingresos por venta de bienes y servicios</w:t>
            </w:r>
          </w:p>
        </w:tc>
        <w:tc>
          <w:tcPr>
            <w:tcW w:w="2433" w:type="dxa"/>
          </w:tcPr>
          <w:p w:rsidR="000B32EB" w:rsidRPr="00917741" w:rsidRDefault="000B32EB" w:rsidP="000B32EB">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0.00</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Ingresos no comprendidos en fracciones ley de ingreso en ejercicio fiscal anterior o pendiente de pago</w:t>
            </w:r>
          </w:p>
        </w:tc>
        <w:tc>
          <w:tcPr>
            <w:tcW w:w="2433" w:type="dxa"/>
          </w:tcPr>
          <w:p w:rsidR="000B32EB" w:rsidRPr="00917741" w:rsidRDefault="000B32EB" w:rsidP="000B32EB">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0.00</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Participaciones y Aportaciones (Estatales)</w:t>
            </w:r>
          </w:p>
        </w:tc>
        <w:tc>
          <w:tcPr>
            <w:tcW w:w="2433" w:type="dxa"/>
          </w:tcPr>
          <w:p w:rsidR="000B32EB" w:rsidRPr="00917741" w:rsidRDefault="000B32EB" w:rsidP="000B32EB">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$49,204,867.84</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Ajustes trimestrales</w:t>
            </w:r>
          </w:p>
        </w:tc>
        <w:tc>
          <w:tcPr>
            <w:tcW w:w="2433" w:type="dxa"/>
          </w:tcPr>
          <w:p w:rsidR="000B32EB" w:rsidRPr="00917741" w:rsidRDefault="000B32EB" w:rsidP="000B32EB">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$1,923,026.91</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Otros ingresos</w:t>
            </w:r>
          </w:p>
        </w:tc>
        <w:tc>
          <w:tcPr>
            <w:tcW w:w="2433" w:type="dxa"/>
          </w:tcPr>
          <w:p w:rsidR="000B32EB" w:rsidRPr="00917741" w:rsidRDefault="000B32EB" w:rsidP="000B32EB">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0.00</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TOTAL DE INGRESOS DE GESTIÓN</w:t>
            </w:r>
          </w:p>
        </w:tc>
        <w:tc>
          <w:tcPr>
            <w:tcW w:w="2433" w:type="dxa"/>
          </w:tcPr>
          <w:p w:rsidR="000B32EB" w:rsidRPr="00917741" w:rsidRDefault="0015198C" w:rsidP="000B32EB">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sz w:val="18"/>
                <w:szCs w:val="18"/>
              </w:rPr>
              <w:fldChar w:fldCharType="begin"/>
            </w:r>
            <w:r w:rsidR="000B32EB" w:rsidRPr="00917741">
              <w:rPr>
                <w:rFonts w:ascii="Arial Narrow" w:hAnsi="Arial Narrow"/>
                <w:color w:val="auto"/>
                <w:sz w:val="18"/>
                <w:szCs w:val="18"/>
              </w:rPr>
              <w:instrText xml:space="preserve"> =SUM(ABOVE) </w:instrText>
            </w:r>
            <w:r w:rsidRPr="00917741">
              <w:rPr>
                <w:rFonts w:ascii="Arial Narrow" w:hAnsi="Arial Narrow"/>
                <w:sz w:val="18"/>
                <w:szCs w:val="18"/>
              </w:rPr>
              <w:fldChar w:fldCharType="separate"/>
            </w:r>
            <w:r w:rsidR="000B32EB" w:rsidRPr="00917741">
              <w:rPr>
                <w:rFonts w:ascii="Arial Narrow" w:hAnsi="Arial Narrow"/>
                <w:noProof/>
                <w:color w:val="auto"/>
                <w:sz w:val="18"/>
                <w:szCs w:val="18"/>
              </w:rPr>
              <w:t>$52,032,647.13</w:t>
            </w:r>
            <w:r w:rsidRPr="00917741">
              <w:rPr>
                <w:rFonts w:ascii="Arial Narrow" w:hAnsi="Arial Narrow"/>
                <w:sz w:val="18"/>
                <w:szCs w:val="18"/>
              </w:rPr>
              <w:fldChar w:fldCharType="end"/>
            </w:r>
          </w:p>
        </w:tc>
      </w:tr>
    </w:tbl>
    <w:p w:rsidR="000B32EB" w:rsidRPr="00B94587" w:rsidRDefault="000B32EB" w:rsidP="000B32EB">
      <w:pPr>
        <w:pStyle w:val="Prrafodelista"/>
        <w:jc w:val="both"/>
        <w:rPr>
          <w:rFonts w:ascii="Arial Narrow" w:hAnsi="Arial Narrow"/>
        </w:rPr>
      </w:pPr>
    </w:p>
    <w:p w:rsidR="000B32EB" w:rsidRPr="00B94587" w:rsidRDefault="000B32EB" w:rsidP="000B32EB">
      <w:pPr>
        <w:pStyle w:val="Prrafodelista"/>
        <w:jc w:val="both"/>
        <w:rPr>
          <w:rFonts w:ascii="Arial Narrow" w:hAnsi="Arial Narrow"/>
        </w:rPr>
      </w:pPr>
    </w:p>
    <w:p w:rsidR="000B32EB" w:rsidRPr="00B94587" w:rsidRDefault="000B32EB" w:rsidP="000B32EB">
      <w:pPr>
        <w:pStyle w:val="Prrafodelista"/>
        <w:numPr>
          <w:ilvl w:val="0"/>
          <w:numId w:val="6"/>
        </w:numPr>
        <w:jc w:val="both"/>
        <w:rPr>
          <w:rFonts w:ascii="Arial Narrow" w:hAnsi="Arial Narrow"/>
          <w:b/>
          <w:u w:val="single"/>
        </w:rPr>
      </w:pPr>
      <w:r w:rsidRPr="00B94587">
        <w:rPr>
          <w:rFonts w:ascii="Arial Narrow" w:hAnsi="Arial Narrow"/>
          <w:b/>
          <w:u w:val="single"/>
        </w:rPr>
        <w:lastRenderedPageBreak/>
        <w:t>Gastos y otras pérdidas</w:t>
      </w:r>
    </w:p>
    <w:p w:rsidR="000B32EB" w:rsidRPr="00B94587" w:rsidRDefault="000B32EB" w:rsidP="000B32EB">
      <w:pPr>
        <w:ind w:left="360"/>
        <w:jc w:val="both"/>
        <w:rPr>
          <w:rFonts w:ascii="Arial Narrow" w:hAnsi="Arial Narrow"/>
        </w:rPr>
      </w:pPr>
      <w:r w:rsidRPr="00B94587">
        <w:rPr>
          <w:rFonts w:ascii="Arial Narrow" w:hAnsi="Arial Narrow"/>
        </w:rPr>
        <w:t>Dado los tipos de servicios que presta el Ente, y su mayor gasto se encuentra en el rubro servicios personales que representa el 91.59% de los ingresos recibidos en el primer trimestre del 2015.</w:t>
      </w:r>
    </w:p>
    <w:tbl>
      <w:tblPr>
        <w:tblStyle w:val="Sombreadoclaro-nfasis11"/>
        <w:tblW w:w="0" w:type="auto"/>
        <w:jc w:val="center"/>
        <w:tblLook w:val="04A0" w:firstRow="1" w:lastRow="0" w:firstColumn="1" w:lastColumn="0" w:noHBand="0" w:noVBand="1"/>
      </w:tblPr>
      <w:tblGrid>
        <w:gridCol w:w="2867"/>
        <w:gridCol w:w="2551"/>
      </w:tblGrid>
      <w:tr w:rsidR="000B32EB" w:rsidRPr="00917741" w:rsidTr="000B32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7" w:type="dxa"/>
          </w:tcPr>
          <w:p w:rsidR="000B32EB" w:rsidRPr="00917741" w:rsidRDefault="000B32EB" w:rsidP="000B32EB">
            <w:pPr>
              <w:jc w:val="both"/>
              <w:rPr>
                <w:rFonts w:ascii="Arial Narrow" w:hAnsi="Arial Narrow"/>
                <w:color w:val="auto"/>
                <w:sz w:val="18"/>
                <w:szCs w:val="18"/>
              </w:rPr>
            </w:pPr>
            <w:r w:rsidRPr="00917741">
              <w:rPr>
                <w:rFonts w:ascii="Arial Narrow" w:hAnsi="Arial Narrow"/>
                <w:color w:val="auto"/>
                <w:sz w:val="18"/>
                <w:szCs w:val="18"/>
              </w:rPr>
              <w:t xml:space="preserve">CONCEPTO </w:t>
            </w:r>
          </w:p>
        </w:tc>
        <w:tc>
          <w:tcPr>
            <w:tcW w:w="2551"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CANTIDAD</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7" w:type="dxa"/>
          </w:tcPr>
          <w:p w:rsidR="000B32EB" w:rsidRPr="00917741" w:rsidRDefault="000B32EB" w:rsidP="000B32EB">
            <w:pPr>
              <w:jc w:val="both"/>
              <w:rPr>
                <w:rFonts w:ascii="Arial Narrow" w:hAnsi="Arial Narrow"/>
                <w:color w:val="auto"/>
                <w:sz w:val="18"/>
                <w:szCs w:val="18"/>
              </w:rPr>
            </w:pPr>
            <w:r w:rsidRPr="00917741">
              <w:rPr>
                <w:rFonts w:ascii="Arial Narrow" w:hAnsi="Arial Narrow"/>
                <w:color w:val="auto"/>
                <w:sz w:val="18"/>
                <w:szCs w:val="18"/>
              </w:rPr>
              <w:t>Servicios personales</w:t>
            </w:r>
          </w:p>
        </w:tc>
        <w:tc>
          <w:tcPr>
            <w:tcW w:w="2551"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$39,908,635.69</w:t>
            </w:r>
          </w:p>
        </w:tc>
      </w:tr>
    </w:tbl>
    <w:p w:rsidR="000B32EB" w:rsidRPr="00B94587" w:rsidRDefault="000B32EB" w:rsidP="000B32EB">
      <w:pPr>
        <w:jc w:val="both"/>
        <w:rPr>
          <w:rFonts w:ascii="Arial Narrow" w:hAnsi="Arial Narrow"/>
          <w:b/>
          <w:u w:val="single"/>
        </w:rPr>
      </w:pPr>
    </w:p>
    <w:p w:rsidR="000B32EB" w:rsidRPr="00B94587" w:rsidRDefault="000B32EB" w:rsidP="000B32EB">
      <w:pPr>
        <w:pStyle w:val="Default"/>
        <w:numPr>
          <w:ilvl w:val="0"/>
          <w:numId w:val="18"/>
        </w:numPr>
        <w:rPr>
          <w:rFonts w:ascii="Arial Narrow" w:hAnsi="Arial Narrow"/>
          <w:b/>
          <w:sz w:val="22"/>
          <w:szCs w:val="22"/>
          <w:u w:val="single"/>
        </w:rPr>
      </w:pPr>
      <w:r w:rsidRPr="00B94587">
        <w:rPr>
          <w:rFonts w:ascii="Arial Narrow" w:hAnsi="Arial Narrow"/>
          <w:b/>
          <w:sz w:val="22"/>
          <w:szCs w:val="22"/>
          <w:u w:val="single"/>
        </w:rPr>
        <w:t>NOTAS AL ESTADO DE VARIACIONES EN LA HACIENDA PÚBLICA.</w:t>
      </w:r>
    </w:p>
    <w:p w:rsidR="000B32EB" w:rsidRPr="00B94587" w:rsidRDefault="000B32EB" w:rsidP="000B32EB">
      <w:pPr>
        <w:pStyle w:val="Default"/>
        <w:ind w:left="360"/>
        <w:rPr>
          <w:rFonts w:ascii="Arial Narrow" w:hAnsi="Arial Narrow"/>
          <w:sz w:val="22"/>
          <w:szCs w:val="22"/>
        </w:rPr>
      </w:pPr>
    </w:p>
    <w:p w:rsidR="000B32EB" w:rsidRPr="00B94587" w:rsidRDefault="000B32EB" w:rsidP="000B32EB">
      <w:pPr>
        <w:pStyle w:val="Default"/>
        <w:ind w:left="360"/>
        <w:rPr>
          <w:rFonts w:ascii="Arial Narrow" w:hAnsi="Arial Narrow"/>
          <w:b/>
          <w:sz w:val="22"/>
          <w:szCs w:val="22"/>
        </w:rPr>
      </w:pPr>
      <w:r w:rsidRPr="00B94587">
        <w:rPr>
          <w:rFonts w:ascii="Arial Narrow" w:hAnsi="Arial Narrow"/>
          <w:sz w:val="22"/>
          <w:szCs w:val="22"/>
        </w:rPr>
        <w:t xml:space="preserve">Al terminar período de enero a marzo dele ejercicio fiscal 2015 se tiene un desahorro de </w:t>
      </w:r>
      <w:r w:rsidRPr="00B94587">
        <w:rPr>
          <w:rFonts w:ascii="Arial Narrow" w:hAnsi="Arial Narrow"/>
          <w:b/>
          <w:sz w:val="22"/>
          <w:szCs w:val="22"/>
        </w:rPr>
        <w:t>$8</w:t>
      </w:r>
      <w:proofErr w:type="gramStart"/>
      <w:r w:rsidRPr="00B94587">
        <w:rPr>
          <w:rFonts w:ascii="Arial Narrow" w:hAnsi="Arial Narrow"/>
          <w:b/>
          <w:sz w:val="22"/>
          <w:szCs w:val="22"/>
        </w:rPr>
        <w:t>,460,892.08</w:t>
      </w:r>
      <w:proofErr w:type="gramEnd"/>
    </w:p>
    <w:p w:rsidR="000B32EB" w:rsidRPr="00B94587" w:rsidRDefault="000B32EB" w:rsidP="000B32EB">
      <w:pPr>
        <w:pStyle w:val="Default"/>
        <w:ind w:left="360"/>
        <w:rPr>
          <w:rFonts w:ascii="Arial Narrow" w:hAnsi="Arial Narrow"/>
          <w:sz w:val="22"/>
          <w:szCs w:val="22"/>
        </w:rPr>
      </w:pPr>
      <w:r w:rsidRPr="00B94587">
        <w:rPr>
          <w:rFonts w:ascii="Arial Narrow" w:hAnsi="Arial Narrow"/>
          <w:sz w:val="22"/>
          <w:szCs w:val="22"/>
        </w:rPr>
        <w:t xml:space="preserve">Derivado de las operaciones normales del ente. </w:t>
      </w:r>
    </w:p>
    <w:p w:rsidR="000B32EB" w:rsidRPr="00B94587" w:rsidRDefault="000B32EB" w:rsidP="000B32EB">
      <w:pPr>
        <w:pStyle w:val="Default"/>
        <w:ind w:left="360"/>
        <w:rPr>
          <w:rFonts w:ascii="Arial Narrow" w:hAnsi="Arial Narrow"/>
          <w:sz w:val="22"/>
          <w:szCs w:val="22"/>
        </w:rPr>
      </w:pPr>
    </w:p>
    <w:p w:rsidR="000B32EB" w:rsidRPr="00B94587" w:rsidRDefault="000B32EB" w:rsidP="000B32EB">
      <w:pPr>
        <w:pStyle w:val="Default"/>
        <w:ind w:left="360"/>
        <w:jc w:val="both"/>
        <w:rPr>
          <w:rFonts w:ascii="Arial Narrow" w:hAnsi="Arial Narrow"/>
          <w:sz w:val="22"/>
          <w:szCs w:val="22"/>
        </w:rPr>
      </w:pPr>
      <w:r w:rsidRPr="00B94587">
        <w:rPr>
          <w:rFonts w:ascii="Arial Narrow" w:hAnsi="Arial Narrow"/>
          <w:sz w:val="22"/>
          <w:szCs w:val="22"/>
        </w:rPr>
        <w:t>Debido al tipo de Ente que maneja un gasto trimestral del 91.59% en el capitulo 1000, en el mes de diciembre impactara negativamente en el presupuesto 2015, por las prestaciones que tienen derecho los servidores públicos que laboran en este Honorable Tribunal de Justicia del Estado.</w:t>
      </w:r>
    </w:p>
    <w:p w:rsidR="000B32EB" w:rsidRPr="00B94587" w:rsidRDefault="000B32EB" w:rsidP="000B32EB">
      <w:pPr>
        <w:pStyle w:val="Default"/>
        <w:ind w:left="360"/>
        <w:rPr>
          <w:rFonts w:ascii="Arial Narrow" w:hAnsi="Arial Narrow"/>
          <w:sz w:val="22"/>
          <w:szCs w:val="22"/>
        </w:rPr>
      </w:pPr>
    </w:p>
    <w:p w:rsidR="000B32EB" w:rsidRPr="00B94587" w:rsidRDefault="000B32EB" w:rsidP="000B32EB">
      <w:pPr>
        <w:pStyle w:val="Default"/>
        <w:ind w:left="360"/>
        <w:rPr>
          <w:rFonts w:ascii="Arial Narrow" w:hAnsi="Arial Narrow"/>
          <w:sz w:val="22"/>
          <w:szCs w:val="22"/>
        </w:rPr>
      </w:pPr>
    </w:p>
    <w:p w:rsidR="000B32EB" w:rsidRPr="00B94587" w:rsidRDefault="000B32EB" w:rsidP="000B32EB">
      <w:pPr>
        <w:pStyle w:val="Default"/>
        <w:numPr>
          <w:ilvl w:val="0"/>
          <w:numId w:val="18"/>
        </w:numPr>
        <w:rPr>
          <w:rFonts w:ascii="Arial Narrow" w:hAnsi="Arial Narrow"/>
          <w:b/>
          <w:sz w:val="22"/>
          <w:szCs w:val="22"/>
          <w:u w:val="single"/>
        </w:rPr>
      </w:pPr>
      <w:r w:rsidRPr="00B94587">
        <w:rPr>
          <w:rFonts w:ascii="Arial Narrow" w:hAnsi="Arial Narrow"/>
          <w:b/>
          <w:sz w:val="22"/>
          <w:szCs w:val="22"/>
          <w:u w:val="single"/>
        </w:rPr>
        <w:t>NOTAS AL ESTADO DE FLUJO DE EFECTIVO</w:t>
      </w:r>
    </w:p>
    <w:p w:rsidR="000B32EB" w:rsidRPr="00B94587" w:rsidRDefault="000B32EB" w:rsidP="000B32EB">
      <w:pPr>
        <w:pStyle w:val="Default"/>
        <w:ind w:left="720"/>
        <w:rPr>
          <w:rFonts w:ascii="Arial Narrow" w:hAnsi="Arial Narrow"/>
          <w:b/>
          <w:sz w:val="22"/>
          <w:szCs w:val="22"/>
          <w:u w:val="single"/>
        </w:rPr>
      </w:pPr>
    </w:p>
    <w:p w:rsidR="000B32EB" w:rsidRPr="00B94587" w:rsidRDefault="000B32EB" w:rsidP="000B32EB">
      <w:pPr>
        <w:pStyle w:val="Default"/>
        <w:numPr>
          <w:ilvl w:val="0"/>
          <w:numId w:val="14"/>
        </w:numPr>
        <w:rPr>
          <w:rFonts w:ascii="Arial Narrow" w:hAnsi="Arial Narrow"/>
          <w:b/>
          <w:sz w:val="22"/>
          <w:szCs w:val="22"/>
        </w:rPr>
      </w:pPr>
      <w:r w:rsidRPr="00B94587">
        <w:rPr>
          <w:rFonts w:ascii="Arial Narrow" w:hAnsi="Arial Narrow"/>
          <w:b/>
          <w:sz w:val="22"/>
          <w:szCs w:val="22"/>
        </w:rPr>
        <w:t>Efectivos y equivalentes</w:t>
      </w:r>
    </w:p>
    <w:p w:rsidR="000B32EB" w:rsidRPr="00B94587" w:rsidRDefault="000B32EB" w:rsidP="000B32EB">
      <w:pPr>
        <w:pStyle w:val="Default"/>
        <w:ind w:left="360"/>
        <w:rPr>
          <w:rFonts w:ascii="Arial Narrow" w:hAnsi="Arial Narrow"/>
          <w:sz w:val="22"/>
          <w:szCs w:val="22"/>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0B32EB" w:rsidRPr="00917741" w:rsidTr="000B32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CONCEPTO</w:t>
            </w:r>
          </w:p>
        </w:tc>
        <w:tc>
          <w:tcPr>
            <w:tcW w:w="1559" w:type="dxa"/>
          </w:tcPr>
          <w:p w:rsidR="000B32EB" w:rsidRPr="00917741" w:rsidRDefault="000B32EB" w:rsidP="000B32EB">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2015</w:t>
            </w:r>
          </w:p>
        </w:tc>
        <w:tc>
          <w:tcPr>
            <w:tcW w:w="1481" w:type="dxa"/>
          </w:tcPr>
          <w:p w:rsidR="000B32EB" w:rsidRPr="00917741" w:rsidRDefault="000B32EB" w:rsidP="000B32EB">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2014</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Efectivos en Bancos -Tesorería</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$ 9,641,642.64</w:t>
            </w:r>
          </w:p>
        </w:tc>
        <w:tc>
          <w:tcPr>
            <w:tcW w:w="1481" w:type="dxa"/>
          </w:tcPr>
          <w:p w:rsidR="000B32EB" w:rsidRPr="00917741" w:rsidRDefault="000B32EB" w:rsidP="000B32E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$ 1,971,721,62</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sz w:val="18"/>
                <w:szCs w:val="18"/>
              </w:rPr>
            </w:pP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81" w:type="dxa"/>
          </w:tcPr>
          <w:p w:rsidR="000B32EB" w:rsidRPr="00917741" w:rsidRDefault="000B32EB" w:rsidP="000B32E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Total  efectivos y equivalentes</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$ 9,641,642.64</w:t>
            </w:r>
          </w:p>
        </w:tc>
        <w:tc>
          <w:tcPr>
            <w:tcW w:w="1481" w:type="dxa"/>
          </w:tcPr>
          <w:p w:rsidR="000B32EB" w:rsidRPr="00917741" w:rsidRDefault="000B32EB" w:rsidP="000B32E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$ 1,971,721,62</w:t>
            </w:r>
          </w:p>
        </w:tc>
      </w:tr>
    </w:tbl>
    <w:p w:rsidR="000B32EB"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 xml:space="preserve">Se tiene una variación de $ </w:t>
      </w:r>
      <w:r w:rsidRPr="005D4FF0">
        <w:rPr>
          <w:rFonts w:ascii="Arial Narrow" w:hAnsi="Arial Narrow"/>
          <w:sz w:val="22"/>
          <w:szCs w:val="22"/>
        </w:rPr>
        <w:t>7</w:t>
      </w:r>
      <w:r w:rsidR="00D61394">
        <w:rPr>
          <w:rFonts w:ascii="Arial Narrow" w:hAnsi="Arial Narrow"/>
          <w:sz w:val="22"/>
          <w:szCs w:val="22"/>
        </w:rPr>
        <w:t>,</w:t>
      </w:r>
      <w:r w:rsidR="00D61394" w:rsidRPr="005D4FF0">
        <w:rPr>
          <w:rFonts w:ascii="Arial Narrow" w:hAnsi="Arial Narrow"/>
          <w:sz w:val="22"/>
          <w:szCs w:val="22"/>
        </w:rPr>
        <w:t xml:space="preserve"> 669,921.02</w:t>
      </w:r>
      <w:r>
        <w:rPr>
          <w:rFonts w:ascii="Arial Narrow" w:hAnsi="Arial Narrow"/>
          <w:sz w:val="22"/>
          <w:szCs w:val="22"/>
        </w:rPr>
        <w:t xml:space="preserve"> </w:t>
      </w:r>
      <w:r w:rsidRPr="00B94587">
        <w:rPr>
          <w:rFonts w:ascii="Arial Narrow" w:hAnsi="Arial Narrow"/>
          <w:sz w:val="22"/>
          <w:szCs w:val="22"/>
        </w:rPr>
        <w:t>por la discrepancia en el periodo de comparación dado que el dato de 2014</w:t>
      </w:r>
      <w:r>
        <w:rPr>
          <w:rFonts w:ascii="Arial Narrow" w:hAnsi="Arial Narrow"/>
          <w:sz w:val="22"/>
          <w:szCs w:val="22"/>
        </w:rPr>
        <w:t>,</w:t>
      </w:r>
      <w:r w:rsidRPr="00B94587">
        <w:rPr>
          <w:rFonts w:ascii="Arial Narrow" w:hAnsi="Arial Narrow"/>
          <w:sz w:val="22"/>
          <w:szCs w:val="22"/>
        </w:rPr>
        <w:t xml:space="preserve"> corresponde a la cifra al mes de diciembre de 2014 y por tanto no es sujeto de comparabilidad. </w:t>
      </w:r>
    </w:p>
    <w:p w:rsidR="000B32EB" w:rsidRPr="00B94587" w:rsidRDefault="000B32EB" w:rsidP="000B32EB">
      <w:pPr>
        <w:pStyle w:val="Default"/>
        <w:rPr>
          <w:rFonts w:ascii="Arial Narrow" w:hAnsi="Arial Narrow"/>
          <w:sz w:val="22"/>
          <w:szCs w:val="22"/>
        </w:rPr>
      </w:pPr>
    </w:p>
    <w:p w:rsidR="000B32EB" w:rsidRDefault="000B32EB"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0B32EB" w:rsidRPr="00B94587" w:rsidRDefault="000B32EB" w:rsidP="000B32EB">
      <w:pPr>
        <w:pStyle w:val="Default"/>
        <w:numPr>
          <w:ilvl w:val="0"/>
          <w:numId w:val="14"/>
        </w:numPr>
        <w:rPr>
          <w:rFonts w:ascii="Arial Narrow" w:hAnsi="Arial Narrow"/>
          <w:b/>
          <w:sz w:val="22"/>
          <w:szCs w:val="22"/>
        </w:rPr>
      </w:pPr>
      <w:r w:rsidRPr="00B94587">
        <w:rPr>
          <w:rFonts w:ascii="Arial Narrow" w:hAnsi="Arial Narrow"/>
          <w:b/>
          <w:sz w:val="22"/>
          <w:szCs w:val="22"/>
        </w:rPr>
        <w:lastRenderedPageBreak/>
        <w:t xml:space="preserve">Se adquirieron bienes muebles por:  </w:t>
      </w: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w:t>
      </w:r>
    </w:p>
    <w:tbl>
      <w:tblPr>
        <w:tblStyle w:val="Sombreadoclaro-nfasis11"/>
        <w:tblW w:w="0" w:type="auto"/>
        <w:jc w:val="center"/>
        <w:tblLayout w:type="fixed"/>
        <w:tblLook w:val="04A0" w:firstRow="1" w:lastRow="0" w:firstColumn="1" w:lastColumn="0" w:noHBand="0" w:noVBand="1"/>
      </w:tblPr>
      <w:tblGrid>
        <w:gridCol w:w="3794"/>
        <w:gridCol w:w="1559"/>
        <w:gridCol w:w="1701"/>
        <w:gridCol w:w="1417"/>
      </w:tblGrid>
      <w:tr w:rsidR="000B32EB" w:rsidRPr="00917741" w:rsidTr="001323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color w:val="auto"/>
                <w:sz w:val="18"/>
                <w:szCs w:val="18"/>
              </w:rPr>
            </w:pPr>
            <w:r w:rsidRPr="00917741">
              <w:rPr>
                <w:rFonts w:ascii="Arial Narrow" w:hAnsi="Arial Narrow"/>
                <w:color w:val="auto"/>
                <w:sz w:val="18"/>
                <w:szCs w:val="18"/>
              </w:rPr>
              <w:t>CONCEPTO</w:t>
            </w:r>
          </w:p>
        </w:tc>
        <w:tc>
          <w:tcPr>
            <w:tcW w:w="1559" w:type="dxa"/>
          </w:tcPr>
          <w:p w:rsidR="000B32EB" w:rsidRPr="00917741" w:rsidRDefault="000B32EB" w:rsidP="000B32EB">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2014</w:t>
            </w:r>
          </w:p>
        </w:tc>
        <w:tc>
          <w:tcPr>
            <w:tcW w:w="1701" w:type="dxa"/>
          </w:tcPr>
          <w:p w:rsidR="000B32EB" w:rsidRPr="00917741" w:rsidRDefault="000B32EB" w:rsidP="000B32EB">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20</w:t>
            </w:r>
            <w:r>
              <w:rPr>
                <w:rFonts w:ascii="Arial Narrow" w:hAnsi="Arial Narrow"/>
                <w:color w:val="auto"/>
                <w:sz w:val="18"/>
                <w:szCs w:val="18"/>
              </w:rPr>
              <w:t>15</w:t>
            </w:r>
          </w:p>
        </w:tc>
        <w:tc>
          <w:tcPr>
            <w:tcW w:w="1417" w:type="dxa"/>
          </w:tcPr>
          <w:p w:rsidR="000B32EB" w:rsidRPr="00917741" w:rsidRDefault="000B32EB" w:rsidP="000B32EB">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Adquisiciones</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color w:val="auto"/>
                <w:sz w:val="18"/>
                <w:szCs w:val="18"/>
              </w:rPr>
            </w:pPr>
            <w:r w:rsidRPr="00917741">
              <w:rPr>
                <w:rFonts w:ascii="Arial Narrow" w:hAnsi="Arial Narrow"/>
                <w:color w:val="auto"/>
                <w:sz w:val="18"/>
                <w:szCs w:val="18"/>
              </w:rPr>
              <w:t>Equipo de transporte *</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   2,361,455.25</w:t>
            </w:r>
          </w:p>
        </w:tc>
        <w:tc>
          <w:tcPr>
            <w:tcW w:w="1701"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18"/>
                <w:szCs w:val="18"/>
              </w:rPr>
            </w:pPr>
            <w:r>
              <w:rPr>
                <w:rFonts w:ascii="Arial Narrow" w:hAnsi="Arial Narrow" w:cs="Arial"/>
                <w:color w:val="auto"/>
                <w:sz w:val="18"/>
                <w:szCs w:val="18"/>
              </w:rPr>
              <w:t>0.00</w:t>
            </w:r>
          </w:p>
        </w:tc>
        <w:tc>
          <w:tcPr>
            <w:tcW w:w="1417"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18"/>
                <w:szCs w:val="18"/>
              </w:rPr>
            </w:pPr>
            <w:r>
              <w:rPr>
                <w:rFonts w:ascii="Arial Narrow" w:hAnsi="Arial Narrow" w:cs="Arial"/>
                <w:color w:val="auto"/>
                <w:sz w:val="18"/>
                <w:szCs w:val="18"/>
              </w:rPr>
              <w:t>0.00</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color w:val="auto"/>
                <w:sz w:val="18"/>
                <w:szCs w:val="18"/>
              </w:rPr>
            </w:pPr>
            <w:r w:rsidRPr="00917741">
              <w:rPr>
                <w:rFonts w:ascii="Arial Narrow" w:hAnsi="Arial Narrow"/>
                <w:color w:val="auto"/>
                <w:sz w:val="18"/>
                <w:szCs w:val="18"/>
              </w:rPr>
              <w:t>Equipó de computo</w:t>
            </w: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   5,566,766.68</w:t>
            </w:r>
          </w:p>
        </w:tc>
        <w:tc>
          <w:tcPr>
            <w:tcW w:w="1701"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0.00</w:t>
            </w:r>
          </w:p>
        </w:tc>
        <w:tc>
          <w:tcPr>
            <w:tcW w:w="1417"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0.00</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color w:val="auto"/>
                <w:sz w:val="18"/>
                <w:szCs w:val="18"/>
              </w:rPr>
            </w:pPr>
            <w:r w:rsidRPr="00917741">
              <w:rPr>
                <w:rFonts w:ascii="Arial Narrow" w:hAnsi="Arial Narrow"/>
                <w:color w:val="auto"/>
                <w:sz w:val="18"/>
                <w:szCs w:val="18"/>
              </w:rPr>
              <w:t>Equipo de comunicación y telecomunicación</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        70,102.00</w:t>
            </w:r>
          </w:p>
        </w:tc>
        <w:tc>
          <w:tcPr>
            <w:tcW w:w="1701"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0.00</w:t>
            </w:r>
          </w:p>
        </w:tc>
        <w:tc>
          <w:tcPr>
            <w:tcW w:w="1417"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0.00</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color w:val="auto"/>
                <w:sz w:val="18"/>
                <w:szCs w:val="18"/>
              </w:rPr>
            </w:pPr>
            <w:r w:rsidRPr="00917741">
              <w:rPr>
                <w:rFonts w:ascii="Arial Narrow" w:hAnsi="Arial Narrow"/>
                <w:color w:val="auto"/>
                <w:sz w:val="18"/>
                <w:szCs w:val="18"/>
              </w:rPr>
              <w:t>Mobiliario y equipo de oficina</w:t>
            </w: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  5 ,072,062.78</w:t>
            </w:r>
          </w:p>
        </w:tc>
        <w:tc>
          <w:tcPr>
            <w:tcW w:w="1701"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0.00</w:t>
            </w:r>
          </w:p>
        </w:tc>
        <w:tc>
          <w:tcPr>
            <w:tcW w:w="1417"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0.00</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color w:val="auto"/>
                <w:sz w:val="18"/>
                <w:szCs w:val="18"/>
              </w:rPr>
            </w:pPr>
            <w:r w:rsidRPr="00917741">
              <w:rPr>
                <w:rFonts w:ascii="Arial Narrow" w:hAnsi="Arial Narrow"/>
                <w:color w:val="auto"/>
                <w:sz w:val="18"/>
                <w:szCs w:val="18"/>
              </w:rPr>
              <w:t>Equipo educacional y recreativo</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        14,261.20</w:t>
            </w:r>
          </w:p>
        </w:tc>
        <w:tc>
          <w:tcPr>
            <w:tcW w:w="1701"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0.00</w:t>
            </w:r>
          </w:p>
        </w:tc>
        <w:tc>
          <w:tcPr>
            <w:tcW w:w="1417"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0.00</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color w:val="auto"/>
                <w:sz w:val="18"/>
                <w:szCs w:val="18"/>
              </w:rPr>
            </w:pPr>
            <w:r w:rsidRPr="00917741">
              <w:rPr>
                <w:rFonts w:ascii="Arial Narrow" w:hAnsi="Arial Narrow"/>
                <w:color w:val="auto"/>
                <w:sz w:val="18"/>
                <w:szCs w:val="18"/>
              </w:rPr>
              <w:t>Equipo de audio y video</w:t>
            </w: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        21,192.89</w:t>
            </w:r>
          </w:p>
        </w:tc>
        <w:tc>
          <w:tcPr>
            <w:tcW w:w="1701"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0.00</w:t>
            </w:r>
          </w:p>
        </w:tc>
        <w:tc>
          <w:tcPr>
            <w:tcW w:w="1417"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0.00</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color w:val="auto"/>
                <w:sz w:val="18"/>
                <w:szCs w:val="18"/>
              </w:rPr>
            </w:pPr>
            <w:r w:rsidRPr="00917741">
              <w:rPr>
                <w:rFonts w:ascii="Arial Narrow" w:hAnsi="Arial Narrow"/>
                <w:color w:val="auto"/>
                <w:sz w:val="18"/>
                <w:szCs w:val="18"/>
              </w:rPr>
              <w:t>Herramientas y equipo electrónico</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      573,116.02</w:t>
            </w:r>
          </w:p>
        </w:tc>
        <w:tc>
          <w:tcPr>
            <w:tcW w:w="1701"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0.00</w:t>
            </w:r>
          </w:p>
        </w:tc>
        <w:tc>
          <w:tcPr>
            <w:tcW w:w="1417"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0.00</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color w:val="auto"/>
                <w:sz w:val="18"/>
                <w:szCs w:val="18"/>
              </w:rPr>
            </w:pPr>
            <w:r w:rsidRPr="00917741">
              <w:rPr>
                <w:rFonts w:ascii="Arial Narrow" w:hAnsi="Arial Narrow"/>
                <w:color w:val="auto"/>
                <w:sz w:val="18"/>
                <w:szCs w:val="18"/>
              </w:rPr>
              <w:t xml:space="preserve">Total </w:t>
            </w: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$ 13,678,956.82</w:t>
            </w:r>
          </w:p>
        </w:tc>
        <w:tc>
          <w:tcPr>
            <w:tcW w:w="1701"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0.00</w:t>
            </w:r>
          </w:p>
        </w:tc>
        <w:tc>
          <w:tcPr>
            <w:tcW w:w="1417"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0.00</w:t>
            </w:r>
          </w:p>
        </w:tc>
      </w:tr>
    </w:tbl>
    <w:p w:rsidR="000B32EB" w:rsidRDefault="000B32EB" w:rsidP="000B32EB">
      <w:pPr>
        <w:pStyle w:val="Default"/>
        <w:rPr>
          <w:rFonts w:ascii="Arial Narrow" w:hAnsi="Arial Narrow"/>
          <w:sz w:val="22"/>
          <w:szCs w:val="22"/>
        </w:rPr>
      </w:pPr>
    </w:p>
    <w:p w:rsidR="005C3CF0" w:rsidRPr="00B94587" w:rsidRDefault="005C3CF0"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r>
        <w:rPr>
          <w:rFonts w:ascii="Arial Narrow" w:hAnsi="Arial Narrow"/>
          <w:sz w:val="22"/>
          <w:szCs w:val="22"/>
        </w:rPr>
        <w:t>En este periodo no se adquirieron bienes muebles e inmuebles.</w:t>
      </w:r>
    </w:p>
    <w:p w:rsidR="000B32EB" w:rsidRPr="00B94587" w:rsidRDefault="000B32EB" w:rsidP="000B32EB">
      <w:pPr>
        <w:pStyle w:val="Default"/>
        <w:rPr>
          <w:rFonts w:ascii="Arial Narrow" w:hAnsi="Arial Narrow"/>
          <w:sz w:val="22"/>
          <w:szCs w:val="22"/>
        </w:rPr>
      </w:pPr>
    </w:p>
    <w:p w:rsidR="000B32EB" w:rsidRDefault="000B32EB" w:rsidP="000B32EB">
      <w:pPr>
        <w:pStyle w:val="Default"/>
        <w:rPr>
          <w:rFonts w:ascii="Arial Narrow" w:hAnsi="Arial Narrow"/>
          <w:sz w:val="22"/>
          <w:szCs w:val="22"/>
        </w:rPr>
      </w:pPr>
    </w:p>
    <w:p w:rsidR="005C3CF0" w:rsidRPr="00B94587" w:rsidRDefault="005C3CF0" w:rsidP="000B32EB">
      <w:pPr>
        <w:pStyle w:val="Default"/>
        <w:rPr>
          <w:rFonts w:ascii="Arial Narrow" w:hAnsi="Arial Narrow"/>
          <w:sz w:val="22"/>
          <w:szCs w:val="22"/>
        </w:rPr>
      </w:pPr>
    </w:p>
    <w:p w:rsidR="000B32EB" w:rsidRPr="00B94587" w:rsidRDefault="000B32EB" w:rsidP="000B32EB">
      <w:pPr>
        <w:pStyle w:val="Default"/>
        <w:numPr>
          <w:ilvl w:val="0"/>
          <w:numId w:val="14"/>
        </w:numPr>
        <w:jc w:val="both"/>
        <w:rPr>
          <w:rFonts w:ascii="Arial Narrow" w:hAnsi="Arial Narrow"/>
          <w:b/>
          <w:sz w:val="22"/>
          <w:szCs w:val="22"/>
        </w:rPr>
      </w:pPr>
      <w:r w:rsidRPr="00B94587">
        <w:rPr>
          <w:rFonts w:ascii="Arial Narrow" w:hAnsi="Arial Narrow"/>
          <w:b/>
          <w:sz w:val="22"/>
          <w:szCs w:val="22"/>
        </w:rPr>
        <w:t xml:space="preserve">Conciliación de los Flujos de Efectivo Netos de las Actividades de Operación y la cuenta de Ahorro /Desahorro antes de Rubros Extraordinarios. </w:t>
      </w: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p>
    <w:tbl>
      <w:tblPr>
        <w:tblStyle w:val="Sombreadoclaro-nfasis11"/>
        <w:tblW w:w="0" w:type="auto"/>
        <w:jc w:val="center"/>
        <w:tblLook w:val="04A0" w:firstRow="1" w:lastRow="0" w:firstColumn="1" w:lastColumn="0" w:noHBand="0" w:noVBand="1"/>
      </w:tblPr>
      <w:tblGrid>
        <w:gridCol w:w="5353"/>
        <w:gridCol w:w="1418"/>
        <w:gridCol w:w="1559"/>
      </w:tblGrid>
      <w:tr w:rsidR="000B32EB" w:rsidRPr="00917741" w:rsidTr="000B32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jc w:val="center"/>
              <w:rPr>
                <w:rFonts w:ascii="Arial Narrow" w:hAnsi="Arial Narrow"/>
                <w:sz w:val="18"/>
                <w:szCs w:val="18"/>
              </w:rPr>
            </w:pPr>
            <w:r w:rsidRPr="00917741">
              <w:rPr>
                <w:rFonts w:ascii="Arial Narrow" w:hAnsi="Arial Narrow"/>
                <w:sz w:val="18"/>
                <w:szCs w:val="18"/>
              </w:rPr>
              <w:t>Conceptos</w:t>
            </w:r>
          </w:p>
        </w:tc>
        <w:tc>
          <w:tcPr>
            <w:tcW w:w="1418" w:type="dxa"/>
          </w:tcPr>
          <w:p w:rsidR="000B32EB" w:rsidRPr="00917741" w:rsidRDefault="000B32EB" w:rsidP="000B32EB">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2015</w:t>
            </w:r>
          </w:p>
        </w:tc>
        <w:tc>
          <w:tcPr>
            <w:tcW w:w="1559" w:type="dxa"/>
          </w:tcPr>
          <w:p w:rsidR="000B32EB" w:rsidRPr="00917741" w:rsidRDefault="000B32EB" w:rsidP="000B32EB">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2014</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Ahorro/Desahorro antes de rubros extraordinarios</w:t>
            </w:r>
          </w:p>
        </w:tc>
        <w:tc>
          <w:tcPr>
            <w:tcW w:w="1418"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xml:space="preserve">  8,460,892.08</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xml:space="preserve">  $      1,920.00</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Movimientos de partidas  (o rubros) que no afectan al efectivo :</w:t>
            </w:r>
          </w:p>
        </w:tc>
        <w:tc>
          <w:tcPr>
            <w:tcW w:w="1418"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Depreciación</w:t>
            </w:r>
          </w:p>
        </w:tc>
        <w:tc>
          <w:tcPr>
            <w:tcW w:w="1418"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Amortización</w:t>
            </w:r>
          </w:p>
        </w:tc>
        <w:tc>
          <w:tcPr>
            <w:tcW w:w="1418"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Incrementos en las provisiones</w:t>
            </w:r>
          </w:p>
        </w:tc>
        <w:tc>
          <w:tcPr>
            <w:tcW w:w="1418"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Incrementos en las inversiones producido por revaluación</w:t>
            </w:r>
          </w:p>
        </w:tc>
        <w:tc>
          <w:tcPr>
            <w:tcW w:w="1418"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 xml:space="preserve">Ganancia /pérdida en venta de propiedad, planta y equipo </w:t>
            </w:r>
          </w:p>
        </w:tc>
        <w:tc>
          <w:tcPr>
            <w:tcW w:w="1418"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Incremento en cuentas por cobrar</w:t>
            </w:r>
          </w:p>
        </w:tc>
        <w:tc>
          <w:tcPr>
            <w:tcW w:w="1418"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Partidas extraordinarias</w:t>
            </w:r>
          </w:p>
        </w:tc>
        <w:tc>
          <w:tcPr>
            <w:tcW w:w="1418"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904,752.38</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86,155.92</w:t>
            </w:r>
          </w:p>
        </w:tc>
      </w:tr>
    </w:tbl>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p>
    <w:p w:rsidR="000B32EB" w:rsidRDefault="000B32EB"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Pr="00B94587" w:rsidRDefault="005C3CF0" w:rsidP="000B32EB">
      <w:pPr>
        <w:pStyle w:val="Default"/>
        <w:rPr>
          <w:rFonts w:ascii="Arial Narrow" w:hAnsi="Arial Narrow"/>
          <w:sz w:val="22"/>
          <w:szCs w:val="22"/>
        </w:rPr>
      </w:pPr>
    </w:p>
    <w:p w:rsidR="000B32EB" w:rsidRPr="00B936EC" w:rsidRDefault="000B32EB" w:rsidP="000B32EB">
      <w:pPr>
        <w:pStyle w:val="Default"/>
        <w:numPr>
          <w:ilvl w:val="0"/>
          <w:numId w:val="18"/>
        </w:numPr>
        <w:rPr>
          <w:rFonts w:ascii="Arial Narrow" w:hAnsi="Arial Narrow"/>
          <w:b/>
          <w:sz w:val="22"/>
          <w:szCs w:val="22"/>
          <w:u w:val="single"/>
        </w:rPr>
      </w:pPr>
      <w:r w:rsidRPr="00B936EC">
        <w:rPr>
          <w:rFonts w:ascii="Arial Narrow" w:hAnsi="Arial Narrow"/>
          <w:b/>
          <w:sz w:val="22"/>
          <w:szCs w:val="22"/>
          <w:u w:val="single"/>
        </w:rPr>
        <w:lastRenderedPageBreak/>
        <w:t>CONCILIACIÓN ENTRE LOS INGRESOS PRESUPUESTARIOS Y LOS CONTABLES, ASÍ COMO ENTRE LOS EGRESOS Y LOS GASTOS CONTABLES.</w:t>
      </w:r>
    </w:p>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0B32EB" w:rsidRPr="00B94587" w:rsidTr="005C3CF0">
        <w:trPr>
          <w:jc w:val="center"/>
        </w:trPr>
        <w:tc>
          <w:tcPr>
            <w:tcW w:w="8978" w:type="dxa"/>
          </w:tcPr>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PODER JUDICIAL</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Conciliación entre los ingresos presupuestarios y contables</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 xml:space="preserve"> Correspondientes del 01 de enero al 31 de Marzo de 2015</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(Cifras en pesos)</w:t>
            </w:r>
          </w:p>
          <w:p w:rsidR="000B32EB" w:rsidRPr="00B94587" w:rsidRDefault="000B32EB" w:rsidP="000B32EB">
            <w:pPr>
              <w:pStyle w:val="Default"/>
              <w:jc w:val="center"/>
              <w:rPr>
                <w:rFonts w:ascii="Arial Narrow" w:hAnsi="Arial Narrow"/>
                <w:sz w:val="22"/>
                <w:szCs w:val="22"/>
              </w:rPr>
            </w:pP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7054"/>
        <w:gridCol w:w="1924"/>
      </w:tblGrid>
      <w:tr w:rsidR="000B32EB" w:rsidRPr="00B94587" w:rsidTr="005C3CF0">
        <w:trPr>
          <w:jc w:val="center"/>
        </w:trPr>
        <w:tc>
          <w:tcPr>
            <w:tcW w:w="705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1.- Ingresos Presupuestarios</w:t>
            </w:r>
          </w:p>
        </w:tc>
        <w:tc>
          <w:tcPr>
            <w:tcW w:w="1924"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$ 51,127,894.75</w:t>
            </w: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190"/>
        <w:gridCol w:w="2000"/>
      </w:tblGrid>
      <w:tr w:rsidR="000B32EB" w:rsidRPr="00B94587" w:rsidTr="005C3CF0">
        <w:trPr>
          <w:jc w:val="center"/>
        </w:trPr>
        <w:tc>
          <w:tcPr>
            <w:tcW w:w="486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2.- Mas ingresos contables no presupuestarios:</w:t>
            </w:r>
          </w:p>
        </w:tc>
        <w:tc>
          <w:tcPr>
            <w:tcW w:w="2190" w:type="dxa"/>
          </w:tcPr>
          <w:p w:rsidR="000B32EB" w:rsidRPr="00B94587" w:rsidRDefault="000B32EB" w:rsidP="000B32EB">
            <w:pPr>
              <w:pStyle w:val="Default"/>
              <w:rPr>
                <w:rFonts w:ascii="Arial Narrow" w:hAnsi="Arial Narrow"/>
                <w:sz w:val="22"/>
                <w:szCs w:val="22"/>
              </w:rPr>
            </w:pPr>
          </w:p>
        </w:tc>
        <w:tc>
          <w:tcPr>
            <w:tcW w:w="2000"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    904,752.38</w:t>
            </w:r>
          </w:p>
        </w:tc>
      </w:tr>
      <w:tr w:rsidR="000B32EB" w:rsidRPr="00B94587" w:rsidTr="005C3CF0">
        <w:trPr>
          <w:jc w:val="center"/>
        </w:trPr>
        <w:tc>
          <w:tcPr>
            <w:tcW w:w="486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Incremento por variación de inventarios</w:t>
            </w:r>
          </w:p>
        </w:tc>
        <w:tc>
          <w:tcPr>
            <w:tcW w:w="2190"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val="restart"/>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Disminución del exceso de estimaciones por pérdida o deterioro</w:t>
            </w:r>
          </w:p>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U obsolescencia.</w:t>
            </w:r>
          </w:p>
        </w:tc>
        <w:tc>
          <w:tcPr>
            <w:tcW w:w="2190"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Disminución del exceso de provisiones</w:t>
            </w:r>
          </w:p>
        </w:tc>
        <w:tc>
          <w:tcPr>
            <w:tcW w:w="2190"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Otros ingresos y beneficios varios</w:t>
            </w:r>
          </w:p>
        </w:tc>
        <w:tc>
          <w:tcPr>
            <w:tcW w:w="2190"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22"/>
                <w:szCs w:val="22"/>
              </w:rPr>
            </w:pPr>
            <w:r w:rsidRPr="00917741">
              <w:rPr>
                <w:rFonts w:ascii="Arial Narrow" w:hAnsi="Arial Narrow"/>
                <w:sz w:val="22"/>
                <w:szCs w:val="22"/>
              </w:rPr>
              <w:t>Otros ingresos no presupuestarios</w:t>
            </w:r>
          </w:p>
        </w:tc>
        <w:tc>
          <w:tcPr>
            <w:tcW w:w="2190" w:type="dxa"/>
          </w:tcPr>
          <w:p w:rsidR="000B32EB" w:rsidRPr="00917741" w:rsidRDefault="000B32EB" w:rsidP="000B32EB">
            <w:pPr>
              <w:pStyle w:val="Default"/>
              <w:jc w:val="right"/>
              <w:rPr>
                <w:rFonts w:ascii="Arial Narrow" w:hAnsi="Arial Narrow"/>
                <w:sz w:val="22"/>
                <w:szCs w:val="22"/>
              </w:rPr>
            </w:pPr>
            <w:r w:rsidRPr="00917741">
              <w:rPr>
                <w:rFonts w:ascii="Arial Narrow" w:hAnsi="Arial Narrow"/>
                <w:sz w:val="22"/>
                <w:szCs w:val="22"/>
              </w:rPr>
              <w:t>$</w:t>
            </w:r>
            <w:r>
              <w:rPr>
                <w:rFonts w:ascii="Arial Narrow" w:hAnsi="Arial Narrow"/>
                <w:sz w:val="22"/>
                <w:szCs w:val="22"/>
              </w:rPr>
              <w:t xml:space="preserve">     </w:t>
            </w:r>
            <w:r w:rsidRPr="00917741">
              <w:rPr>
                <w:rFonts w:ascii="Arial Narrow" w:hAnsi="Arial Narrow"/>
                <w:sz w:val="22"/>
                <w:szCs w:val="22"/>
              </w:rPr>
              <w:t>904,752.38</w:t>
            </w:r>
          </w:p>
        </w:tc>
        <w:tc>
          <w:tcPr>
            <w:tcW w:w="2000" w:type="dxa"/>
            <w:vMerge/>
          </w:tcPr>
          <w:p w:rsidR="000B32EB" w:rsidRPr="00917741" w:rsidRDefault="000B32EB" w:rsidP="000B32EB">
            <w:pPr>
              <w:pStyle w:val="Default"/>
              <w:jc w:val="right"/>
              <w:rPr>
                <w:rFonts w:ascii="Arial Narrow" w:hAnsi="Arial Narrow"/>
                <w:sz w:val="22"/>
                <w:szCs w:val="22"/>
              </w:rPr>
            </w:pP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2000"/>
      </w:tblGrid>
      <w:tr w:rsidR="000B32EB" w:rsidRPr="00B94587" w:rsidTr="005C3CF0">
        <w:trPr>
          <w:jc w:val="center"/>
        </w:trPr>
        <w:tc>
          <w:tcPr>
            <w:tcW w:w="4866"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3.- Menos ingresos presupuestarios no contables:</w:t>
            </w:r>
          </w:p>
        </w:tc>
        <w:tc>
          <w:tcPr>
            <w:tcW w:w="2188" w:type="dxa"/>
          </w:tcPr>
          <w:p w:rsidR="000B32EB" w:rsidRPr="00B94587" w:rsidRDefault="000B32EB" w:rsidP="000B32EB">
            <w:pPr>
              <w:pStyle w:val="Default"/>
              <w:rPr>
                <w:rFonts w:ascii="Arial Narrow" w:hAnsi="Arial Narrow"/>
                <w:sz w:val="22"/>
                <w:szCs w:val="22"/>
              </w:rPr>
            </w:pPr>
          </w:p>
        </w:tc>
        <w:tc>
          <w:tcPr>
            <w:tcW w:w="2000"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                  0.00</w:t>
            </w:r>
          </w:p>
        </w:tc>
      </w:tr>
      <w:tr w:rsidR="000B32EB" w:rsidRPr="00B94587" w:rsidTr="005C3CF0">
        <w:trPr>
          <w:jc w:val="center"/>
        </w:trPr>
        <w:tc>
          <w:tcPr>
            <w:tcW w:w="4866"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Productos de capital</w:t>
            </w:r>
          </w:p>
        </w:tc>
        <w:tc>
          <w:tcPr>
            <w:tcW w:w="2188"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val="restart"/>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6"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Aprovechamientos capital</w:t>
            </w:r>
          </w:p>
        </w:tc>
        <w:tc>
          <w:tcPr>
            <w:tcW w:w="2188"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6"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Ingresos derivados de financiamientos</w:t>
            </w:r>
          </w:p>
        </w:tc>
        <w:tc>
          <w:tcPr>
            <w:tcW w:w="2188"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6"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Otros ingresos presupuestarios no contables</w:t>
            </w:r>
          </w:p>
        </w:tc>
        <w:tc>
          <w:tcPr>
            <w:tcW w:w="2188"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6"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Total otros ingresos no presupuestarios</w:t>
            </w:r>
          </w:p>
        </w:tc>
        <w:tc>
          <w:tcPr>
            <w:tcW w:w="2188" w:type="dxa"/>
          </w:tcPr>
          <w:p w:rsidR="000B32EB" w:rsidRPr="00B94587" w:rsidRDefault="000B32EB" w:rsidP="000B32EB">
            <w:pPr>
              <w:pStyle w:val="Default"/>
              <w:jc w:val="right"/>
              <w:rPr>
                <w:rFonts w:ascii="Arial Narrow" w:hAnsi="Arial Narrow"/>
                <w:sz w:val="22"/>
                <w:szCs w:val="22"/>
              </w:rPr>
            </w:pPr>
          </w:p>
        </w:tc>
        <w:tc>
          <w:tcPr>
            <w:tcW w:w="2000" w:type="dxa"/>
            <w:vMerge/>
          </w:tcPr>
          <w:p w:rsidR="000B32EB" w:rsidRPr="00B94587" w:rsidRDefault="000B32EB" w:rsidP="000B32EB">
            <w:pPr>
              <w:pStyle w:val="Default"/>
              <w:jc w:val="right"/>
              <w:rPr>
                <w:rFonts w:ascii="Arial Narrow" w:hAnsi="Arial Narrow"/>
                <w:sz w:val="22"/>
                <w:szCs w:val="22"/>
              </w:rPr>
            </w:pPr>
          </w:p>
        </w:tc>
      </w:tr>
    </w:tbl>
    <w:p w:rsidR="000B32EB" w:rsidRDefault="000B32EB" w:rsidP="000B32EB">
      <w:pPr>
        <w:pStyle w:val="Default"/>
        <w:rPr>
          <w:rFonts w:ascii="Arial Narrow" w:hAnsi="Arial Narrow"/>
          <w:sz w:val="22"/>
          <w:szCs w:val="22"/>
        </w:rPr>
      </w:pPr>
    </w:p>
    <w:tbl>
      <w:tblPr>
        <w:tblStyle w:val="Tablaconcuadrcula"/>
        <w:tblW w:w="0" w:type="auto"/>
        <w:tblInd w:w="2376" w:type="dxa"/>
        <w:tblLook w:val="04A0" w:firstRow="1" w:lastRow="0" w:firstColumn="1" w:lastColumn="0" w:noHBand="0" w:noVBand="1"/>
      </w:tblPr>
      <w:tblGrid>
        <w:gridCol w:w="7088"/>
        <w:gridCol w:w="1984"/>
      </w:tblGrid>
      <w:tr w:rsidR="005C3CF0" w:rsidTr="005C3CF0">
        <w:tc>
          <w:tcPr>
            <w:tcW w:w="7088" w:type="dxa"/>
          </w:tcPr>
          <w:p w:rsidR="005C3CF0" w:rsidRPr="00917741" w:rsidRDefault="005C3CF0" w:rsidP="007B2669">
            <w:pPr>
              <w:pStyle w:val="Default"/>
              <w:rPr>
                <w:rFonts w:ascii="Arial Narrow" w:hAnsi="Arial Narrow"/>
                <w:b/>
                <w:sz w:val="22"/>
                <w:szCs w:val="22"/>
              </w:rPr>
            </w:pPr>
            <w:r w:rsidRPr="00917741">
              <w:rPr>
                <w:rFonts w:ascii="Arial Narrow" w:hAnsi="Arial Narrow"/>
                <w:b/>
                <w:sz w:val="22"/>
                <w:szCs w:val="22"/>
              </w:rPr>
              <w:t>4.- Ingresos contables  (4=1+2-3)</w:t>
            </w:r>
          </w:p>
        </w:tc>
        <w:tc>
          <w:tcPr>
            <w:tcW w:w="1984" w:type="dxa"/>
          </w:tcPr>
          <w:p w:rsidR="005C3CF0" w:rsidRPr="00917741" w:rsidRDefault="005C3CF0" w:rsidP="007B2669">
            <w:pPr>
              <w:pStyle w:val="Default"/>
              <w:jc w:val="right"/>
              <w:rPr>
                <w:rFonts w:ascii="Arial Narrow" w:hAnsi="Arial Narrow"/>
                <w:b/>
                <w:sz w:val="22"/>
                <w:szCs w:val="22"/>
              </w:rPr>
            </w:pPr>
            <w:r w:rsidRPr="00917741">
              <w:rPr>
                <w:rFonts w:ascii="Arial Narrow" w:hAnsi="Arial Narrow"/>
                <w:b/>
                <w:sz w:val="22"/>
                <w:szCs w:val="22"/>
              </w:rPr>
              <w:t>52,032,647.13</w:t>
            </w:r>
          </w:p>
        </w:tc>
      </w:tr>
    </w:tbl>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Pr="00B94587" w:rsidRDefault="005C3CF0"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0B32EB" w:rsidRPr="00B94587" w:rsidTr="005C3CF0">
        <w:trPr>
          <w:jc w:val="center"/>
        </w:trPr>
        <w:tc>
          <w:tcPr>
            <w:tcW w:w="8978" w:type="dxa"/>
            <w:tcBorders>
              <w:top w:val="single" w:sz="4" w:space="0" w:color="auto"/>
            </w:tcBorders>
          </w:tcPr>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lastRenderedPageBreak/>
              <w:t>PODER JUDICIAL</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Conciliación entre los Egresos Presupuestarios y lo Gastos Contables</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 xml:space="preserve"> Correspondientes del 01 de enero al 31 de Marzo de 2015</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(Cifras en pesos)</w:t>
            </w:r>
          </w:p>
          <w:p w:rsidR="000B32EB" w:rsidRPr="00B94587" w:rsidRDefault="000B32EB" w:rsidP="000B32EB">
            <w:pPr>
              <w:pStyle w:val="Default"/>
              <w:jc w:val="center"/>
              <w:rPr>
                <w:rFonts w:ascii="Arial Narrow" w:hAnsi="Arial Narrow"/>
                <w:sz w:val="22"/>
                <w:szCs w:val="22"/>
              </w:rPr>
            </w:pP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7054"/>
        <w:gridCol w:w="1924"/>
      </w:tblGrid>
      <w:tr w:rsidR="000B32EB" w:rsidRPr="00B94587" w:rsidTr="005C3CF0">
        <w:trPr>
          <w:jc w:val="center"/>
        </w:trPr>
        <w:tc>
          <w:tcPr>
            <w:tcW w:w="705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1.- Total Egresos  (Presupuestarios)</w:t>
            </w:r>
          </w:p>
        </w:tc>
        <w:tc>
          <w:tcPr>
            <w:tcW w:w="1924"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$ 43,571,755.05</w:t>
            </w: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190"/>
        <w:gridCol w:w="2000"/>
      </w:tblGrid>
      <w:tr w:rsidR="000B32EB" w:rsidRPr="00917741" w:rsidTr="005C3CF0">
        <w:trPr>
          <w:jc w:val="center"/>
        </w:trPr>
        <w:tc>
          <w:tcPr>
            <w:tcW w:w="4864" w:type="dxa"/>
          </w:tcPr>
          <w:p w:rsidR="000B32EB" w:rsidRPr="00917741" w:rsidRDefault="000B32EB" w:rsidP="000B32EB">
            <w:pPr>
              <w:pStyle w:val="Default"/>
              <w:rPr>
                <w:rFonts w:ascii="Arial Narrow" w:hAnsi="Arial Narrow"/>
                <w:sz w:val="22"/>
                <w:szCs w:val="22"/>
              </w:rPr>
            </w:pPr>
            <w:r w:rsidRPr="00917741">
              <w:rPr>
                <w:rFonts w:ascii="Arial Narrow" w:hAnsi="Arial Narrow"/>
                <w:sz w:val="22"/>
                <w:szCs w:val="22"/>
              </w:rPr>
              <w:t>2.- Menos egresos presupuestarios no contables:</w:t>
            </w:r>
          </w:p>
        </w:tc>
        <w:tc>
          <w:tcPr>
            <w:tcW w:w="2190" w:type="dxa"/>
          </w:tcPr>
          <w:p w:rsidR="000B32EB" w:rsidRPr="00917741" w:rsidRDefault="000B32EB" w:rsidP="000B32EB">
            <w:pPr>
              <w:pStyle w:val="Default"/>
              <w:rPr>
                <w:rFonts w:ascii="Arial Narrow" w:hAnsi="Arial Narrow"/>
                <w:sz w:val="22"/>
                <w:szCs w:val="22"/>
              </w:rPr>
            </w:pPr>
          </w:p>
        </w:tc>
        <w:tc>
          <w:tcPr>
            <w:tcW w:w="2000" w:type="dxa"/>
          </w:tcPr>
          <w:p w:rsidR="000B32EB" w:rsidRPr="00917741" w:rsidRDefault="000B32EB" w:rsidP="000B32EB">
            <w:pPr>
              <w:pStyle w:val="Default"/>
              <w:jc w:val="right"/>
              <w:rPr>
                <w:rFonts w:ascii="Arial Narrow" w:hAnsi="Arial Narrow"/>
                <w:sz w:val="22"/>
                <w:szCs w:val="22"/>
              </w:rPr>
            </w:pPr>
            <w:r w:rsidRPr="00917741">
              <w:rPr>
                <w:rFonts w:ascii="Arial Narrow" w:hAnsi="Arial Narrow"/>
                <w:sz w:val="22"/>
                <w:szCs w:val="22"/>
              </w:rPr>
              <w:t>$                     0.00</w:t>
            </w: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 xml:space="preserve">Mobiliario y equipo de administración </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val="restart"/>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Mobiliario y equipo educacional y recreativo</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Equipo e instrumental  medico y de laboratorio</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Vehículos y equipo de transporte</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Equipo de defensa y seguridad</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Maquinaria, otros equipos y herramientas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Activos biológicos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Bienes inmuebles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Activos intangibles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Obra publica en bienes propios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Acciones y participaciones de capital</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Compra de titulo y valores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Inversiones en fideicomisos, mandatos y otros análogos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Provisiones para contingencias y otras erogaciones especiales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Amortización de la deuda publica</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Adeudos de ejercicios fiscales anteriores (ADEFAS)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Otros egresos presupuestales no contables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p>
        </w:tc>
        <w:tc>
          <w:tcPr>
            <w:tcW w:w="2190" w:type="dxa"/>
          </w:tcPr>
          <w:p w:rsidR="000B32EB" w:rsidRPr="00917741" w:rsidRDefault="000B32EB" w:rsidP="000B32EB">
            <w:pPr>
              <w:pStyle w:val="Default"/>
              <w:jc w:val="right"/>
              <w:rPr>
                <w:rFonts w:ascii="Arial Narrow" w:hAnsi="Arial Narrow"/>
                <w:sz w:val="18"/>
                <w:szCs w:val="18"/>
              </w:rPr>
            </w:pPr>
          </w:p>
        </w:tc>
        <w:tc>
          <w:tcPr>
            <w:tcW w:w="2000" w:type="dxa"/>
            <w:vMerge/>
          </w:tcPr>
          <w:p w:rsidR="000B32EB" w:rsidRPr="00917741" w:rsidRDefault="000B32EB" w:rsidP="000B32EB">
            <w:pPr>
              <w:pStyle w:val="Default"/>
              <w:jc w:val="right"/>
              <w:rPr>
                <w:rFonts w:ascii="Arial Narrow" w:hAnsi="Arial Narrow"/>
                <w:sz w:val="18"/>
                <w:szCs w:val="18"/>
              </w:rPr>
            </w:pP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1973"/>
        <w:gridCol w:w="27"/>
      </w:tblGrid>
      <w:tr w:rsidR="000B32EB" w:rsidRPr="00B94587" w:rsidTr="005C3CF0">
        <w:trPr>
          <w:jc w:val="center"/>
        </w:trPr>
        <w:tc>
          <w:tcPr>
            <w:tcW w:w="4866"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3.- Mas egresos contables  no presupuestales:</w:t>
            </w:r>
          </w:p>
        </w:tc>
        <w:tc>
          <w:tcPr>
            <w:tcW w:w="2188" w:type="dxa"/>
          </w:tcPr>
          <w:p w:rsidR="000B32EB" w:rsidRPr="00B94587" w:rsidRDefault="000B32EB" w:rsidP="000B32EB">
            <w:pPr>
              <w:pStyle w:val="Default"/>
              <w:rPr>
                <w:rFonts w:ascii="Arial Narrow" w:hAnsi="Arial Narrow"/>
                <w:sz w:val="22"/>
                <w:szCs w:val="22"/>
              </w:rPr>
            </w:pPr>
          </w:p>
        </w:tc>
        <w:tc>
          <w:tcPr>
            <w:tcW w:w="2000" w:type="dxa"/>
            <w:gridSpan w:val="2"/>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 xml:space="preserve"> $                     0.00</w:t>
            </w:r>
          </w:p>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 xml:space="preserve">                 </w:t>
            </w: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Estimaciones, depreciaciones, deterioros, obsolescencia, y amortizaciones</w:t>
            </w:r>
          </w:p>
        </w:tc>
        <w:tc>
          <w:tcPr>
            <w:tcW w:w="2188"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val="restart"/>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Provisiones</w:t>
            </w:r>
          </w:p>
        </w:tc>
        <w:tc>
          <w:tcPr>
            <w:tcW w:w="2188"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Disminución de inventarios</w:t>
            </w:r>
          </w:p>
        </w:tc>
        <w:tc>
          <w:tcPr>
            <w:tcW w:w="2188"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Aumento por insuficiencia de estimaciones por perdida o deterioro u obsolescencia</w:t>
            </w:r>
          </w:p>
        </w:tc>
        <w:tc>
          <w:tcPr>
            <w:tcW w:w="2188"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Aumento por insuficiencia de provisiones</w:t>
            </w:r>
          </w:p>
        </w:tc>
        <w:tc>
          <w:tcPr>
            <w:tcW w:w="2188"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Otros gastos</w:t>
            </w:r>
          </w:p>
        </w:tc>
        <w:tc>
          <w:tcPr>
            <w:tcW w:w="2188"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Otros gastos contables no presupuestales</w:t>
            </w:r>
          </w:p>
        </w:tc>
        <w:tc>
          <w:tcPr>
            <w:tcW w:w="2188"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B94587" w:rsidTr="005C3CF0">
        <w:trPr>
          <w:gridAfter w:val="1"/>
          <w:wAfter w:w="27" w:type="dxa"/>
          <w:jc w:val="center"/>
        </w:trPr>
        <w:tc>
          <w:tcPr>
            <w:tcW w:w="7054" w:type="dxa"/>
            <w:gridSpan w:val="2"/>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4.- Total de gasto contable  (4=1+2-3)</w:t>
            </w:r>
          </w:p>
        </w:tc>
        <w:tc>
          <w:tcPr>
            <w:tcW w:w="1973"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$ 43,571,755.05</w:t>
            </w:r>
          </w:p>
        </w:tc>
      </w:tr>
    </w:tbl>
    <w:p w:rsidR="000B32EB" w:rsidRPr="006E3190" w:rsidRDefault="000B32EB" w:rsidP="000B32EB">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6E3190">
        <w:rPr>
          <w:rFonts w:ascii="Arial Narrow" w:hAnsi="Arial Narrow"/>
          <w:b/>
          <w:sz w:val="22"/>
          <w:szCs w:val="22"/>
        </w:rPr>
        <w:lastRenderedPageBreak/>
        <w:t>NOTAS DE MEMORIA (CUENTAS DE ORDEN)</w:t>
      </w:r>
    </w:p>
    <w:p w:rsidR="000B32EB" w:rsidRPr="00B94587" w:rsidRDefault="000B32EB" w:rsidP="000B32EB">
      <w:pPr>
        <w:pStyle w:val="Default"/>
        <w:rPr>
          <w:rFonts w:ascii="Arial Narrow" w:hAnsi="Arial Narrow"/>
          <w:sz w:val="22"/>
          <w:szCs w:val="22"/>
        </w:rPr>
      </w:pPr>
    </w:p>
    <w:p w:rsidR="000B32EB" w:rsidRPr="005C3CF0" w:rsidRDefault="000B32EB" w:rsidP="000B32EB">
      <w:pPr>
        <w:pStyle w:val="Default"/>
        <w:rPr>
          <w:rFonts w:ascii="Arial Narrow" w:hAnsi="Arial Narrow"/>
          <w:b/>
          <w:sz w:val="22"/>
          <w:szCs w:val="22"/>
        </w:rPr>
      </w:pPr>
      <w:r w:rsidRPr="005C3CF0">
        <w:rPr>
          <w:rFonts w:ascii="Arial Narrow" w:hAnsi="Arial Narrow"/>
          <w:b/>
          <w:sz w:val="22"/>
          <w:szCs w:val="22"/>
        </w:rPr>
        <w:t>JUICIOS</w:t>
      </w: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jc w:val="both"/>
        <w:rPr>
          <w:rFonts w:ascii="Arial Narrow" w:hAnsi="Arial Narrow"/>
          <w:sz w:val="22"/>
          <w:szCs w:val="22"/>
        </w:rPr>
      </w:pPr>
      <w:r w:rsidRPr="00B94587">
        <w:rPr>
          <w:rFonts w:ascii="Arial Narrow" w:hAnsi="Arial Narrow"/>
          <w:sz w:val="22"/>
          <w:szCs w:val="22"/>
        </w:rPr>
        <w:t xml:space="preserve">En el rubro de contingencias tenemos pasivos, por concepto de resoluciones que corresponden a laudos laborales por importe de $10, 990,311.85 al 2014 y estos no están actualizados a la fecha. Por consiguiente no se han podido finiquitar por falta de capacidad presupuestaria. </w:t>
      </w: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Cuentas de orden deudoras</w:t>
      </w:r>
    </w:p>
    <w:p w:rsidR="000B32EB" w:rsidRPr="00B94587" w:rsidRDefault="000B32EB" w:rsidP="000B32EB">
      <w:pPr>
        <w:pStyle w:val="Default"/>
        <w:rPr>
          <w:rFonts w:ascii="Arial Narrow" w:hAnsi="Arial Narrow"/>
          <w:sz w:val="22"/>
          <w:szCs w:val="22"/>
        </w:rPr>
      </w:pPr>
    </w:p>
    <w:tbl>
      <w:tblPr>
        <w:tblStyle w:val="Tablaconcuadrcula"/>
        <w:tblW w:w="9180" w:type="dxa"/>
        <w:tblLook w:val="04A0" w:firstRow="1" w:lastRow="0" w:firstColumn="1" w:lastColumn="0" w:noHBand="0" w:noVBand="1"/>
      </w:tblPr>
      <w:tblGrid>
        <w:gridCol w:w="2943"/>
        <w:gridCol w:w="1701"/>
        <w:gridCol w:w="284"/>
        <w:gridCol w:w="2551"/>
        <w:gridCol w:w="1701"/>
      </w:tblGrid>
      <w:tr w:rsidR="000B32EB" w:rsidRPr="00B94587" w:rsidTr="000B32EB">
        <w:tc>
          <w:tcPr>
            <w:tcW w:w="2943"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A pagar laudos laborales</w:t>
            </w:r>
          </w:p>
        </w:tc>
        <w:tc>
          <w:tcPr>
            <w:tcW w:w="1701"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$10,990,311.85</w:t>
            </w:r>
          </w:p>
        </w:tc>
        <w:tc>
          <w:tcPr>
            <w:tcW w:w="284" w:type="dxa"/>
          </w:tcPr>
          <w:p w:rsidR="000B32EB" w:rsidRPr="00B94587" w:rsidRDefault="000B32EB" w:rsidP="000B32EB">
            <w:pPr>
              <w:pStyle w:val="Default"/>
              <w:rPr>
                <w:rFonts w:ascii="Arial Narrow" w:hAnsi="Arial Narrow"/>
                <w:sz w:val="22"/>
                <w:szCs w:val="22"/>
              </w:rPr>
            </w:pPr>
          </w:p>
        </w:tc>
        <w:tc>
          <w:tcPr>
            <w:tcW w:w="2551"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Laudos laborales por pagar</w:t>
            </w:r>
          </w:p>
        </w:tc>
        <w:tc>
          <w:tcPr>
            <w:tcW w:w="1701"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$10,990,311.85</w:t>
            </w:r>
          </w:p>
        </w:tc>
      </w:tr>
    </w:tbl>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Cuentas de orden acreedoras</w:t>
      </w:r>
    </w:p>
    <w:p w:rsidR="000B32EB" w:rsidRPr="00B94587" w:rsidRDefault="000B32EB" w:rsidP="000B32EB">
      <w:pPr>
        <w:pStyle w:val="Default"/>
        <w:rPr>
          <w:rFonts w:ascii="Arial Narrow" w:hAnsi="Arial Narrow"/>
          <w:sz w:val="22"/>
          <w:szCs w:val="22"/>
        </w:rPr>
      </w:pPr>
    </w:p>
    <w:tbl>
      <w:tblPr>
        <w:tblStyle w:val="Tablaconcuadrcula"/>
        <w:tblW w:w="9180" w:type="dxa"/>
        <w:tblLook w:val="04A0" w:firstRow="1" w:lastRow="0" w:firstColumn="1" w:lastColumn="0" w:noHBand="0" w:noVBand="1"/>
      </w:tblPr>
      <w:tblGrid>
        <w:gridCol w:w="2943"/>
        <w:gridCol w:w="1701"/>
        <w:gridCol w:w="284"/>
        <w:gridCol w:w="2551"/>
        <w:gridCol w:w="1701"/>
      </w:tblGrid>
      <w:tr w:rsidR="000B32EB" w:rsidRPr="00B94587" w:rsidTr="000B32EB">
        <w:tc>
          <w:tcPr>
            <w:tcW w:w="2943"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Demandas judiciales en proceso de resolución</w:t>
            </w:r>
          </w:p>
        </w:tc>
        <w:tc>
          <w:tcPr>
            <w:tcW w:w="1701"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$918,842.80</w:t>
            </w:r>
          </w:p>
        </w:tc>
        <w:tc>
          <w:tcPr>
            <w:tcW w:w="284" w:type="dxa"/>
          </w:tcPr>
          <w:p w:rsidR="000B32EB" w:rsidRPr="00B94587" w:rsidRDefault="000B32EB" w:rsidP="000B32EB">
            <w:pPr>
              <w:pStyle w:val="Default"/>
              <w:rPr>
                <w:rFonts w:ascii="Arial Narrow" w:hAnsi="Arial Narrow"/>
                <w:sz w:val="22"/>
                <w:szCs w:val="22"/>
              </w:rPr>
            </w:pPr>
          </w:p>
        </w:tc>
        <w:tc>
          <w:tcPr>
            <w:tcW w:w="2551"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Resolución de demandas en proceso de resolución</w:t>
            </w:r>
          </w:p>
        </w:tc>
        <w:tc>
          <w:tcPr>
            <w:tcW w:w="1701"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$918,842.80</w:t>
            </w:r>
          </w:p>
        </w:tc>
      </w:tr>
    </w:tbl>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B94587">
        <w:rPr>
          <w:rFonts w:ascii="Arial Narrow" w:hAnsi="Arial Narrow"/>
          <w:b/>
          <w:sz w:val="22"/>
          <w:szCs w:val="22"/>
        </w:rPr>
        <w:t>NOTAS DE GESTIÓN ADMINISTRATIVA</w:t>
      </w:r>
    </w:p>
    <w:p w:rsidR="000B32EB" w:rsidRPr="00B94587" w:rsidRDefault="000B32EB" w:rsidP="000B32EB">
      <w:pPr>
        <w:pStyle w:val="Default"/>
        <w:rPr>
          <w:rFonts w:ascii="Arial Narrow" w:hAnsi="Arial Narrow"/>
          <w:sz w:val="22"/>
          <w:szCs w:val="22"/>
        </w:rPr>
      </w:pPr>
    </w:p>
    <w:p w:rsidR="000B32EB" w:rsidRPr="00701F5D" w:rsidRDefault="000B32EB" w:rsidP="00701F5D">
      <w:pPr>
        <w:pStyle w:val="Default"/>
        <w:numPr>
          <w:ilvl w:val="0"/>
          <w:numId w:val="21"/>
        </w:numPr>
        <w:rPr>
          <w:rFonts w:ascii="Arial Narrow" w:hAnsi="Arial Narrow"/>
          <w:b/>
          <w:bCs/>
          <w:sz w:val="22"/>
          <w:szCs w:val="22"/>
          <w:u w:val="single"/>
        </w:rPr>
      </w:pPr>
      <w:r w:rsidRPr="00701F5D">
        <w:rPr>
          <w:rFonts w:ascii="Arial Narrow" w:hAnsi="Arial Narrow"/>
          <w:b/>
          <w:bCs/>
          <w:sz w:val="22"/>
          <w:szCs w:val="22"/>
          <w:u w:val="single"/>
        </w:rPr>
        <w:t xml:space="preserve">Introducción </w:t>
      </w: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p>
    <w:p w:rsidR="000B32EB" w:rsidRPr="00B94587" w:rsidRDefault="000B32EB" w:rsidP="000B32EB">
      <w:pPr>
        <w:jc w:val="both"/>
        <w:rPr>
          <w:rFonts w:ascii="Arial Narrow" w:hAnsi="Arial Narrow"/>
        </w:rPr>
      </w:pPr>
      <w:r w:rsidRPr="00B94587">
        <w:rPr>
          <w:rFonts w:ascii="Arial Narrow" w:hAnsi="Arial Narrow"/>
        </w:rPr>
        <w:t xml:space="preserve">El tomo del Poder Judicial presenta la información contable, presupuestaria y programática consolidada e integrada del Poder Judicial. </w:t>
      </w:r>
    </w:p>
    <w:p w:rsidR="000B32EB" w:rsidRPr="00B94587" w:rsidRDefault="000B32EB" w:rsidP="000B32EB">
      <w:pPr>
        <w:spacing w:after="0"/>
        <w:jc w:val="both"/>
        <w:rPr>
          <w:rFonts w:ascii="Arial Narrow" w:hAnsi="Arial Narrow"/>
          <w:lang w:val="es-ES"/>
        </w:rPr>
      </w:pPr>
      <w:r w:rsidRPr="00B94587">
        <w:rPr>
          <w:rFonts w:ascii="Arial Narrow" w:hAnsi="Arial Narrow"/>
        </w:rPr>
        <w:t xml:space="preserve">Conforme a lo dispuesto por el que se armoniza la estructura de las cuentas públicas, el Tomo del Poder Judicial se integra a su vez por los Estados Financieros y demás información presupuestaria, programática y contable que presenta el Honorable Tribunal Superior de Justicia. Que tiene por </w:t>
      </w:r>
      <w:r w:rsidRPr="00B94587">
        <w:rPr>
          <w:rFonts w:ascii="Arial Narrow" w:hAnsi="Arial Narrow"/>
          <w:lang w:val="es-ES"/>
        </w:rPr>
        <w:t xml:space="preserve">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 </w:t>
      </w:r>
    </w:p>
    <w:p w:rsidR="000B32EB" w:rsidRPr="00B94587" w:rsidRDefault="000B32EB" w:rsidP="000B32EB">
      <w:pPr>
        <w:spacing w:after="0"/>
        <w:jc w:val="both"/>
        <w:rPr>
          <w:rFonts w:ascii="Arial Narrow" w:hAnsi="Arial Narrow"/>
          <w:lang w:val="es-ES"/>
        </w:rPr>
      </w:pPr>
    </w:p>
    <w:p w:rsidR="000B32EB" w:rsidRPr="00B94587" w:rsidRDefault="000B32EB" w:rsidP="000B32EB">
      <w:pPr>
        <w:spacing w:after="0"/>
        <w:jc w:val="both"/>
        <w:rPr>
          <w:rFonts w:ascii="Arial Narrow" w:hAnsi="Arial Narrow"/>
          <w:lang w:val="es-ES"/>
        </w:rPr>
      </w:pPr>
      <w:r w:rsidRPr="00B94587">
        <w:rPr>
          <w:rFonts w:ascii="Arial Narrow" w:hAnsi="Arial Narrow"/>
          <w:lang w:val="es-ES"/>
        </w:rPr>
        <w:t>Que muestran a su vez de manera confiable como fueron aplicados los recursos en este primer trimestre 2015.</w:t>
      </w:r>
    </w:p>
    <w:p w:rsidR="000B32EB" w:rsidRPr="00B94587" w:rsidRDefault="000B32EB" w:rsidP="000B32EB">
      <w:pPr>
        <w:spacing w:after="0"/>
        <w:jc w:val="both"/>
        <w:rPr>
          <w:rFonts w:ascii="Arial Narrow" w:hAnsi="Arial Narrow"/>
          <w:lang w:val="es-ES"/>
        </w:rPr>
      </w:pPr>
    </w:p>
    <w:p w:rsidR="000B32EB" w:rsidRPr="00B94587" w:rsidRDefault="000B32EB" w:rsidP="000B32EB">
      <w:pPr>
        <w:spacing w:after="0"/>
        <w:jc w:val="both"/>
        <w:rPr>
          <w:rFonts w:ascii="Arial Narrow" w:hAnsi="Arial Narrow"/>
          <w:lang w:val="es-ES"/>
        </w:rPr>
      </w:pPr>
      <w:r w:rsidRPr="00B94587">
        <w:rPr>
          <w:rFonts w:ascii="Arial Narrow" w:hAnsi="Arial Narrow"/>
          <w:lang w:val="es-ES"/>
        </w:rPr>
        <w:t>Las Notas a los Estados Financieros tiene el objetivo de revelar el contexto y los aspectos económicos-financieros más relevantes que influyeron en las decisiones del periodo y que fueron consideradas para la elaboración de los Estados Financieros.</w:t>
      </w:r>
    </w:p>
    <w:p w:rsidR="000B32EB" w:rsidRPr="00B94587" w:rsidRDefault="000B32EB" w:rsidP="000B32EB">
      <w:pPr>
        <w:jc w:val="both"/>
        <w:rPr>
          <w:rFonts w:ascii="Arial Narrow" w:hAnsi="Arial Narrow"/>
        </w:rPr>
      </w:pPr>
    </w:p>
    <w:p w:rsidR="000B32EB" w:rsidRPr="00B94587" w:rsidRDefault="000B32EB" w:rsidP="000B32EB">
      <w:pPr>
        <w:jc w:val="both"/>
        <w:rPr>
          <w:rFonts w:ascii="Arial Narrow" w:hAnsi="Arial Narrow"/>
        </w:rPr>
      </w:pPr>
      <w:r w:rsidRPr="00B94587">
        <w:rPr>
          <w:rFonts w:ascii="Arial Narrow" w:hAnsi="Arial Narrow"/>
        </w:rPr>
        <w:lastRenderedPageBreak/>
        <w:t>El presente Tomo se estructura atendiendo a lo dispuesto en el artículo 53 de la Ley General de Contabilidad Gubernamental, por lo que cada apartado correspondiente al Tribunal Superior de Justicia contiene lo Siguiente:</w:t>
      </w:r>
    </w:p>
    <w:p w:rsidR="000B32EB" w:rsidRPr="00B94587" w:rsidRDefault="000B32EB" w:rsidP="000B32EB">
      <w:pPr>
        <w:pStyle w:val="Prrafodelista"/>
        <w:numPr>
          <w:ilvl w:val="0"/>
          <w:numId w:val="15"/>
        </w:numPr>
        <w:jc w:val="both"/>
        <w:rPr>
          <w:rFonts w:ascii="Arial Narrow" w:hAnsi="Arial Narrow"/>
        </w:rPr>
      </w:pPr>
      <w:r w:rsidRPr="00B94587">
        <w:rPr>
          <w:rFonts w:ascii="Arial Narrow" w:hAnsi="Arial Narrow"/>
        </w:rPr>
        <w:t>Introducción</w:t>
      </w:r>
    </w:p>
    <w:p w:rsidR="000B32EB" w:rsidRPr="00B94587" w:rsidRDefault="000B32EB" w:rsidP="000B32EB">
      <w:pPr>
        <w:pStyle w:val="Prrafodelista"/>
        <w:numPr>
          <w:ilvl w:val="0"/>
          <w:numId w:val="15"/>
        </w:numPr>
        <w:jc w:val="both"/>
        <w:rPr>
          <w:rFonts w:ascii="Arial Narrow" w:hAnsi="Arial Narrow"/>
        </w:rPr>
      </w:pPr>
      <w:r w:rsidRPr="00B94587">
        <w:rPr>
          <w:rFonts w:ascii="Arial Narrow" w:hAnsi="Arial Narrow"/>
        </w:rPr>
        <w:t>Información contable</w:t>
      </w:r>
    </w:p>
    <w:p w:rsidR="000B32EB" w:rsidRPr="00B94587" w:rsidRDefault="000B32EB" w:rsidP="000B32EB">
      <w:pPr>
        <w:pStyle w:val="Prrafodelista"/>
        <w:numPr>
          <w:ilvl w:val="0"/>
          <w:numId w:val="15"/>
        </w:numPr>
        <w:jc w:val="both"/>
        <w:rPr>
          <w:rFonts w:ascii="Arial Narrow" w:hAnsi="Arial Narrow"/>
        </w:rPr>
      </w:pPr>
      <w:r w:rsidRPr="00B94587">
        <w:rPr>
          <w:rFonts w:ascii="Arial Narrow" w:hAnsi="Arial Narrow"/>
        </w:rPr>
        <w:t>Información presupuestaria</w:t>
      </w:r>
    </w:p>
    <w:p w:rsidR="000B32EB" w:rsidRPr="00B94587" w:rsidRDefault="000B32EB" w:rsidP="000B32EB">
      <w:pPr>
        <w:pStyle w:val="Prrafodelista"/>
        <w:numPr>
          <w:ilvl w:val="0"/>
          <w:numId w:val="15"/>
        </w:numPr>
        <w:jc w:val="both"/>
        <w:rPr>
          <w:rFonts w:ascii="Arial Narrow" w:hAnsi="Arial Narrow"/>
        </w:rPr>
      </w:pPr>
      <w:r w:rsidRPr="00B94587">
        <w:rPr>
          <w:rFonts w:ascii="Arial Narrow" w:hAnsi="Arial Narrow"/>
        </w:rPr>
        <w:t>Información programática</w:t>
      </w:r>
    </w:p>
    <w:p w:rsidR="000B32EB" w:rsidRPr="00B94587" w:rsidRDefault="000B32EB" w:rsidP="000B32EB">
      <w:pPr>
        <w:pStyle w:val="Prrafodelista"/>
        <w:ind w:left="1440"/>
        <w:jc w:val="both"/>
        <w:rPr>
          <w:rFonts w:ascii="Arial Narrow" w:hAnsi="Arial Narrow"/>
        </w:rPr>
      </w:pPr>
    </w:p>
    <w:p w:rsidR="000B32EB" w:rsidRPr="00B94587" w:rsidRDefault="000B32EB" w:rsidP="000B32EB">
      <w:pPr>
        <w:pStyle w:val="Prrafodelista"/>
        <w:jc w:val="both"/>
        <w:rPr>
          <w:rFonts w:ascii="Arial Narrow" w:hAnsi="Arial Narrow"/>
        </w:rPr>
      </w:pPr>
      <w:r w:rsidRPr="00B94587">
        <w:rPr>
          <w:rFonts w:ascii="Arial Narrow" w:hAnsi="Arial Narrow"/>
        </w:rPr>
        <w:t>Adicionalmente a la información contenida en el presente Tomo, y atendiendo a lo dispuesto por el último párrafo del artículo 23 de la Ley General de Contabilidad Gubernamental, se adjunta en disco compacto un apartado de anexo en que se incorpora la relación de los bienes que componen el patrimonio del Honorable Tribunal Superior de Justicia.</w:t>
      </w: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jc w:val="both"/>
        <w:rPr>
          <w:rFonts w:ascii="Arial Narrow" w:hAnsi="Arial Narrow"/>
          <w:b/>
          <w:bCs/>
          <w:sz w:val="22"/>
          <w:szCs w:val="22"/>
        </w:rPr>
      </w:pPr>
      <w:r w:rsidRPr="00B94587">
        <w:rPr>
          <w:rFonts w:ascii="Arial Narrow" w:hAnsi="Arial Narrow"/>
          <w:b/>
          <w:bCs/>
          <w:sz w:val="22"/>
          <w:szCs w:val="22"/>
        </w:rPr>
        <w:t>2.- Panorama Económico y financiero</w:t>
      </w:r>
    </w:p>
    <w:p w:rsidR="000B32EB" w:rsidRPr="00B94587" w:rsidRDefault="000B32EB" w:rsidP="000B32EB">
      <w:pPr>
        <w:pStyle w:val="Default"/>
        <w:jc w:val="both"/>
        <w:rPr>
          <w:rFonts w:ascii="Arial Narrow" w:hAnsi="Arial Narrow"/>
          <w:b/>
          <w:bCs/>
          <w:sz w:val="22"/>
          <w:szCs w:val="22"/>
        </w:rPr>
      </w:pPr>
    </w:p>
    <w:p w:rsidR="000B32EB" w:rsidRPr="00B94587" w:rsidRDefault="000B32EB" w:rsidP="000B32EB">
      <w:pPr>
        <w:pStyle w:val="Prrafodelista"/>
        <w:ind w:left="0"/>
        <w:jc w:val="both"/>
        <w:rPr>
          <w:rFonts w:ascii="Arial Narrow" w:hAnsi="Arial Narrow"/>
        </w:rPr>
      </w:pPr>
      <w:r w:rsidRPr="00B94587">
        <w:rPr>
          <w:rFonts w:ascii="Arial Narrow" w:hAnsi="Arial Narrow"/>
        </w:rPr>
        <w:t xml:space="preserve">El Honorable Tribunal Superior de Justicia, enfrenta un rezago económico presupuestario, debido a laudos laborales que actualmente tiene que cubrir en un corto plazo. </w:t>
      </w:r>
    </w:p>
    <w:p w:rsidR="000B32EB" w:rsidRPr="00B94587" w:rsidRDefault="000B32EB" w:rsidP="000B32EB">
      <w:pPr>
        <w:pStyle w:val="Prrafodelista"/>
        <w:ind w:left="0"/>
        <w:jc w:val="both"/>
        <w:rPr>
          <w:rFonts w:ascii="Arial Narrow" w:hAnsi="Arial Narrow"/>
        </w:rPr>
      </w:pPr>
      <w:r w:rsidRPr="00B94587">
        <w:rPr>
          <w:rFonts w:ascii="Arial Narrow" w:hAnsi="Arial Narrow"/>
        </w:rPr>
        <w:t xml:space="preserve"> Además de que el incremento al presupuesto de egresos para este ejercicio fiscal 2015 autorizado fue de sólo el 4</w:t>
      </w:r>
      <w:proofErr w:type="gramStart"/>
      <w:r w:rsidRPr="00B94587">
        <w:rPr>
          <w:rFonts w:ascii="Arial Narrow" w:hAnsi="Arial Narrow"/>
        </w:rPr>
        <w:t>% .</w:t>
      </w:r>
      <w:proofErr w:type="gramEnd"/>
    </w:p>
    <w:p w:rsidR="000B32EB" w:rsidRPr="00B94587" w:rsidRDefault="000B32EB" w:rsidP="000B32EB">
      <w:pPr>
        <w:autoSpaceDE w:val="0"/>
        <w:autoSpaceDN w:val="0"/>
        <w:adjustRightInd w:val="0"/>
        <w:spacing w:after="0" w:line="240" w:lineRule="auto"/>
        <w:jc w:val="both"/>
        <w:rPr>
          <w:rFonts w:ascii="Arial Narrow" w:hAnsi="Arial Narrow" w:cs="AGaramondPro-Regular"/>
        </w:rPr>
      </w:pPr>
      <w:r w:rsidRPr="00B94587">
        <w:rPr>
          <w:rFonts w:ascii="Arial Narrow" w:hAnsi="Arial Narrow" w:cs="AGaramondPro-Bold"/>
          <w:bCs/>
        </w:rPr>
        <w:t>Por las reformas Constitucionales que fueron publicadas e</w:t>
      </w:r>
      <w:r w:rsidRPr="00B94587">
        <w:rPr>
          <w:rFonts w:ascii="Arial Narrow" w:hAnsi="Arial Narrow" w:cs="AGaramondPro-Regular"/>
        </w:rPr>
        <w:t>l 18 de junio de 2008 en el Diario Oficial de la Federación el Decreto por el que se reforman los artículos 16, 17, 18, 19, 20, 21 y 22; las fracciones XXI y XXIII del artículo 73; la fracción VII del artículo 115 y la fracción XIII del apartado B del artículo 123, todos de la Constitución Política de los Estados Unidos Mexicanos.</w:t>
      </w:r>
    </w:p>
    <w:p w:rsidR="000B32EB" w:rsidRPr="00B94587" w:rsidRDefault="000B32EB" w:rsidP="000B32EB">
      <w:pPr>
        <w:autoSpaceDE w:val="0"/>
        <w:autoSpaceDN w:val="0"/>
        <w:adjustRightInd w:val="0"/>
        <w:spacing w:after="0" w:line="240" w:lineRule="auto"/>
        <w:jc w:val="both"/>
        <w:rPr>
          <w:rFonts w:ascii="Arial Narrow" w:hAnsi="Arial Narrow" w:cs="AGaramondPro-Regular"/>
        </w:rPr>
      </w:pPr>
    </w:p>
    <w:p w:rsidR="000B32EB" w:rsidRPr="00B94587" w:rsidRDefault="000B32EB" w:rsidP="000B32EB">
      <w:pPr>
        <w:autoSpaceDE w:val="0"/>
        <w:autoSpaceDN w:val="0"/>
        <w:adjustRightInd w:val="0"/>
        <w:spacing w:after="0" w:line="240" w:lineRule="auto"/>
        <w:jc w:val="both"/>
        <w:rPr>
          <w:rFonts w:ascii="Arial Narrow" w:hAnsi="Arial Narrow"/>
          <w:b/>
          <w:u w:val="single"/>
        </w:rPr>
      </w:pPr>
      <w:r w:rsidRPr="00B94587">
        <w:rPr>
          <w:rFonts w:ascii="Arial Narrow" w:hAnsi="Arial Narrow" w:cs="AGaramondPro-Regular"/>
        </w:rPr>
        <w:t xml:space="preserve">En los artículos transitorios segundo y tercero del Decreto mencionado establecen los lineamientos temporales para la </w:t>
      </w:r>
      <w:r w:rsidRPr="00B94587">
        <w:rPr>
          <w:rFonts w:ascii="Arial Narrow" w:hAnsi="Arial Narrow" w:cs="AGaramondPro-Regular"/>
          <w:b/>
        </w:rPr>
        <w:t>entrada en vigor en nuestro país del</w:t>
      </w:r>
      <w:r w:rsidRPr="00B94587">
        <w:rPr>
          <w:rFonts w:ascii="Arial Narrow" w:hAnsi="Arial Narrow" w:cs="AGaramondPro-Regular"/>
        </w:rPr>
        <w:t xml:space="preserve"> </w:t>
      </w:r>
      <w:r w:rsidRPr="00B94587">
        <w:rPr>
          <w:rFonts w:ascii="Arial Narrow" w:hAnsi="Arial Narrow" w:cs="AGaramondPro-Regular"/>
          <w:b/>
        </w:rPr>
        <w:t>sistema procesal penal acusatorio</w:t>
      </w:r>
      <w:r w:rsidRPr="00B94587">
        <w:rPr>
          <w:rFonts w:ascii="Arial Narrow" w:hAnsi="Arial Narrow" w:cs="AGaramondPro-Regular"/>
        </w:rPr>
        <w:t xml:space="preserve">, </w:t>
      </w:r>
      <w:r w:rsidRPr="00B94587">
        <w:rPr>
          <w:rFonts w:ascii="Arial Narrow" w:hAnsi="Arial Narrow"/>
        </w:rPr>
        <w:t xml:space="preserve">Esto origino un incremento en el personal por la obligatoriedad en la implantación de estas reformas impactando considerablemente en el presupuesto este ejercicio provocando déficit presupuestal. </w:t>
      </w:r>
    </w:p>
    <w:p w:rsidR="000B32EB" w:rsidRPr="00B94587" w:rsidRDefault="000B32EB" w:rsidP="000B32EB">
      <w:pPr>
        <w:pStyle w:val="Default"/>
        <w:jc w:val="both"/>
        <w:rPr>
          <w:rFonts w:ascii="Arial Narrow" w:hAnsi="Arial Narrow"/>
          <w:b/>
          <w:bCs/>
          <w:sz w:val="22"/>
          <w:szCs w:val="22"/>
        </w:rPr>
      </w:pP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jc w:val="both"/>
        <w:rPr>
          <w:rFonts w:ascii="Arial Narrow" w:hAnsi="Arial Narrow"/>
          <w:b/>
          <w:bCs/>
          <w:sz w:val="22"/>
          <w:szCs w:val="22"/>
        </w:rPr>
      </w:pPr>
      <w:r w:rsidRPr="00B94587">
        <w:rPr>
          <w:rFonts w:ascii="Arial Narrow" w:hAnsi="Arial Narrow"/>
          <w:b/>
          <w:bCs/>
          <w:sz w:val="22"/>
          <w:szCs w:val="22"/>
        </w:rPr>
        <w:t>3.- Autorización e historia</w:t>
      </w: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numPr>
          <w:ilvl w:val="0"/>
          <w:numId w:val="9"/>
        </w:numPr>
        <w:rPr>
          <w:rFonts w:ascii="Arial Narrow" w:hAnsi="Arial Narrow"/>
          <w:b/>
          <w:bCs/>
          <w:sz w:val="22"/>
          <w:szCs w:val="22"/>
        </w:rPr>
      </w:pPr>
      <w:r w:rsidRPr="00B94587">
        <w:rPr>
          <w:rFonts w:ascii="Arial Narrow" w:hAnsi="Arial Narrow"/>
          <w:b/>
          <w:bCs/>
          <w:sz w:val="22"/>
          <w:szCs w:val="22"/>
        </w:rPr>
        <w:t xml:space="preserve">Fecha de creación e historia. </w:t>
      </w:r>
    </w:p>
    <w:p w:rsidR="000B32EB" w:rsidRPr="00B94587" w:rsidRDefault="000B32EB" w:rsidP="000B32EB">
      <w:pPr>
        <w:pStyle w:val="Default"/>
        <w:ind w:left="708"/>
        <w:rPr>
          <w:rFonts w:ascii="Arial Narrow" w:hAnsi="Arial Narrow"/>
          <w:b/>
          <w:bCs/>
          <w:sz w:val="22"/>
          <w:szCs w:val="22"/>
        </w:rPr>
      </w:pPr>
    </w:p>
    <w:p w:rsidR="000B32EB" w:rsidRDefault="000B32EB" w:rsidP="000B32EB">
      <w:pPr>
        <w:pStyle w:val="Default"/>
        <w:ind w:left="708"/>
        <w:rPr>
          <w:rFonts w:ascii="Arial Narrow" w:hAnsi="Arial Narrow"/>
          <w:b/>
          <w:bCs/>
          <w:sz w:val="22"/>
          <w:szCs w:val="22"/>
        </w:rPr>
      </w:pPr>
      <w:r>
        <w:rPr>
          <w:rFonts w:ascii="Arial Narrow" w:hAnsi="Arial Narrow"/>
          <w:b/>
          <w:bCs/>
          <w:sz w:val="22"/>
          <w:szCs w:val="22"/>
        </w:rPr>
        <w:t>Entidad que informa.</w:t>
      </w:r>
    </w:p>
    <w:p w:rsidR="000B32EB" w:rsidRPr="00B94587" w:rsidRDefault="000B32EB" w:rsidP="000B32EB">
      <w:pPr>
        <w:pStyle w:val="Default"/>
        <w:ind w:left="708"/>
        <w:rPr>
          <w:rFonts w:ascii="Arial Narrow" w:hAnsi="Arial Narrow"/>
          <w:b/>
          <w:bCs/>
          <w:sz w:val="22"/>
          <w:szCs w:val="22"/>
        </w:rPr>
      </w:pPr>
    </w:p>
    <w:p w:rsidR="000B32EB" w:rsidRPr="00B94587" w:rsidRDefault="000B32EB" w:rsidP="000B32EB">
      <w:pPr>
        <w:pStyle w:val="Default"/>
        <w:ind w:left="720"/>
        <w:jc w:val="both"/>
        <w:rPr>
          <w:rFonts w:ascii="Arial Narrow" w:hAnsi="Arial Narrow"/>
          <w:bCs/>
          <w:sz w:val="22"/>
          <w:szCs w:val="22"/>
        </w:rPr>
      </w:pPr>
      <w:r w:rsidRPr="00B94587">
        <w:rPr>
          <w:rFonts w:ascii="Arial Narrow" w:hAnsi="Arial Narrow"/>
          <w:bCs/>
          <w:sz w:val="22"/>
          <w:szCs w:val="22"/>
        </w:rPr>
        <w:t xml:space="preserve">Emanada de la Constitución Política del Estado de Tlaxcala, del 30 de abril de 1968, por el C.  Miguel Lira y Ortega, Gobernador Constitucional del Estado Libre y Soberano de Tlaxcala. Promulgo bajo decreto la Constitución del   Tribunal Superior de Justicia en su TITULO X   Del Poder Judicial, en su Art. 56. Y dice el </w:t>
      </w:r>
      <w:r w:rsidRPr="00B94587">
        <w:rPr>
          <w:rFonts w:ascii="Arial Narrow" w:hAnsi="Arial Narrow"/>
          <w:bCs/>
          <w:sz w:val="22"/>
          <w:szCs w:val="22"/>
        </w:rPr>
        <w:lastRenderedPageBreak/>
        <w:t xml:space="preserve">ejercicio Poder Judicial se comete al TRIBUNAL SUPERIOR DE JUSTICIA, Y posteriormente el 05 de mayo de 1968 por decreto, se convoca para nombrar los tres primeros Magistrados, y a los jueces miembros del Superior Tribunal de Justicia del Estado.  </w:t>
      </w:r>
    </w:p>
    <w:p w:rsidR="000B32EB" w:rsidRPr="00B94587" w:rsidRDefault="000B32EB" w:rsidP="000B32EB">
      <w:pPr>
        <w:pStyle w:val="Default"/>
        <w:ind w:left="720"/>
        <w:jc w:val="both"/>
        <w:rPr>
          <w:rFonts w:ascii="Arial Narrow" w:hAnsi="Arial Narrow"/>
          <w:bCs/>
          <w:sz w:val="22"/>
          <w:szCs w:val="22"/>
        </w:rPr>
      </w:pPr>
    </w:p>
    <w:p w:rsidR="000B32EB" w:rsidRDefault="000B32EB" w:rsidP="000B32EB">
      <w:pPr>
        <w:pStyle w:val="Default"/>
        <w:ind w:left="720"/>
        <w:jc w:val="both"/>
        <w:rPr>
          <w:rFonts w:ascii="Arial Narrow" w:hAnsi="Arial Narrow"/>
          <w:bCs/>
          <w:sz w:val="22"/>
          <w:szCs w:val="22"/>
        </w:rPr>
      </w:pPr>
      <w:r w:rsidRPr="00B94587">
        <w:rPr>
          <w:rFonts w:ascii="Arial Narrow" w:hAnsi="Arial Narrow"/>
          <w:bCs/>
          <w:sz w:val="22"/>
          <w:szCs w:val="22"/>
        </w:rPr>
        <w:t>La supremacía y el control de la Constitución Política del Estado para impartir justicia de manera pronta, gratuita, completa e imparcial, en los asuntos de orden civil, familiar, penal, electoral, administrativo y ejecución de sanciones, administración de justicia para adolecentes y  en los del orden federal en los caso en que las leyes de la materia le confiera jurisdicción como lo marca la ley Orgánica del Poder Judicial del Estado de Tlaxcala  en su Art. 1</w:t>
      </w:r>
    </w:p>
    <w:p w:rsidR="000B32EB" w:rsidRPr="00B94587" w:rsidRDefault="000B32EB" w:rsidP="000B32EB">
      <w:pPr>
        <w:pStyle w:val="Default"/>
        <w:ind w:left="720"/>
        <w:jc w:val="both"/>
        <w:rPr>
          <w:rFonts w:ascii="Arial Narrow" w:hAnsi="Arial Narrow"/>
          <w:bCs/>
          <w:sz w:val="22"/>
          <w:szCs w:val="22"/>
        </w:rPr>
      </w:pPr>
    </w:p>
    <w:p w:rsidR="000B32EB" w:rsidRPr="00B94587" w:rsidRDefault="000B32EB" w:rsidP="000B32EB">
      <w:pPr>
        <w:pStyle w:val="Default"/>
        <w:jc w:val="both"/>
        <w:rPr>
          <w:rFonts w:ascii="Arial Narrow" w:hAnsi="Arial Narrow"/>
          <w:b/>
          <w:bCs/>
          <w:sz w:val="22"/>
          <w:szCs w:val="22"/>
        </w:rPr>
      </w:pPr>
    </w:p>
    <w:p w:rsidR="000B32EB" w:rsidRDefault="000B32EB" w:rsidP="000B32EB">
      <w:pPr>
        <w:pStyle w:val="Default"/>
        <w:jc w:val="both"/>
        <w:rPr>
          <w:rFonts w:ascii="Arial Narrow" w:hAnsi="Arial Narrow"/>
          <w:b/>
          <w:bCs/>
          <w:sz w:val="22"/>
          <w:szCs w:val="22"/>
        </w:rPr>
      </w:pPr>
      <w:r w:rsidRPr="00B94587">
        <w:rPr>
          <w:rFonts w:ascii="Arial Narrow" w:hAnsi="Arial Narrow"/>
          <w:b/>
          <w:bCs/>
          <w:sz w:val="22"/>
          <w:szCs w:val="22"/>
        </w:rPr>
        <w:t>4.- Organización y Objeto social.</w:t>
      </w:r>
    </w:p>
    <w:p w:rsidR="000B32EB" w:rsidRPr="00B94587" w:rsidRDefault="000B32EB" w:rsidP="000B32EB">
      <w:pPr>
        <w:pStyle w:val="Default"/>
        <w:jc w:val="both"/>
        <w:rPr>
          <w:rFonts w:ascii="Arial Narrow" w:hAnsi="Arial Narrow"/>
          <w:b/>
          <w:bCs/>
          <w:sz w:val="22"/>
          <w:szCs w:val="22"/>
        </w:rPr>
      </w:pPr>
    </w:p>
    <w:p w:rsidR="000B32EB" w:rsidRPr="00701F5D" w:rsidRDefault="000B32EB" w:rsidP="00701F5D">
      <w:pPr>
        <w:pStyle w:val="Default"/>
        <w:numPr>
          <w:ilvl w:val="0"/>
          <w:numId w:val="20"/>
        </w:numPr>
        <w:jc w:val="both"/>
        <w:rPr>
          <w:rFonts w:ascii="Arial Narrow" w:hAnsi="Arial Narrow"/>
          <w:b/>
          <w:bCs/>
          <w:sz w:val="22"/>
          <w:szCs w:val="22"/>
          <w:u w:val="single"/>
        </w:rPr>
      </w:pPr>
      <w:r w:rsidRPr="00701F5D">
        <w:rPr>
          <w:rFonts w:ascii="Arial Narrow" w:hAnsi="Arial Narrow"/>
          <w:b/>
          <w:bCs/>
          <w:sz w:val="22"/>
          <w:szCs w:val="22"/>
          <w:u w:val="single"/>
        </w:rPr>
        <w:t>Objeto social.</w:t>
      </w:r>
    </w:p>
    <w:p w:rsidR="00701F5D" w:rsidRPr="00B94587" w:rsidRDefault="00701F5D" w:rsidP="00701F5D">
      <w:pPr>
        <w:pStyle w:val="Default"/>
        <w:ind w:left="1068"/>
        <w:jc w:val="both"/>
        <w:rPr>
          <w:rFonts w:ascii="Arial Narrow" w:hAnsi="Arial Narrow"/>
          <w:b/>
          <w:bCs/>
          <w:sz w:val="22"/>
          <w:szCs w:val="22"/>
        </w:rPr>
      </w:pPr>
    </w:p>
    <w:p w:rsidR="000B32EB" w:rsidRPr="00B94587" w:rsidRDefault="000B32EB" w:rsidP="000B32EB">
      <w:pPr>
        <w:pStyle w:val="Default"/>
        <w:ind w:left="708"/>
        <w:jc w:val="both"/>
        <w:rPr>
          <w:rFonts w:ascii="Arial Narrow" w:hAnsi="Arial Narrow"/>
          <w:bCs/>
          <w:sz w:val="22"/>
          <w:szCs w:val="22"/>
        </w:rPr>
      </w:pPr>
      <w:r w:rsidRPr="00B94587">
        <w:rPr>
          <w:rFonts w:ascii="Arial Narrow" w:hAnsi="Arial Narrow"/>
          <w:bCs/>
          <w:sz w:val="22"/>
          <w:szCs w:val="22"/>
        </w:rPr>
        <w:t>Impartir justicia de manera pronta, gratuita, completa e imparcial, en los asuntos de orden civil, familiar, penal, electoral, administrativo y ejecución de sanciones, administración de justicia para adolecentes</w:t>
      </w:r>
    </w:p>
    <w:p w:rsidR="000B32EB" w:rsidRPr="00B94587" w:rsidRDefault="000B32EB" w:rsidP="000B32EB">
      <w:pPr>
        <w:pStyle w:val="Default"/>
        <w:ind w:left="708"/>
        <w:jc w:val="both"/>
        <w:rPr>
          <w:rFonts w:ascii="Arial Narrow" w:hAnsi="Arial Narrow"/>
          <w:b/>
          <w:bCs/>
          <w:sz w:val="22"/>
          <w:szCs w:val="22"/>
        </w:rPr>
      </w:pPr>
    </w:p>
    <w:p w:rsidR="000B32EB" w:rsidRPr="00701F5D" w:rsidRDefault="000B32EB" w:rsidP="000B32EB">
      <w:pPr>
        <w:pStyle w:val="Default"/>
        <w:ind w:left="708"/>
        <w:jc w:val="both"/>
        <w:rPr>
          <w:rFonts w:ascii="Arial Narrow" w:hAnsi="Arial Narrow"/>
          <w:b/>
          <w:bCs/>
          <w:sz w:val="22"/>
          <w:szCs w:val="22"/>
          <w:u w:val="single"/>
        </w:rPr>
      </w:pPr>
      <w:r w:rsidRPr="00701F5D">
        <w:rPr>
          <w:rFonts w:ascii="Arial Narrow" w:hAnsi="Arial Narrow"/>
          <w:b/>
          <w:bCs/>
          <w:sz w:val="22"/>
          <w:szCs w:val="22"/>
        </w:rPr>
        <w:t>b)</w:t>
      </w:r>
      <w:r w:rsidRPr="00701F5D">
        <w:rPr>
          <w:rFonts w:ascii="Arial Narrow" w:hAnsi="Arial Narrow"/>
          <w:b/>
          <w:bCs/>
          <w:sz w:val="22"/>
          <w:szCs w:val="22"/>
          <w:u w:val="single"/>
        </w:rPr>
        <w:t xml:space="preserve">  Principal actividad.</w:t>
      </w:r>
    </w:p>
    <w:p w:rsidR="00701F5D" w:rsidRPr="00B94587" w:rsidRDefault="00701F5D" w:rsidP="000B32EB">
      <w:pPr>
        <w:pStyle w:val="Default"/>
        <w:ind w:left="708"/>
        <w:jc w:val="both"/>
        <w:rPr>
          <w:rFonts w:ascii="Arial Narrow" w:hAnsi="Arial Narrow"/>
          <w:b/>
          <w:bCs/>
          <w:sz w:val="22"/>
          <w:szCs w:val="22"/>
        </w:rPr>
      </w:pPr>
    </w:p>
    <w:p w:rsidR="000B32EB" w:rsidRPr="00B94587" w:rsidRDefault="000B32EB" w:rsidP="000B32EB">
      <w:pPr>
        <w:pStyle w:val="Default"/>
        <w:ind w:left="708"/>
        <w:jc w:val="both"/>
        <w:rPr>
          <w:rFonts w:ascii="Arial Narrow" w:hAnsi="Arial Narrow"/>
          <w:bCs/>
          <w:sz w:val="22"/>
          <w:szCs w:val="22"/>
        </w:rPr>
      </w:pPr>
      <w:r w:rsidRPr="00B94587">
        <w:rPr>
          <w:rFonts w:ascii="Arial Narrow" w:hAnsi="Arial Narrow"/>
          <w:bCs/>
          <w:sz w:val="22"/>
          <w:szCs w:val="22"/>
        </w:rPr>
        <w:t xml:space="preserve">Es un ente público encargado de la impartición de justicia por medio del personal que colabora en el mismo (magistrados, jueces y otras especialidades) </w:t>
      </w:r>
    </w:p>
    <w:p w:rsidR="000B32EB" w:rsidRPr="00B94587" w:rsidRDefault="000B32EB" w:rsidP="000B32EB">
      <w:pPr>
        <w:pStyle w:val="Default"/>
        <w:ind w:left="708"/>
        <w:jc w:val="both"/>
        <w:rPr>
          <w:rFonts w:ascii="Arial Narrow" w:hAnsi="Arial Narrow"/>
          <w:bCs/>
          <w:sz w:val="22"/>
          <w:szCs w:val="22"/>
        </w:rPr>
      </w:pPr>
    </w:p>
    <w:p w:rsidR="000B32EB" w:rsidRDefault="000B32EB" w:rsidP="000B32EB">
      <w:pPr>
        <w:pStyle w:val="Default"/>
        <w:ind w:left="708"/>
        <w:jc w:val="both"/>
        <w:rPr>
          <w:rFonts w:ascii="Arial Narrow" w:hAnsi="Arial Narrow"/>
          <w:b/>
          <w:bCs/>
          <w:sz w:val="22"/>
          <w:szCs w:val="22"/>
          <w:u w:val="single"/>
        </w:rPr>
      </w:pPr>
      <w:r w:rsidRPr="00701F5D">
        <w:rPr>
          <w:rFonts w:ascii="Arial Narrow" w:hAnsi="Arial Narrow"/>
          <w:b/>
          <w:bCs/>
          <w:sz w:val="22"/>
          <w:szCs w:val="22"/>
        </w:rPr>
        <w:t>c)</w:t>
      </w:r>
      <w:r w:rsidRPr="00701F5D">
        <w:rPr>
          <w:rFonts w:ascii="Arial Narrow" w:hAnsi="Arial Narrow"/>
          <w:b/>
          <w:bCs/>
          <w:sz w:val="22"/>
          <w:szCs w:val="22"/>
          <w:u w:val="single"/>
        </w:rPr>
        <w:t xml:space="preserve">  Ejercicio social</w:t>
      </w:r>
    </w:p>
    <w:p w:rsidR="00701F5D" w:rsidRPr="00701F5D" w:rsidRDefault="00701F5D" w:rsidP="000B32EB">
      <w:pPr>
        <w:pStyle w:val="Default"/>
        <w:ind w:left="708"/>
        <w:jc w:val="both"/>
        <w:rPr>
          <w:rFonts w:ascii="Arial Narrow" w:hAnsi="Arial Narrow"/>
          <w:b/>
          <w:bCs/>
          <w:sz w:val="22"/>
          <w:szCs w:val="22"/>
          <w:u w:val="single"/>
        </w:rPr>
      </w:pPr>
    </w:p>
    <w:p w:rsidR="000B32EB" w:rsidRPr="00B94587" w:rsidRDefault="000B32EB" w:rsidP="000B32EB">
      <w:pPr>
        <w:pStyle w:val="Default"/>
        <w:ind w:left="705"/>
        <w:jc w:val="both"/>
        <w:rPr>
          <w:rFonts w:ascii="Arial Narrow" w:hAnsi="Arial Narrow"/>
          <w:bCs/>
          <w:sz w:val="22"/>
          <w:szCs w:val="22"/>
        </w:rPr>
      </w:pPr>
      <w:r w:rsidRPr="00B94587">
        <w:rPr>
          <w:rFonts w:ascii="Arial Narrow" w:hAnsi="Arial Narrow"/>
          <w:bCs/>
          <w:sz w:val="22"/>
          <w:szCs w:val="22"/>
        </w:rPr>
        <w:t>Su ejercicio social inicia el 01 de enero, y termina el 31 de diciembre de cada año o ejercicio.</w:t>
      </w:r>
    </w:p>
    <w:p w:rsidR="000B32EB" w:rsidRPr="00B94587" w:rsidRDefault="000B32EB" w:rsidP="000B32EB">
      <w:pPr>
        <w:pStyle w:val="Default"/>
        <w:jc w:val="both"/>
        <w:rPr>
          <w:rFonts w:ascii="Arial Narrow" w:hAnsi="Arial Narrow"/>
          <w:bCs/>
          <w:sz w:val="22"/>
          <w:szCs w:val="22"/>
        </w:rPr>
      </w:pPr>
    </w:p>
    <w:p w:rsidR="000B32EB" w:rsidRPr="00701F5D" w:rsidRDefault="000B32EB" w:rsidP="000B32EB">
      <w:pPr>
        <w:pStyle w:val="Default"/>
        <w:ind w:left="708"/>
        <w:jc w:val="both"/>
        <w:rPr>
          <w:rFonts w:ascii="Arial Narrow" w:hAnsi="Arial Narrow"/>
          <w:b/>
          <w:bCs/>
          <w:sz w:val="22"/>
          <w:szCs w:val="22"/>
          <w:u w:val="single"/>
        </w:rPr>
      </w:pPr>
      <w:r w:rsidRPr="00701F5D">
        <w:rPr>
          <w:rFonts w:ascii="Arial Narrow" w:hAnsi="Arial Narrow"/>
          <w:b/>
          <w:bCs/>
          <w:sz w:val="22"/>
          <w:szCs w:val="22"/>
        </w:rPr>
        <w:t>d)</w:t>
      </w:r>
      <w:r w:rsidRPr="00701F5D">
        <w:rPr>
          <w:rFonts w:ascii="Arial Narrow" w:hAnsi="Arial Narrow"/>
          <w:b/>
          <w:bCs/>
          <w:sz w:val="22"/>
          <w:szCs w:val="22"/>
          <w:u w:val="single"/>
        </w:rPr>
        <w:t xml:space="preserve">  Régimen jurídico</w:t>
      </w:r>
    </w:p>
    <w:p w:rsidR="000B32EB" w:rsidRDefault="000B32EB" w:rsidP="000B32EB">
      <w:pPr>
        <w:autoSpaceDE w:val="0"/>
        <w:autoSpaceDN w:val="0"/>
        <w:adjustRightInd w:val="0"/>
        <w:spacing w:after="0" w:line="240" w:lineRule="auto"/>
        <w:jc w:val="both"/>
        <w:rPr>
          <w:rFonts w:ascii="Arial Narrow" w:hAnsi="Arial Narrow" w:cs="ArialNarrow-Bold"/>
          <w:b/>
          <w:bCs/>
        </w:rPr>
      </w:pPr>
    </w:p>
    <w:p w:rsidR="000B32EB" w:rsidRPr="00D67718" w:rsidRDefault="000B32EB" w:rsidP="000B32EB">
      <w:pPr>
        <w:autoSpaceDE w:val="0"/>
        <w:autoSpaceDN w:val="0"/>
        <w:adjustRightInd w:val="0"/>
        <w:spacing w:after="0" w:line="240" w:lineRule="auto"/>
        <w:ind w:left="709"/>
        <w:jc w:val="both"/>
        <w:rPr>
          <w:rFonts w:ascii="Arial Narrow" w:hAnsi="Arial Narrow" w:cs="ArialNarrow-Bold"/>
          <w:bCs/>
        </w:rPr>
      </w:pPr>
      <w:r w:rsidRPr="00D67718">
        <w:rPr>
          <w:rFonts w:ascii="Arial Narrow" w:hAnsi="Arial Narrow" w:cs="ArialNarrow-Bold"/>
          <w:bCs/>
        </w:rPr>
        <w:t>El Honorable Tribunal de Justicia del Estado se rige a través de la Ley Orgánica Del Poder Judicial Del Estado De Tlaxcala</w:t>
      </w:r>
      <w:r w:rsidRPr="00D67718">
        <w:rPr>
          <w:rFonts w:ascii="Arial Narrow" w:hAnsi="Arial Narrow" w:cs="ArialMT"/>
        </w:rPr>
        <w:t xml:space="preserve"> de interés público, tiene como objeto garantizar a través</w:t>
      </w:r>
      <w:r>
        <w:rPr>
          <w:rFonts w:ascii="Arial Narrow" w:hAnsi="Arial Narrow" w:cs="ArialMT"/>
        </w:rPr>
        <w:t xml:space="preserve"> </w:t>
      </w:r>
      <w:r w:rsidRPr="00D67718">
        <w:rPr>
          <w:rFonts w:ascii="Arial Narrow" w:hAnsi="Arial Narrow" w:cs="ArialMT"/>
        </w:rPr>
        <w:t>del Poder Judicial la supremacía y el control de la Constitución Política del</w:t>
      </w:r>
      <w:r>
        <w:rPr>
          <w:rFonts w:ascii="Arial Narrow" w:hAnsi="Arial Narrow" w:cs="ArialMT"/>
        </w:rPr>
        <w:t xml:space="preserve"> </w:t>
      </w:r>
      <w:r w:rsidRPr="00D67718">
        <w:rPr>
          <w:rFonts w:ascii="Arial Narrow" w:hAnsi="Arial Narrow" w:cs="ArialMT"/>
        </w:rPr>
        <w:t>Estado y estará expedito para impartir justicia de manera pronta, gratuita,</w:t>
      </w:r>
      <w:r>
        <w:rPr>
          <w:rFonts w:ascii="Arial Narrow" w:hAnsi="Arial Narrow" w:cs="ArialMT"/>
        </w:rPr>
        <w:t xml:space="preserve"> </w:t>
      </w:r>
      <w:r w:rsidRPr="00D67718">
        <w:rPr>
          <w:rFonts w:ascii="Arial Narrow" w:hAnsi="Arial Narrow" w:cs="ArialMT"/>
        </w:rPr>
        <w:t xml:space="preserve">completa e imparcial, </w:t>
      </w:r>
      <w:r w:rsidRPr="00D67718">
        <w:rPr>
          <w:rFonts w:ascii="Arial Narrow" w:hAnsi="Arial Narrow" w:cs="Arial-BoldMT"/>
          <w:bCs/>
        </w:rPr>
        <w:t>en los asuntos de orden civil, familiar, penal,</w:t>
      </w:r>
      <w:r>
        <w:rPr>
          <w:rFonts w:ascii="Arial Narrow" w:hAnsi="Arial Narrow" w:cs="Arial-BoldMT"/>
          <w:bCs/>
        </w:rPr>
        <w:t xml:space="preserve"> </w:t>
      </w:r>
      <w:r w:rsidRPr="00D67718">
        <w:rPr>
          <w:rFonts w:ascii="Arial Narrow" w:hAnsi="Arial Narrow" w:cs="Arial-BoldMT"/>
          <w:bCs/>
        </w:rPr>
        <w:t>electoral, administrativo, ejecución de sanciones, administración de</w:t>
      </w:r>
      <w:r>
        <w:rPr>
          <w:rFonts w:ascii="Arial Narrow" w:hAnsi="Arial Narrow" w:cs="Arial-BoldMT"/>
          <w:bCs/>
        </w:rPr>
        <w:t xml:space="preserve"> </w:t>
      </w:r>
      <w:r w:rsidRPr="00D67718">
        <w:rPr>
          <w:rFonts w:ascii="Arial Narrow" w:hAnsi="Arial Narrow" w:cs="Arial-BoldMT"/>
          <w:bCs/>
        </w:rPr>
        <w:t>justicia para adolescentes y en los del orden federal en los casos en</w:t>
      </w:r>
      <w:r>
        <w:rPr>
          <w:rFonts w:ascii="Arial Narrow" w:hAnsi="Arial Narrow" w:cs="Arial-BoldMT"/>
          <w:bCs/>
        </w:rPr>
        <w:t xml:space="preserve"> </w:t>
      </w:r>
      <w:r w:rsidRPr="00D67718">
        <w:rPr>
          <w:rFonts w:ascii="Arial Narrow" w:hAnsi="Arial Narrow" w:cs="Arial-BoldMT"/>
          <w:bCs/>
        </w:rPr>
        <w:t>que las leyes de la materia le confiera jurisdicción.</w:t>
      </w:r>
    </w:p>
    <w:p w:rsidR="000B32EB" w:rsidRPr="00D67718" w:rsidRDefault="000B32EB" w:rsidP="000B32EB">
      <w:pPr>
        <w:pStyle w:val="Default"/>
        <w:ind w:left="708"/>
        <w:jc w:val="both"/>
        <w:rPr>
          <w:rFonts w:ascii="Arial Narrow" w:hAnsi="Arial Narrow"/>
          <w:bCs/>
          <w:sz w:val="22"/>
          <w:szCs w:val="22"/>
        </w:rPr>
      </w:pPr>
    </w:p>
    <w:p w:rsidR="000B32EB" w:rsidRPr="00701F5D" w:rsidRDefault="000B32EB" w:rsidP="000B32EB">
      <w:pPr>
        <w:pStyle w:val="Default"/>
        <w:ind w:left="708"/>
        <w:jc w:val="both"/>
        <w:rPr>
          <w:rFonts w:ascii="Arial Narrow" w:hAnsi="Arial Narrow"/>
          <w:b/>
          <w:bCs/>
          <w:sz w:val="22"/>
          <w:szCs w:val="22"/>
          <w:u w:val="single"/>
        </w:rPr>
      </w:pPr>
      <w:r w:rsidRPr="00701F5D">
        <w:rPr>
          <w:rFonts w:ascii="Arial Narrow" w:hAnsi="Arial Narrow"/>
          <w:b/>
          <w:bCs/>
          <w:sz w:val="22"/>
          <w:szCs w:val="22"/>
        </w:rPr>
        <w:t>e)</w:t>
      </w:r>
      <w:r w:rsidRPr="00701F5D">
        <w:rPr>
          <w:rFonts w:ascii="Arial Narrow" w:hAnsi="Arial Narrow"/>
          <w:b/>
          <w:bCs/>
          <w:sz w:val="22"/>
          <w:szCs w:val="22"/>
          <w:u w:val="single"/>
        </w:rPr>
        <w:t xml:space="preserve">  Consideraciones Fiscales</w:t>
      </w:r>
    </w:p>
    <w:p w:rsidR="000B32EB" w:rsidRPr="00B94587" w:rsidRDefault="000B32EB" w:rsidP="000B32EB">
      <w:pPr>
        <w:pStyle w:val="Default"/>
        <w:ind w:left="708"/>
        <w:jc w:val="both"/>
        <w:rPr>
          <w:rFonts w:ascii="Arial Narrow" w:hAnsi="Arial Narrow"/>
          <w:b/>
          <w:bCs/>
          <w:sz w:val="22"/>
          <w:szCs w:val="22"/>
        </w:rPr>
      </w:pPr>
    </w:p>
    <w:p w:rsidR="000B32EB" w:rsidRPr="00B94587" w:rsidRDefault="000B32EB" w:rsidP="000B32EB">
      <w:pPr>
        <w:pStyle w:val="Default"/>
        <w:ind w:left="708"/>
        <w:jc w:val="both"/>
        <w:rPr>
          <w:rFonts w:ascii="Arial Narrow" w:hAnsi="Arial Narrow"/>
          <w:sz w:val="22"/>
          <w:szCs w:val="22"/>
        </w:rPr>
      </w:pPr>
      <w:r w:rsidRPr="00B94587">
        <w:rPr>
          <w:rFonts w:ascii="Arial Narrow" w:hAnsi="Arial Narrow"/>
          <w:sz w:val="22"/>
          <w:szCs w:val="22"/>
        </w:rPr>
        <w:t xml:space="preserve">El Ente es una persona moral no contribuyente del Impuesto Sobre la Renta e impuesto al valor agregado. Por tanto es solo retenedor de impuesto sobre la renta por salarios pagados y retenciones de Impuesto sobre la Renta por pago de honorarios a personas físicas por servicios profesionales. </w:t>
      </w:r>
    </w:p>
    <w:p w:rsidR="000B32EB" w:rsidRPr="00B94587" w:rsidRDefault="000B32EB" w:rsidP="000B32EB">
      <w:pPr>
        <w:pStyle w:val="Default"/>
        <w:ind w:left="708"/>
        <w:jc w:val="both"/>
        <w:rPr>
          <w:rFonts w:ascii="Arial Narrow" w:hAnsi="Arial Narrow"/>
          <w:b/>
          <w:bCs/>
          <w:sz w:val="22"/>
          <w:szCs w:val="22"/>
        </w:rPr>
      </w:pPr>
    </w:p>
    <w:p w:rsidR="00701F5D" w:rsidRDefault="00701F5D" w:rsidP="000B32EB">
      <w:pPr>
        <w:pStyle w:val="Default"/>
        <w:ind w:left="708"/>
        <w:jc w:val="both"/>
        <w:rPr>
          <w:rFonts w:ascii="Arial Narrow" w:hAnsi="Arial Narrow"/>
          <w:b/>
          <w:bCs/>
          <w:sz w:val="22"/>
          <w:szCs w:val="22"/>
        </w:rPr>
      </w:pPr>
    </w:p>
    <w:p w:rsidR="00701F5D" w:rsidRDefault="00701F5D" w:rsidP="000B32EB">
      <w:pPr>
        <w:pStyle w:val="Default"/>
        <w:ind w:left="708"/>
        <w:jc w:val="both"/>
        <w:rPr>
          <w:rFonts w:ascii="Arial Narrow" w:hAnsi="Arial Narrow"/>
          <w:b/>
          <w:bCs/>
          <w:sz w:val="22"/>
          <w:szCs w:val="22"/>
        </w:rPr>
      </w:pPr>
    </w:p>
    <w:p w:rsidR="00701F5D" w:rsidRDefault="00701F5D" w:rsidP="000B32EB">
      <w:pPr>
        <w:pStyle w:val="Default"/>
        <w:ind w:left="708"/>
        <w:jc w:val="both"/>
        <w:rPr>
          <w:rFonts w:ascii="Arial Narrow" w:hAnsi="Arial Narrow"/>
          <w:b/>
          <w:bCs/>
          <w:sz w:val="22"/>
          <w:szCs w:val="22"/>
        </w:rPr>
      </w:pPr>
    </w:p>
    <w:p w:rsidR="000B32EB" w:rsidRPr="00701F5D" w:rsidRDefault="000B32EB" w:rsidP="000B32EB">
      <w:pPr>
        <w:pStyle w:val="Default"/>
        <w:ind w:left="708"/>
        <w:jc w:val="both"/>
        <w:rPr>
          <w:rFonts w:ascii="Arial Narrow" w:hAnsi="Arial Narrow"/>
          <w:b/>
          <w:bCs/>
          <w:sz w:val="22"/>
          <w:szCs w:val="22"/>
          <w:u w:val="single"/>
        </w:rPr>
      </w:pPr>
      <w:r w:rsidRPr="00701F5D">
        <w:rPr>
          <w:rFonts w:ascii="Arial Narrow" w:hAnsi="Arial Narrow"/>
          <w:b/>
          <w:bCs/>
          <w:sz w:val="22"/>
          <w:szCs w:val="22"/>
        </w:rPr>
        <w:t>f)</w:t>
      </w:r>
      <w:r w:rsidRPr="00701F5D">
        <w:rPr>
          <w:rFonts w:ascii="Arial Narrow" w:hAnsi="Arial Narrow"/>
          <w:b/>
          <w:bCs/>
          <w:sz w:val="22"/>
          <w:szCs w:val="22"/>
          <w:u w:val="single"/>
        </w:rPr>
        <w:t xml:space="preserve">  Estructura organizacional básica</w:t>
      </w:r>
    </w:p>
    <w:p w:rsidR="000B32EB" w:rsidRDefault="000B32EB" w:rsidP="000B32EB">
      <w:pPr>
        <w:pStyle w:val="Default"/>
        <w:ind w:left="708"/>
        <w:jc w:val="both"/>
        <w:rPr>
          <w:rFonts w:ascii="Arial Narrow" w:hAnsi="Arial Narrow"/>
          <w:b/>
          <w:bCs/>
          <w:sz w:val="22"/>
          <w:szCs w:val="22"/>
        </w:rPr>
      </w:pPr>
    </w:p>
    <w:p w:rsidR="000B32EB" w:rsidRDefault="000B32EB" w:rsidP="00701F5D">
      <w:pPr>
        <w:pStyle w:val="Default"/>
        <w:jc w:val="both"/>
        <w:rPr>
          <w:rFonts w:ascii="Arial Narrow" w:hAnsi="Arial Narrow"/>
          <w:b/>
          <w:bCs/>
          <w:sz w:val="22"/>
          <w:szCs w:val="22"/>
        </w:rPr>
      </w:pPr>
      <w:r>
        <w:rPr>
          <w:rFonts w:ascii="Arial Narrow" w:hAnsi="Arial Narrow"/>
          <w:b/>
          <w:bCs/>
          <w:noProof/>
          <w:lang w:eastAsia="es-MX"/>
        </w:rPr>
        <w:drawing>
          <wp:inline distT="0" distB="0" distL="0" distR="0">
            <wp:extent cx="8591550" cy="53721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l="26728" t="22670" r="24948" b="4786"/>
                    <a:stretch>
                      <a:fillRect/>
                    </a:stretch>
                  </pic:blipFill>
                  <pic:spPr bwMode="auto">
                    <a:xfrm>
                      <a:off x="0" y="0"/>
                      <a:ext cx="8616485" cy="5387691"/>
                    </a:xfrm>
                    <a:prstGeom prst="rect">
                      <a:avLst/>
                    </a:prstGeom>
                    <a:noFill/>
                    <a:ln w="9525">
                      <a:noFill/>
                      <a:miter lim="800000"/>
                      <a:headEnd/>
                      <a:tailEnd/>
                    </a:ln>
                  </pic:spPr>
                </pic:pic>
              </a:graphicData>
            </a:graphic>
          </wp:inline>
        </w:drawing>
      </w:r>
    </w:p>
    <w:p w:rsidR="000B32EB" w:rsidRPr="00701F5D" w:rsidRDefault="000B32EB" w:rsidP="000B32EB">
      <w:pPr>
        <w:pStyle w:val="Default"/>
        <w:jc w:val="both"/>
        <w:rPr>
          <w:rFonts w:ascii="Arial Narrow" w:hAnsi="Arial Narrow"/>
          <w:b/>
          <w:bCs/>
          <w:sz w:val="22"/>
          <w:szCs w:val="22"/>
          <w:u w:val="single"/>
        </w:rPr>
      </w:pPr>
      <w:r w:rsidRPr="00701F5D">
        <w:rPr>
          <w:rFonts w:ascii="Arial Narrow" w:hAnsi="Arial Narrow"/>
          <w:b/>
          <w:bCs/>
          <w:sz w:val="22"/>
          <w:szCs w:val="22"/>
          <w:u w:val="single"/>
        </w:rPr>
        <w:lastRenderedPageBreak/>
        <w:t>g) Fideicomisos, mandatos y análogos de los cuales es fideicomitente o fiduciario.</w:t>
      </w:r>
    </w:p>
    <w:p w:rsidR="000B32EB" w:rsidRDefault="000B32EB" w:rsidP="000B32EB">
      <w:pPr>
        <w:pStyle w:val="Default"/>
        <w:jc w:val="both"/>
        <w:rPr>
          <w:rFonts w:ascii="Arial Narrow" w:hAnsi="Arial Narrow"/>
          <w:b/>
          <w:bCs/>
          <w:sz w:val="22"/>
          <w:szCs w:val="22"/>
        </w:rPr>
      </w:pPr>
      <w:r w:rsidRPr="00B94587">
        <w:rPr>
          <w:rFonts w:ascii="Arial Narrow" w:hAnsi="Arial Narrow"/>
          <w:b/>
          <w:bCs/>
          <w:sz w:val="22"/>
          <w:szCs w:val="22"/>
        </w:rPr>
        <w:tab/>
      </w:r>
    </w:p>
    <w:p w:rsidR="000B32EB" w:rsidRPr="00980327" w:rsidRDefault="000B32EB" w:rsidP="000B32EB">
      <w:pPr>
        <w:pStyle w:val="Default"/>
        <w:jc w:val="both"/>
        <w:rPr>
          <w:rFonts w:ascii="Arial Narrow" w:hAnsi="Arial Narrow"/>
          <w:bCs/>
          <w:sz w:val="22"/>
          <w:szCs w:val="22"/>
        </w:rPr>
      </w:pPr>
      <w:r w:rsidRPr="00980327">
        <w:rPr>
          <w:rFonts w:ascii="Arial Narrow" w:hAnsi="Arial Narrow"/>
          <w:bCs/>
          <w:sz w:val="22"/>
          <w:szCs w:val="22"/>
        </w:rPr>
        <w:t>No aplica</w:t>
      </w:r>
    </w:p>
    <w:p w:rsidR="000B32EB" w:rsidRPr="00B94587" w:rsidRDefault="000B32EB" w:rsidP="000B32EB">
      <w:pPr>
        <w:pStyle w:val="Default"/>
        <w:jc w:val="both"/>
        <w:rPr>
          <w:rFonts w:ascii="Arial Narrow" w:hAnsi="Arial Narrow"/>
          <w:b/>
          <w:bCs/>
          <w:sz w:val="22"/>
          <w:szCs w:val="22"/>
        </w:rPr>
      </w:pPr>
    </w:p>
    <w:p w:rsidR="000B32EB" w:rsidRPr="00701F5D" w:rsidRDefault="000B32EB" w:rsidP="000B32EB">
      <w:pPr>
        <w:pStyle w:val="Default"/>
        <w:jc w:val="both"/>
        <w:rPr>
          <w:rFonts w:ascii="Arial Narrow" w:hAnsi="Arial Narrow"/>
          <w:b/>
          <w:bCs/>
          <w:sz w:val="22"/>
          <w:szCs w:val="22"/>
          <w:u w:val="single"/>
        </w:rPr>
      </w:pPr>
      <w:r w:rsidRPr="00701F5D">
        <w:rPr>
          <w:rFonts w:ascii="Arial Narrow" w:hAnsi="Arial Narrow"/>
          <w:b/>
          <w:bCs/>
          <w:sz w:val="22"/>
          <w:szCs w:val="22"/>
          <w:u w:val="single"/>
        </w:rPr>
        <w:t>5. Bases de preparación.</w:t>
      </w:r>
    </w:p>
    <w:p w:rsidR="000B32EB" w:rsidRPr="00B94587" w:rsidRDefault="000B32EB" w:rsidP="000B32EB">
      <w:pPr>
        <w:pStyle w:val="Default"/>
        <w:jc w:val="both"/>
        <w:rPr>
          <w:rFonts w:ascii="Arial Narrow" w:hAnsi="Arial Narrow"/>
          <w:sz w:val="22"/>
          <w:szCs w:val="22"/>
        </w:rPr>
      </w:pPr>
      <w:r w:rsidRPr="00B94587">
        <w:rPr>
          <w:rFonts w:ascii="Arial Narrow" w:hAnsi="Arial Narrow"/>
          <w:b/>
          <w:bCs/>
          <w:sz w:val="22"/>
          <w:szCs w:val="22"/>
        </w:rPr>
        <w:t xml:space="preserve"> </w:t>
      </w:r>
    </w:p>
    <w:p w:rsidR="000B32EB" w:rsidRDefault="000B32EB" w:rsidP="000B32EB">
      <w:pPr>
        <w:pStyle w:val="Default"/>
        <w:numPr>
          <w:ilvl w:val="0"/>
          <w:numId w:val="19"/>
        </w:numPr>
        <w:ind w:left="284" w:hanging="284"/>
        <w:jc w:val="both"/>
        <w:rPr>
          <w:rFonts w:ascii="Arial Narrow" w:hAnsi="Arial Narrow"/>
          <w:sz w:val="22"/>
          <w:szCs w:val="22"/>
        </w:rPr>
      </w:pPr>
      <w:r w:rsidRPr="00B94587">
        <w:rPr>
          <w:rFonts w:ascii="Arial Narrow" w:hAnsi="Arial Narrow"/>
          <w:sz w:val="22"/>
          <w:szCs w:val="22"/>
        </w:rPr>
        <w:t>Si se ha observado la normatividad por el CONAC y las disposiciones legales aplicables.</w:t>
      </w:r>
    </w:p>
    <w:p w:rsidR="000B32EB" w:rsidRDefault="000B32EB" w:rsidP="000B32EB">
      <w:pPr>
        <w:pStyle w:val="Default"/>
        <w:ind w:left="284"/>
        <w:jc w:val="both"/>
        <w:rPr>
          <w:rFonts w:ascii="Arial Narrow" w:hAnsi="Arial Narrow"/>
          <w:sz w:val="22"/>
          <w:szCs w:val="22"/>
        </w:rPr>
      </w:pPr>
    </w:p>
    <w:p w:rsidR="000B32EB" w:rsidRDefault="000B32EB" w:rsidP="000B32EB">
      <w:pPr>
        <w:pStyle w:val="Default"/>
        <w:numPr>
          <w:ilvl w:val="0"/>
          <w:numId w:val="19"/>
        </w:numPr>
        <w:ind w:left="284" w:hanging="284"/>
        <w:jc w:val="both"/>
        <w:rPr>
          <w:rFonts w:ascii="Arial Narrow" w:hAnsi="Arial Narrow"/>
          <w:sz w:val="22"/>
          <w:szCs w:val="22"/>
        </w:rPr>
      </w:pPr>
      <w:r w:rsidRPr="005436A2">
        <w:rPr>
          <w:rFonts w:ascii="Arial Narrow" w:hAnsi="Arial Narrow"/>
          <w:sz w:val="22"/>
          <w:szCs w:val="22"/>
        </w:rPr>
        <w:t>Los Estados Financieros  adjuntos han sido preparados de acuerdo con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p>
    <w:p w:rsidR="000B32EB" w:rsidRDefault="000B32EB" w:rsidP="000B32EB">
      <w:pPr>
        <w:pStyle w:val="Prrafodelista"/>
        <w:rPr>
          <w:rFonts w:ascii="Arial Narrow" w:hAnsi="Arial Narrow"/>
        </w:rPr>
      </w:pPr>
    </w:p>
    <w:p w:rsidR="000B32EB" w:rsidRDefault="000B32EB" w:rsidP="000B32EB">
      <w:pPr>
        <w:pStyle w:val="Default"/>
        <w:ind w:left="284"/>
        <w:jc w:val="both"/>
        <w:rPr>
          <w:rFonts w:ascii="Arial Narrow" w:hAnsi="Arial Narrow"/>
          <w:sz w:val="22"/>
          <w:szCs w:val="22"/>
        </w:rPr>
      </w:pPr>
    </w:p>
    <w:p w:rsidR="000B32EB" w:rsidRPr="00701F5D" w:rsidRDefault="000B32EB" w:rsidP="000B32EB">
      <w:pPr>
        <w:pStyle w:val="Default"/>
        <w:numPr>
          <w:ilvl w:val="0"/>
          <w:numId w:val="19"/>
        </w:numPr>
        <w:ind w:left="284" w:hanging="284"/>
        <w:jc w:val="both"/>
        <w:rPr>
          <w:rFonts w:ascii="Arial Narrow" w:hAnsi="Arial Narrow"/>
          <w:sz w:val="22"/>
          <w:szCs w:val="22"/>
          <w:u w:val="single"/>
        </w:rPr>
      </w:pPr>
      <w:r w:rsidRPr="00701F5D">
        <w:rPr>
          <w:rFonts w:ascii="Arial Narrow" w:hAnsi="Arial Narrow"/>
          <w:b/>
          <w:bCs/>
          <w:i/>
          <w:iCs/>
          <w:color w:val="auto"/>
          <w:sz w:val="22"/>
          <w:szCs w:val="22"/>
          <w:u w:val="single"/>
        </w:rPr>
        <w:t>Postulados básicos</w:t>
      </w:r>
    </w:p>
    <w:p w:rsidR="000B32EB" w:rsidRPr="00B94587" w:rsidRDefault="000B32EB" w:rsidP="000B32EB">
      <w:pPr>
        <w:pStyle w:val="Default"/>
        <w:rPr>
          <w:rFonts w:ascii="Arial Narrow" w:hAnsi="Arial Narrow"/>
          <w:color w:val="auto"/>
          <w:sz w:val="22"/>
          <w:szCs w:val="22"/>
        </w:rPr>
      </w:pPr>
    </w:p>
    <w:p w:rsidR="000B32EB" w:rsidRPr="00B94587" w:rsidRDefault="000B32EB" w:rsidP="000B32EB">
      <w:pPr>
        <w:pStyle w:val="Default"/>
        <w:ind w:left="284"/>
        <w:jc w:val="both"/>
        <w:rPr>
          <w:rFonts w:ascii="Arial Narrow" w:hAnsi="Arial Narrow"/>
          <w:color w:val="auto"/>
          <w:sz w:val="22"/>
          <w:szCs w:val="22"/>
        </w:rPr>
      </w:pPr>
      <w:r w:rsidRPr="00B94587">
        <w:rPr>
          <w:rFonts w:ascii="Arial Narrow" w:hAnsi="Arial Narrow"/>
          <w:color w:val="auto"/>
          <w:sz w:val="22"/>
          <w:szCs w:val="22"/>
        </w:rPr>
        <w:t>Los estados financieros han sido preparados sobre la base del costo histórico.</w:t>
      </w:r>
    </w:p>
    <w:p w:rsidR="000B32EB" w:rsidRPr="00B94587" w:rsidRDefault="000B32EB" w:rsidP="000B32EB">
      <w:pPr>
        <w:pStyle w:val="Default"/>
        <w:ind w:left="284"/>
        <w:rPr>
          <w:rFonts w:ascii="Arial Narrow" w:hAnsi="Arial Narrow"/>
          <w:color w:val="auto"/>
          <w:sz w:val="22"/>
          <w:szCs w:val="22"/>
        </w:rPr>
      </w:pPr>
    </w:p>
    <w:p w:rsidR="000B32EB" w:rsidRPr="00B94587" w:rsidRDefault="000B32EB" w:rsidP="000B32EB">
      <w:pPr>
        <w:pStyle w:val="Default"/>
        <w:ind w:left="284"/>
        <w:jc w:val="both"/>
        <w:rPr>
          <w:rFonts w:ascii="Arial Narrow" w:hAnsi="Arial Narrow"/>
          <w:color w:val="auto"/>
          <w:sz w:val="22"/>
          <w:szCs w:val="22"/>
        </w:rPr>
      </w:pPr>
      <w:r w:rsidRPr="00B94587">
        <w:rPr>
          <w:rFonts w:ascii="Arial Narrow" w:hAnsi="Arial Narrow"/>
          <w:color w:val="auto"/>
          <w:sz w:val="22"/>
          <w:szCs w:val="22"/>
        </w:rPr>
        <w:t xml:space="preserve">• Las partidas de inmuebles, maquinaria y equipo registradas a su costo histórico asumido a la fecha de transición a NIIF, el cual corresponde a los valores contables no reconocen los </w:t>
      </w:r>
      <w:r>
        <w:rPr>
          <w:rFonts w:ascii="Arial Narrow" w:hAnsi="Arial Narrow"/>
          <w:color w:val="auto"/>
          <w:sz w:val="22"/>
          <w:szCs w:val="22"/>
        </w:rPr>
        <w:t>e</w:t>
      </w:r>
      <w:r w:rsidRPr="00B94587">
        <w:rPr>
          <w:rFonts w:ascii="Arial Narrow" w:hAnsi="Arial Narrow"/>
          <w:color w:val="auto"/>
          <w:sz w:val="22"/>
          <w:szCs w:val="22"/>
        </w:rPr>
        <w:t xml:space="preserve">fectos de la inflación de conformidad con las Normas de Información Financiera en México (NIF). </w:t>
      </w:r>
    </w:p>
    <w:p w:rsidR="000B32EB" w:rsidRPr="00B94587" w:rsidRDefault="000B32EB" w:rsidP="000B32EB">
      <w:pPr>
        <w:pStyle w:val="Default"/>
        <w:ind w:left="284"/>
        <w:jc w:val="both"/>
        <w:rPr>
          <w:rFonts w:ascii="Arial Narrow" w:hAnsi="Arial Narrow"/>
          <w:color w:val="auto"/>
          <w:sz w:val="22"/>
          <w:szCs w:val="22"/>
        </w:rPr>
      </w:pPr>
    </w:p>
    <w:p w:rsidR="000B32EB" w:rsidRDefault="000B32EB" w:rsidP="000B32EB">
      <w:pPr>
        <w:pStyle w:val="Default"/>
        <w:jc w:val="both"/>
        <w:rPr>
          <w:rFonts w:ascii="Arial Narrow" w:hAnsi="Arial Narrow"/>
          <w:b/>
          <w:bCs/>
          <w:i/>
          <w:iCs/>
          <w:color w:val="auto"/>
          <w:sz w:val="22"/>
          <w:szCs w:val="22"/>
        </w:rPr>
      </w:pPr>
    </w:p>
    <w:p w:rsidR="000B32EB" w:rsidRDefault="000B32EB" w:rsidP="000B32EB">
      <w:pPr>
        <w:pStyle w:val="Default"/>
        <w:jc w:val="both"/>
        <w:rPr>
          <w:rFonts w:ascii="Arial Narrow" w:hAnsi="Arial Narrow"/>
          <w:b/>
          <w:bCs/>
          <w:i/>
          <w:iCs/>
          <w:color w:val="auto"/>
          <w:sz w:val="22"/>
          <w:szCs w:val="22"/>
        </w:rPr>
      </w:pPr>
    </w:p>
    <w:p w:rsidR="000B32EB" w:rsidRPr="00701F5D" w:rsidRDefault="000B32EB" w:rsidP="000B32EB">
      <w:pPr>
        <w:pStyle w:val="Default"/>
        <w:jc w:val="both"/>
        <w:rPr>
          <w:rFonts w:ascii="Arial Narrow" w:hAnsi="Arial Narrow"/>
          <w:color w:val="auto"/>
          <w:sz w:val="22"/>
          <w:szCs w:val="22"/>
          <w:u w:val="single"/>
        </w:rPr>
      </w:pPr>
      <w:r w:rsidRPr="00701F5D">
        <w:rPr>
          <w:rFonts w:ascii="Arial Narrow" w:hAnsi="Arial Narrow"/>
          <w:b/>
          <w:bCs/>
          <w:i/>
          <w:iCs/>
          <w:color w:val="auto"/>
          <w:sz w:val="22"/>
          <w:szCs w:val="22"/>
          <w:u w:val="single"/>
        </w:rPr>
        <w:t xml:space="preserve">(b) Moneda funcional y de presentación </w:t>
      </w:r>
    </w:p>
    <w:p w:rsidR="000B32EB" w:rsidRPr="00B94587" w:rsidRDefault="000B32EB" w:rsidP="000B32EB">
      <w:pPr>
        <w:pStyle w:val="Default"/>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Los </w:t>
      </w:r>
      <w:r>
        <w:rPr>
          <w:rFonts w:ascii="Arial Narrow" w:hAnsi="Arial Narrow"/>
          <w:color w:val="auto"/>
          <w:sz w:val="22"/>
          <w:szCs w:val="22"/>
        </w:rPr>
        <w:t>Estados F</w:t>
      </w:r>
      <w:r w:rsidRPr="00B94587">
        <w:rPr>
          <w:rFonts w:ascii="Arial Narrow" w:hAnsi="Arial Narrow"/>
          <w:color w:val="auto"/>
          <w:sz w:val="22"/>
          <w:szCs w:val="22"/>
        </w:rPr>
        <w:t xml:space="preserve">inancieros son presentados en Pesos Mexicanos, que es la moneda funcional del Tribunal Superior de Justicia. Toda la información es presentada en Pesos. </w:t>
      </w:r>
    </w:p>
    <w:p w:rsidR="000B32EB" w:rsidRPr="00B94587" w:rsidRDefault="000B32EB" w:rsidP="000B32EB">
      <w:pPr>
        <w:pStyle w:val="Default"/>
        <w:jc w:val="both"/>
        <w:rPr>
          <w:rFonts w:ascii="Arial Narrow" w:hAnsi="Arial Narrow"/>
          <w:b/>
          <w:bCs/>
          <w:color w:val="auto"/>
          <w:sz w:val="22"/>
          <w:szCs w:val="22"/>
        </w:rPr>
      </w:pPr>
    </w:p>
    <w:p w:rsidR="000B32EB" w:rsidRPr="00B94587" w:rsidRDefault="000B32EB" w:rsidP="000B32EB">
      <w:pPr>
        <w:autoSpaceDE w:val="0"/>
        <w:autoSpaceDN w:val="0"/>
        <w:adjustRightInd w:val="0"/>
        <w:spacing w:after="0" w:line="240" w:lineRule="auto"/>
        <w:rPr>
          <w:rFonts w:ascii="Arial Narrow" w:hAnsi="Arial Narrow" w:cs="Arial"/>
          <w:b/>
          <w:bCs/>
          <w:color w:val="000000"/>
        </w:rPr>
      </w:pPr>
    </w:p>
    <w:p w:rsidR="000B32EB" w:rsidRPr="00701F5D" w:rsidRDefault="000B32EB" w:rsidP="000B32EB">
      <w:pPr>
        <w:autoSpaceDE w:val="0"/>
        <w:autoSpaceDN w:val="0"/>
        <w:adjustRightInd w:val="0"/>
        <w:spacing w:after="0" w:line="240" w:lineRule="auto"/>
        <w:rPr>
          <w:rFonts w:ascii="Arial Narrow" w:hAnsi="Arial Narrow" w:cs="Arial"/>
          <w:color w:val="000000"/>
          <w:u w:val="single"/>
        </w:rPr>
      </w:pPr>
      <w:r w:rsidRPr="00701F5D">
        <w:rPr>
          <w:rFonts w:ascii="Arial Narrow" w:hAnsi="Arial Narrow" w:cs="Arial"/>
          <w:b/>
          <w:bCs/>
          <w:color w:val="000000"/>
          <w:u w:val="single"/>
        </w:rPr>
        <w:t xml:space="preserve">(c) </w:t>
      </w:r>
      <w:r w:rsidRPr="00701F5D">
        <w:rPr>
          <w:rFonts w:ascii="Arial Narrow" w:hAnsi="Arial Narrow" w:cs="Times New Roman"/>
          <w:b/>
          <w:bCs/>
          <w:i/>
          <w:iCs/>
          <w:u w:val="single"/>
        </w:rPr>
        <w:t>Clasificación de Activos y Pasivos</w:t>
      </w:r>
      <w:r w:rsidRPr="00701F5D">
        <w:rPr>
          <w:rFonts w:ascii="Arial Narrow" w:hAnsi="Arial Narrow" w:cs="Arial"/>
          <w:b/>
          <w:bCs/>
          <w:color w:val="000000"/>
          <w:u w:val="single"/>
        </w:rPr>
        <w:t xml:space="preserve"> </w:t>
      </w:r>
    </w:p>
    <w:p w:rsidR="000B32EB" w:rsidRDefault="000B32EB" w:rsidP="000B32EB">
      <w:pPr>
        <w:pStyle w:val="Default"/>
        <w:ind w:left="708"/>
        <w:jc w:val="both"/>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Los activos y pasivos se clasifican según su destinación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rsidR="000B32EB" w:rsidRPr="00B94587" w:rsidRDefault="000B32EB" w:rsidP="000B32EB">
      <w:pPr>
        <w:pStyle w:val="Default"/>
        <w:jc w:val="both"/>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Vidas útiles y valor razonable de inmuebles, y bienes muebles.</w:t>
      </w: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 </w:t>
      </w: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lastRenderedPageBreak/>
        <w:t>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la ente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rsidR="000B32EB" w:rsidRPr="00B94587" w:rsidRDefault="000B32EB" w:rsidP="000B32EB">
      <w:pPr>
        <w:pStyle w:val="Default"/>
        <w:jc w:val="both"/>
        <w:rPr>
          <w:rFonts w:ascii="Arial Narrow" w:hAnsi="Arial Narrow"/>
          <w:color w:val="auto"/>
          <w:sz w:val="22"/>
          <w:szCs w:val="22"/>
        </w:rPr>
      </w:pPr>
    </w:p>
    <w:p w:rsidR="000B32EB"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Los otros pasivos financieros se componen de documentos por pagar, obligaciones de carácter contractual laboral y otras cuentas por pagar, e impuestos por pagar. 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r>
        <w:rPr>
          <w:rFonts w:ascii="Arial Narrow" w:hAnsi="Arial Narrow"/>
          <w:color w:val="auto"/>
          <w:sz w:val="22"/>
          <w:szCs w:val="22"/>
        </w:rPr>
        <w:t xml:space="preserve"> </w:t>
      </w:r>
    </w:p>
    <w:p w:rsidR="000B32EB" w:rsidRDefault="000B32EB" w:rsidP="000B32EB">
      <w:pPr>
        <w:pStyle w:val="Default"/>
        <w:ind w:left="708"/>
        <w:jc w:val="both"/>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El costo financiero, asociado con el incremento del pasivo por el paso del tiempo, así como el rendimiento esperado en el período de los activos del plan, se reconocen dentro del resultado de financiamiento. Un beneficio económico está disponible para el ente si es realizable en la duración del plan, o a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rsidR="000B32EB" w:rsidRPr="00B94587" w:rsidRDefault="000B32EB" w:rsidP="000B32EB">
      <w:pPr>
        <w:pStyle w:val="Default"/>
        <w:ind w:left="708"/>
        <w:jc w:val="both"/>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rsidR="000B32EB" w:rsidRPr="00B94587" w:rsidRDefault="000B32EB" w:rsidP="000B32EB">
      <w:pPr>
        <w:pStyle w:val="Default"/>
        <w:ind w:left="708"/>
        <w:jc w:val="both"/>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rsidR="000B32EB" w:rsidRPr="00B94587" w:rsidRDefault="000B32EB" w:rsidP="000B32EB">
      <w:pPr>
        <w:pStyle w:val="Default"/>
        <w:ind w:left="1416"/>
        <w:jc w:val="both"/>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rsidR="000B32EB" w:rsidRPr="00B94587" w:rsidRDefault="000B32EB" w:rsidP="000B32EB">
      <w:pPr>
        <w:pStyle w:val="Default"/>
        <w:ind w:left="708"/>
        <w:jc w:val="both"/>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p>
    <w:p w:rsidR="000B32EB" w:rsidRPr="00B94587" w:rsidRDefault="000B32EB" w:rsidP="000B32EB">
      <w:pPr>
        <w:pStyle w:val="Default"/>
        <w:jc w:val="both"/>
        <w:rPr>
          <w:rFonts w:ascii="Arial Narrow" w:hAnsi="Arial Narrow"/>
          <w:color w:val="auto"/>
          <w:sz w:val="22"/>
          <w:szCs w:val="22"/>
        </w:rPr>
      </w:pPr>
    </w:p>
    <w:p w:rsidR="000B32EB" w:rsidRPr="00701F5D" w:rsidRDefault="000B32EB" w:rsidP="000B32EB">
      <w:pPr>
        <w:pStyle w:val="Default"/>
        <w:jc w:val="both"/>
        <w:rPr>
          <w:rFonts w:ascii="Arial Narrow" w:hAnsi="Arial Narrow"/>
          <w:color w:val="auto"/>
          <w:sz w:val="22"/>
          <w:szCs w:val="22"/>
          <w:u w:val="single"/>
        </w:rPr>
      </w:pPr>
      <w:r w:rsidRPr="00701F5D">
        <w:rPr>
          <w:rFonts w:ascii="Arial Narrow" w:hAnsi="Arial Narrow"/>
          <w:b/>
          <w:color w:val="auto"/>
          <w:sz w:val="22"/>
          <w:szCs w:val="22"/>
          <w:u w:val="single"/>
        </w:rPr>
        <w:t>6. Políticas de contabilidad significativas</w:t>
      </w:r>
      <w:r w:rsidRPr="00701F5D">
        <w:rPr>
          <w:rFonts w:ascii="Arial Narrow" w:hAnsi="Arial Narrow"/>
          <w:color w:val="auto"/>
          <w:sz w:val="22"/>
          <w:szCs w:val="22"/>
          <w:u w:val="single"/>
        </w:rPr>
        <w:t>.</w:t>
      </w:r>
    </w:p>
    <w:p w:rsidR="000B32EB" w:rsidRPr="00B94587" w:rsidRDefault="000B32EB" w:rsidP="000B32EB">
      <w:pPr>
        <w:pStyle w:val="Default"/>
        <w:jc w:val="both"/>
        <w:rPr>
          <w:rFonts w:ascii="Arial Narrow" w:hAnsi="Arial Narrow"/>
          <w:color w:val="auto"/>
          <w:sz w:val="22"/>
          <w:szCs w:val="22"/>
        </w:rPr>
      </w:pPr>
    </w:p>
    <w:p w:rsidR="000B32EB" w:rsidRPr="00B94587" w:rsidRDefault="000B32EB" w:rsidP="000B32EB">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Actualización. La</w:t>
      </w:r>
      <w:r>
        <w:rPr>
          <w:rFonts w:ascii="Arial Narrow" w:hAnsi="Arial Narrow"/>
          <w:color w:val="auto"/>
          <w:sz w:val="22"/>
          <w:szCs w:val="22"/>
        </w:rPr>
        <w:t xml:space="preserve"> información presentada en los Estados F</w:t>
      </w:r>
      <w:r w:rsidRPr="00B94587">
        <w:rPr>
          <w:rFonts w:ascii="Arial Narrow" w:hAnsi="Arial Narrow"/>
          <w:color w:val="auto"/>
          <w:sz w:val="22"/>
          <w:szCs w:val="22"/>
        </w:rPr>
        <w:t>inancieros no reconocen los efectos de la inflación. Por tanto se presentan a valor histórico.</w:t>
      </w:r>
    </w:p>
    <w:p w:rsidR="000B32EB" w:rsidRPr="00B94587" w:rsidRDefault="000B32EB" w:rsidP="000B32EB">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Operaciones en el extranjero. Me permito informar que este ente no realiza operaciones en el extranjero.</w:t>
      </w:r>
    </w:p>
    <w:p w:rsidR="000B32EB" w:rsidRPr="00B94587" w:rsidRDefault="000B32EB" w:rsidP="000B32EB">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lastRenderedPageBreak/>
        <w:t>Método de valuación de</w:t>
      </w:r>
      <w:r>
        <w:rPr>
          <w:rFonts w:ascii="Arial Narrow" w:hAnsi="Arial Narrow"/>
          <w:color w:val="auto"/>
          <w:sz w:val="22"/>
          <w:szCs w:val="22"/>
        </w:rPr>
        <w:t xml:space="preserve"> inversiones en acciones en el Sector para E</w:t>
      </w:r>
      <w:r w:rsidRPr="00B94587">
        <w:rPr>
          <w:rFonts w:ascii="Arial Narrow" w:hAnsi="Arial Narrow"/>
          <w:color w:val="auto"/>
          <w:sz w:val="22"/>
          <w:szCs w:val="22"/>
        </w:rPr>
        <w:t>statal. Así mism</w:t>
      </w:r>
      <w:r>
        <w:rPr>
          <w:rFonts w:ascii="Arial Narrow" w:hAnsi="Arial Narrow"/>
          <w:color w:val="auto"/>
          <w:sz w:val="22"/>
          <w:szCs w:val="22"/>
        </w:rPr>
        <w:t>o también informo que el mismo E</w:t>
      </w:r>
      <w:r w:rsidRPr="00B94587">
        <w:rPr>
          <w:rFonts w:ascii="Arial Narrow" w:hAnsi="Arial Narrow"/>
          <w:color w:val="auto"/>
          <w:sz w:val="22"/>
          <w:szCs w:val="22"/>
        </w:rPr>
        <w:t>nte no tiene inversiones en acciones, en</w:t>
      </w:r>
      <w:r>
        <w:rPr>
          <w:rFonts w:ascii="Arial Narrow" w:hAnsi="Arial Narrow"/>
          <w:color w:val="auto"/>
          <w:sz w:val="22"/>
          <w:szCs w:val="22"/>
        </w:rPr>
        <w:t xml:space="preserve"> el Sector Parae</w:t>
      </w:r>
      <w:r w:rsidRPr="00B94587">
        <w:rPr>
          <w:rFonts w:ascii="Arial Narrow" w:hAnsi="Arial Narrow"/>
          <w:color w:val="auto"/>
          <w:sz w:val="22"/>
          <w:szCs w:val="22"/>
        </w:rPr>
        <w:t>statal.</w:t>
      </w:r>
    </w:p>
    <w:p w:rsidR="000B32EB" w:rsidRPr="00B94587" w:rsidRDefault="000B32EB" w:rsidP="000B32EB">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Método de valuación de inventarios. Debido a las actividades que realiza este ente público, no tiene manejo de inventarios de materia prima y materiales.</w:t>
      </w:r>
    </w:p>
    <w:p w:rsidR="000B32EB" w:rsidRPr="00B94587" w:rsidRDefault="000B32EB" w:rsidP="000B32EB">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Beneficios a empleados.</w:t>
      </w:r>
    </w:p>
    <w:p w:rsidR="000B32EB" w:rsidRPr="00B94587" w:rsidRDefault="000B32EB" w:rsidP="000B32EB">
      <w:pPr>
        <w:pStyle w:val="Default"/>
        <w:jc w:val="both"/>
        <w:rPr>
          <w:rFonts w:ascii="Arial Narrow" w:hAnsi="Arial Narrow"/>
          <w:color w:val="auto"/>
          <w:sz w:val="22"/>
          <w:szCs w:val="22"/>
        </w:rPr>
      </w:pPr>
    </w:p>
    <w:p w:rsidR="000B32EB" w:rsidRPr="00B94587" w:rsidRDefault="000B32EB" w:rsidP="000B32EB">
      <w:pPr>
        <w:pStyle w:val="Default"/>
        <w:jc w:val="both"/>
        <w:rPr>
          <w:rFonts w:ascii="Arial Narrow" w:hAnsi="Arial Narrow"/>
          <w:color w:val="auto"/>
          <w:sz w:val="22"/>
          <w:szCs w:val="22"/>
        </w:rPr>
      </w:pPr>
    </w:p>
    <w:p w:rsidR="000B32EB" w:rsidRPr="00701F5D" w:rsidRDefault="000B32EB" w:rsidP="000B32EB">
      <w:pPr>
        <w:pStyle w:val="Default"/>
        <w:jc w:val="both"/>
        <w:rPr>
          <w:rFonts w:ascii="Arial Narrow" w:hAnsi="Arial Narrow"/>
          <w:color w:val="auto"/>
          <w:sz w:val="22"/>
          <w:szCs w:val="22"/>
          <w:u w:val="single"/>
        </w:rPr>
      </w:pPr>
      <w:r w:rsidRPr="00701F5D">
        <w:rPr>
          <w:rFonts w:ascii="Arial Narrow" w:hAnsi="Arial Narrow"/>
          <w:b/>
          <w:color w:val="auto"/>
          <w:sz w:val="22"/>
          <w:szCs w:val="22"/>
          <w:u w:val="single"/>
        </w:rPr>
        <w:t>7. Posición en moneda extranjera y protección por riesgo cambiario</w:t>
      </w:r>
      <w:r w:rsidRPr="00701F5D">
        <w:rPr>
          <w:rFonts w:ascii="Arial Narrow" w:hAnsi="Arial Narrow"/>
          <w:color w:val="auto"/>
          <w:sz w:val="22"/>
          <w:szCs w:val="22"/>
          <w:u w:val="single"/>
        </w:rPr>
        <w:t>.</w:t>
      </w:r>
    </w:p>
    <w:p w:rsidR="000B32EB" w:rsidRPr="00B94587" w:rsidRDefault="000B32EB" w:rsidP="000B32EB">
      <w:pPr>
        <w:pStyle w:val="Default"/>
        <w:jc w:val="both"/>
        <w:rPr>
          <w:rFonts w:ascii="Arial Narrow" w:hAnsi="Arial Narrow"/>
          <w:color w:val="auto"/>
          <w:sz w:val="22"/>
          <w:szCs w:val="22"/>
        </w:rPr>
      </w:pPr>
    </w:p>
    <w:p w:rsidR="000B32EB" w:rsidRPr="00B94587" w:rsidRDefault="000B32EB" w:rsidP="000B32EB">
      <w:pPr>
        <w:pStyle w:val="Default"/>
        <w:jc w:val="both"/>
        <w:rPr>
          <w:rFonts w:ascii="Arial Narrow" w:hAnsi="Arial Narrow"/>
          <w:color w:val="auto"/>
          <w:sz w:val="22"/>
          <w:szCs w:val="22"/>
        </w:rPr>
      </w:pPr>
      <w:r w:rsidRPr="00B94587">
        <w:rPr>
          <w:rFonts w:ascii="Arial Narrow" w:hAnsi="Arial Narrow"/>
          <w:color w:val="auto"/>
          <w:sz w:val="22"/>
          <w:szCs w:val="22"/>
        </w:rPr>
        <w:t>Actualmente este ente público no tiene activos, pasivos en moneda extranjera.</w:t>
      </w:r>
    </w:p>
    <w:p w:rsidR="000B32EB" w:rsidRPr="00B94587" w:rsidRDefault="000B32EB" w:rsidP="000B32EB">
      <w:pPr>
        <w:pStyle w:val="Default"/>
        <w:jc w:val="both"/>
        <w:rPr>
          <w:rFonts w:ascii="Arial Narrow" w:hAnsi="Arial Narrow"/>
          <w:color w:val="auto"/>
          <w:sz w:val="22"/>
          <w:szCs w:val="22"/>
        </w:rPr>
      </w:pPr>
    </w:p>
    <w:p w:rsidR="000B32EB" w:rsidRPr="00B94587" w:rsidRDefault="000B32EB" w:rsidP="000B32EB">
      <w:pPr>
        <w:pStyle w:val="Default"/>
        <w:jc w:val="both"/>
        <w:rPr>
          <w:rFonts w:ascii="Arial Narrow" w:hAnsi="Arial Narrow"/>
          <w:color w:val="auto"/>
          <w:sz w:val="22"/>
          <w:szCs w:val="22"/>
        </w:rPr>
      </w:pPr>
    </w:p>
    <w:p w:rsidR="000B32EB" w:rsidRPr="00701F5D" w:rsidRDefault="000B32EB" w:rsidP="000B32EB">
      <w:pPr>
        <w:pStyle w:val="Default"/>
        <w:jc w:val="both"/>
        <w:rPr>
          <w:rFonts w:ascii="Arial Narrow" w:hAnsi="Arial Narrow"/>
          <w:b/>
          <w:color w:val="auto"/>
          <w:sz w:val="22"/>
          <w:szCs w:val="22"/>
          <w:u w:val="single"/>
        </w:rPr>
      </w:pPr>
      <w:r w:rsidRPr="00701F5D">
        <w:rPr>
          <w:rFonts w:ascii="Arial Narrow" w:hAnsi="Arial Narrow"/>
          <w:b/>
          <w:color w:val="auto"/>
          <w:sz w:val="22"/>
          <w:szCs w:val="22"/>
          <w:u w:val="single"/>
        </w:rPr>
        <w:t>8.  Reporte analítico del Activo</w:t>
      </w:r>
    </w:p>
    <w:p w:rsidR="000B32EB" w:rsidRPr="00B94587" w:rsidRDefault="000B32EB" w:rsidP="000B32EB">
      <w:pPr>
        <w:pStyle w:val="Default"/>
        <w:jc w:val="both"/>
        <w:rPr>
          <w:rFonts w:ascii="Arial Narrow" w:hAnsi="Arial Narrow"/>
          <w:color w:val="auto"/>
          <w:sz w:val="22"/>
          <w:szCs w:val="22"/>
        </w:rPr>
      </w:pPr>
    </w:p>
    <w:p w:rsidR="000B32EB" w:rsidRDefault="000B32EB" w:rsidP="000B32EB">
      <w:pPr>
        <w:pStyle w:val="Default"/>
        <w:rPr>
          <w:rFonts w:ascii="Arial Narrow" w:hAnsi="Arial Narrow"/>
          <w:b/>
          <w:bCs/>
          <w:i/>
          <w:iCs/>
          <w:color w:val="auto"/>
          <w:sz w:val="22"/>
          <w:szCs w:val="22"/>
        </w:rPr>
      </w:pPr>
      <w:r w:rsidRPr="00B94587">
        <w:rPr>
          <w:rFonts w:ascii="Arial Narrow" w:hAnsi="Arial Narrow"/>
          <w:b/>
          <w:bCs/>
          <w:i/>
          <w:iCs/>
          <w:color w:val="auto"/>
          <w:sz w:val="22"/>
          <w:szCs w:val="22"/>
        </w:rPr>
        <w:t>Efe</w:t>
      </w:r>
      <w:r>
        <w:rPr>
          <w:rFonts w:ascii="Arial Narrow" w:hAnsi="Arial Narrow"/>
          <w:b/>
          <w:bCs/>
          <w:i/>
          <w:iCs/>
          <w:color w:val="auto"/>
          <w:sz w:val="22"/>
          <w:szCs w:val="22"/>
        </w:rPr>
        <w:t>ctivo y equivalentes al efectivo.</w:t>
      </w:r>
    </w:p>
    <w:p w:rsidR="000B32EB" w:rsidRPr="00B94587" w:rsidRDefault="000B32EB" w:rsidP="000B32EB">
      <w:pPr>
        <w:pStyle w:val="Default"/>
        <w:rPr>
          <w:rFonts w:ascii="Arial Narrow" w:hAnsi="Arial Narrow"/>
          <w:color w:val="auto"/>
          <w:sz w:val="22"/>
          <w:szCs w:val="22"/>
        </w:rPr>
      </w:pPr>
    </w:p>
    <w:p w:rsidR="000B32EB" w:rsidRPr="00B94587" w:rsidRDefault="000B32EB" w:rsidP="000B32EB">
      <w:pPr>
        <w:pStyle w:val="Default"/>
        <w:jc w:val="both"/>
        <w:rPr>
          <w:rFonts w:ascii="Arial Narrow" w:hAnsi="Arial Narrow"/>
          <w:color w:val="auto"/>
          <w:sz w:val="22"/>
          <w:szCs w:val="22"/>
        </w:rPr>
      </w:pPr>
      <w:r w:rsidRPr="00B94587">
        <w:rPr>
          <w:rFonts w:ascii="Arial Narrow" w:hAnsi="Arial Narrow"/>
          <w:color w:val="auto"/>
          <w:sz w:val="22"/>
          <w:szCs w:val="22"/>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rsidR="000B32EB" w:rsidRPr="00B94587" w:rsidRDefault="000B32EB" w:rsidP="000B32EB">
      <w:pPr>
        <w:pStyle w:val="Default"/>
        <w:jc w:val="both"/>
        <w:rPr>
          <w:rFonts w:ascii="Arial Narrow" w:hAnsi="Arial Narrow"/>
          <w:color w:val="auto"/>
          <w:sz w:val="22"/>
          <w:szCs w:val="22"/>
        </w:rPr>
      </w:pPr>
    </w:p>
    <w:p w:rsidR="000B32EB" w:rsidRDefault="000B32EB" w:rsidP="000B32EB">
      <w:pPr>
        <w:pStyle w:val="Default"/>
        <w:rPr>
          <w:rFonts w:ascii="Arial Narrow" w:hAnsi="Arial Narrow"/>
          <w:b/>
          <w:color w:val="auto"/>
          <w:sz w:val="22"/>
          <w:szCs w:val="22"/>
        </w:rPr>
      </w:pPr>
      <w:r w:rsidRPr="00701F5D">
        <w:rPr>
          <w:rFonts w:ascii="Arial Narrow" w:hAnsi="Arial Narrow"/>
          <w:b/>
          <w:bCs/>
          <w:i/>
          <w:iCs/>
          <w:color w:val="auto"/>
          <w:sz w:val="22"/>
          <w:szCs w:val="22"/>
          <w:u w:val="single"/>
        </w:rPr>
        <w:t>Bienes muebles e inmuebles</w:t>
      </w:r>
      <w:r w:rsidRPr="00B94587">
        <w:rPr>
          <w:rFonts w:ascii="Arial Narrow" w:hAnsi="Arial Narrow"/>
          <w:b/>
          <w:color w:val="auto"/>
          <w:sz w:val="22"/>
          <w:szCs w:val="22"/>
        </w:rPr>
        <w:t>.</w:t>
      </w:r>
    </w:p>
    <w:p w:rsidR="00701F5D" w:rsidRPr="00B94587" w:rsidRDefault="00701F5D" w:rsidP="000B32EB">
      <w:pPr>
        <w:pStyle w:val="Default"/>
        <w:rPr>
          <w:rFonts w:ascii="Arial Narrow" w:hAnsi="Arial Narrow"/>
          <w:b/>
          <w:color w:val="auto"/>
          <w:sz w:val="22"/>
          <w:szCs w:val="22"/>
        </w:rPr>
      </w:pPr>
    </w:p>
    <w:p w:rsidR="000B32EB" w:rsidRPr="00B94587" w:rsidRDefault="000B32EB" w:rsidP="000B32EB">
      <w:pPr>
        <w:pStyle w:val="Default"/>
        <w:jc w:val="both"/>
        <w:rPr>
          <w:rFonts w:ascii="Arial Narrow" w:hAnsi="Arial Narrow"/>
          <w:color w:val="auto"/>
          <w:sz w:val="22"/>
          <w:szCs w:val="22"/>
        </w:rPr>
      </w:pPr>
      <w:r w:rsidRPr="00B94587">
        <w:rPr>
          <w:rFonts w:ascii="Arial Narrow" w:hAnsi="Arial Narrow"/>
          <w:color w:val="auto"/>
          <w:sz w:val="22"/>
          <w:szCs w:val="22"/>
        </w:rPr>
        <w:t xml:space="preserve">Los elementos de inmuebles, y bienes muebles; se deprecian desde la fecha en la que están instalados y listos para su uso o en el caso de los activos construidos internamente, desde la fecha en la que el activo esté completado y en condiciones de ser usado. Y se deprecian usando el método de línea recta en resultados con base a las vidas útiles estimadas de cada componente. El terreno no se deprecia. </w:t>
      </w:r>
    </w:p>
    <w:p w:rsidR="000B32EB" w:rsidRPr="00B94587" w:rsidRDefault="000B32EB" w:rsidP="000B32EB">
      <w:pPr>
        <w:pStyle w:val="Default"/>
        <w:jc w:val="both"/>
        <w:rPr>
          <w:rFonts w:ascii="Arial Narrow" w:hAnsi="Arial Narrow"/>
          <w:color w:val="auto"/>
          <w:sz w:val="22"/>
          <w:szCs w:val="22"/>
        </w:rPr>
      </w:pPr>
    </w:p>
    <w:p w:rsidR="000B32EB" w:rsidRPr="00B94587" w:rsidRDefault="000B32EB" w:rsidP="000B32EB">
      <w:pPr>
        <w:pStyle w:val="Default"/>
        <w:jc w:val="both"/>
        <w:rPr>
          <w:rFonts w:ascii="Arial Narrow" w:hAnsi="Arial Narrow"/>
          <w:color w:val="auto"/>
          <w:sz w:val="22"/>
          <w:szCs w:val="22"/>
        </w:rPr>
      </w:pPr>
      <w:r w:rsidRPr="00B94587">
        <w:rPr>
          <w:rFonts w:ascii="Arial Narrow" w:hAnsi="Arial Narrow"/>
          <w:color w:val="auto"/>
          <w:sz w:val="22"/>
          <w:szCs w:val="22"/>
        </w:rPr>
        <w:t xml:space="preserve">Las vidas útiles estimadas para los períodos actuales y comparativos de las partidas significativas de propiedades, planta y equipo son las siguientes: </w:t>
      </w:r>
    </w:p>
    <w:p w:rsidR="000B32EB" w:rsidRPr="00B94587" w:rsidRDefault="000B32EB" w:rsidP="000B32EB">
      <w:pPr>
        <w:pStyle w:val="Default"/>
        <w:jc w:val="both"/>
        <w:rPr>
          <w:rFonts w:ascii="Arial Narrow" w:hAnsi="Arial Narrow"/>
          <w:color w:val="auto"/>
          <w:sz w:val="22"/>
          <w:szCs w:val="22"/>
        </w:rPr>
      </w:pPr>
    </w:p>
    <w:p w:rsidR="000B32EB" w:rsidRPr="00B94587" w:rsidRDefault="000B32EB" w:rsidP="000B32EB">
      <w:pPr>
        <w:pStyle w:val="Default"/>
        <w:jc w:val="both"/>
        <w:rPr>
          <w:rFonts w:ascii="Arial Narrow" w:hAnsi="Arial Narrow"/>
          <w:color w:val="auto"/>
          <w:sz w:val="22"/>
          <w:szCs w:val="22"/>
        </w:rPr>
      </w:pPr>
      <w:r w:rsidRPr="00B94587">
        <w:rPr>
          <w:rFonts w:ascii="Arial Narrow" w:hAnsi="Arial Narrow"/>
          <w:color w:val="auto"/>
          <w:sz w:val="22"/>
          <w:szCs w:val="22"/>
        </w:rPr>
        <w:t xml:space="preserve">Años </w:t>
      </w:r>
    </w:p>
    <w:p w:rsidR="000B32EB" w:rsidRPr="00B94587" w:rsidRDefault="000B32EB" w:rsidP="000B32EB">
      <w:pPr>
        <w:pStyle w:val="Default"/>
        <w:rPr>
          <w:rFonts w:ascii="Arial Narrow" w:hAnsi="Arial Narrow"/>
          <w:color w:val="auto"/>
          <w:sz w:val="22"/>
          <w:szCs w:val="22"/>
        </w:rPr>
      </w:pPr>
      <w:r w:rsidRPr="00B94587">
        <w:rPr>
          <w:rFonts w:ascii="Arial Narrow" w:hAnsi="Arial Narrow"/>
          <w:color w:val="auto"/>
          <w:sz w:val="22"/>
          <w:szCs w:val="22"/>
        </w:rPr>
        <w:t xml:space="preserve">Edificios 20 - 33 </w:t>
      </w:r>
    </w:p>
    <w:p w:rsidR="000B32EB" w:rsidRPr="00B94587" w:rsidRDefault="000B32EB" w:rsidP="000B32EB">
      <w:pPr>
        <w:pStyle w:val="Default"/>
        <w:rPr>
          <w:rFonts w:ascii="Arial Narrow" w:hAnsi="Arial Narrow"/>
          <w:color w:val="auto"/>
          <w:sz w:val="22"/>
          <w:szCs w:val="22"/>
        </w:rPr>
      </w:pPr>
      <w:r w:rsidRPr="00B94587">
        <w:rPr>
          <w:rFonts w:ascii="Arial Narrow" w:hAnsi="Arial Narrow"/>
          <w:color w:val="auto"/>
          <w:sz w:val="22"/>
          <w:szCs w:val="22"/>
        </w:rPr>
        <w:t>Maquinaria y herramientas 10 - 14</w:t>
      </w:r>
    </w:p>
    <w:p w:rsidR="000B32EB" w:rsidRPr="00B94587" w:rsidRDefault="000B32EB" w:rsidP="000B32EB">
      <w:pPr>
        <w:pStyle w:val="Default"/>
        <w:rPr>
          <w:rFonts w:ascii="Arial Narrow" w:hAnsi="Arial Narrow"/>
          <w:color w:val="auto"/>
          <w:sz w:val="22"/>
          <w:szCs w:val="22"/>
        </w:rPr>
      </w:pPr>
      <w:r w:rsidRPr="00B94587">
        <w:rPr>
          <w:rFonts w:ascii="Arial Narrow" w:hAnsi="Arial Narrow"/>
          <w:color w:val="auto"/>
          <w:sz w:val="22"/>
          <w:szCs w:val="22"/>
        </w:rPr>
        <w:t xml:space="preserve">Muebles y equipo de oficina 12 </w:t>
      </w:r>
    </w:p>
    <w:p w:rsidR="000B32EB" w:rsidRPr="00B94587" w:rsidRDefault="000B32EB" w:rsidP="000B32EB">
      <w:pPr>
        <w:pStyle w:val="Default"/>
        <w:rPr>
          <w:rFonts w:ascii="Arial Narrow" w:hAnsi="Arial Narrow"/>
          <w:color w:val="auto"/>
          <w:sz w:val="22"/>
          <w:szCs w:val="22"/>
        </w:rPr>
      </w:pPr>
      <w:r w:rsidRPr="00B94587">
        <w:rPr>
          <w:rFonts w:ascii="Arial Narrow" w:hAnsi="Arial Narrow"/>
          <w:color w:val="auto"/>
          <w:sz w:val="22"/>
          <w:szCs w:val="22"/>
        </w:rPr>
        <w:t xml:space="preserve">Equipo de transporte  4  </w:t>
      </w:r>
    </w:p>
    <w:p w:rsidR="000B32EB" w:rsidRDefault="000B32EB" w:rsidP="000B32EB">
      <w:pPr>
        <w:pStyle w:val="Default"/>
        <w:rPr>
          <w:rFonts w:ascii="Arial Narrow" w:hAnsi="Arial Narrow"/>
          <w:color w:val="auto"/>
          <w:sz w:val="22"/>
          <w:szCs w:val="22"/>
        </w:rPr>
      </w:pPr>
      <w:r w:rsidRPr="00B94587">
        <w:rPr>
          <w:rFonts w:ascii="Arial Narrow" w:hAnsi="Arial Narrow"/>
          <w:color w:val="auto"/>
          <w:sz w:val="22"/>
          <w:szCs w:val="22"/>
        </w:rPr>
        <w:t xml:space="preserve">Equipo electrónico de datos  4 </w:t>
      </w:r>
    </w:p>
    <w:p w:rsidR="005C3CF0" w:rsidRPr="00B94587" w:rsidRDefault="005C3CF0" w:rsidP="000B32EB">
      <w:pPr>
        <w:pStyle w:val="Default"/>
        <w:rPr>
          <w:rFonts w:ascii="Arial Narrow" w:hAnsi="Arial Narrow"/>
          <w:color w:val="auto"/>
          <w:sz w:val="22"/>
          <w:szCs w:val="22"/>
        </w:rPr>
      </w:pPr>
    </w:p>
    <w:p w:rsidR="000B32EB" w:rsidRPr="00B94587" w:rsidRDefault="000B32EB" w:rsidP="000B32EB">
      <w:pPr>
        <w:pStyle w:val="Default"/>
        <w:rPr>
          <w:rFonts w:ascii="Arial Narrow" w:hAnsi="Arial Narrow"/>
          <w:color w:val="auto"/>
          <w:sz w:val="22"/>
          <w:szCs w:val="22"/>
        </w:rPr>
      </w:pPr>
      <w:r w:rsidRPr="00B94587">
        <w:rPr>
          <w:rFonts w:ascii="Arial Narrow" w:hAnsi="Arial Narrow"/>
          <w:color w:val="auto"/>
          <w:sz w:val="22"/>
          <w:szCs w:val="22"/>
        </w:rPr>
        <w:t xml:space="preserve">Los métodos de depreciación, vidas útiles y valores residuales son revisados en cada ejercicio y se ajustan si es necesario. </w:t>
      </w:r>
    </w:p>
    <w:p w:rsidR="000B32EB" w:rsidRDefault="000B32EB"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Pr="00B94587" w:rsidRDefault="005C3CF0" w:rsidP="000B32EB">
      <w:pPr>
        <w:pStyle w:val="Default"/>
        <w:rPr>
          <w:rFonts w:ascii="Arial Narrow" w:hAnsi="Arial Narrow"/>
          <w:sz w:val="22"/>
          <w:szCs w:val="22"/>
        </w:rPr>
      </w:pPr>
    </w:p>
    <w:tbl>
      <w:tblPr>
        <w:tblStyle w:val="Sombreadoclaro-nfasis11"/>
        <w:tblW w:w="0" w:type="auto"/>
        <w:jc w:val="center"/>
        <w:tblLayout w:type="fixed"/>
        <w:tblLook w:val="04A0" w:firstRow="1" w:lastRow="0" w:firstColumn="1" w:lastColumn="0" w:noHBand="0" w:noVBand="1"/>
      </w:tblPr>
      <w:tblGrid>
        <w:gridCol w:w="3794"/>
        <w:gridCol w:w="1559"/>
        <w:gridCol w:w="1701"/>
        <w:gridCol w:w="1559"/>
      </w:tblGrid>
      <w:tr w:rsidR="000B32EB" w:rsidRPr="00917741" w:rsidTr="000B32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lastRenderedPageBreak/>
              <w:t>CONCEPTO</w:t>
            </w:r>
          </w:p>
        </w:tc>
        <w:tc>
          <w:tcPr>
            <w:tcW w:w="1559" w:type="dxa"/>
          </w:tcPr>
          <w:p w:rsidR="000B32EB" w:rsidRPr="00917741" w:rsidRDefault="000B32EB" w:rsidP="000B32EB">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Saldo en libros</w:t>
            </w:r>
          </w:p>
          <w:p w:rsidR="000B32EB" w:rsidRPr="00917741" w:rsidRDefault="000B32EB" w:rsidP="000B32EB">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al 31 de marzo 2015</w:t>
            </w:r>
          </w:p>
        </w:tc>
        <w:tc>
          <w:tcPr>
            <w:tcW w:w="1701" w:type="dxa"/>
          </w:tcPr>
          <w:p w:rsidR="000B32EB" w:rsidRPr="00917741" w:rsidRDefault="000B32EB" w:rsidP="000B32EB">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Según último inventario físico</w:t>
            </w:r>
          </w:p>
        </w:tc>
        <w:tc>
          <w:tcPr>
            <w:tcW w:w="1559" w:type="dxa"/>
          </w:tcPr>
          <w:p w:rsidR="000B32EB" w:rsidRPr="00917741" w:rsidRDefault="000B32EB" w:rsidP="000B32EB">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Diferencias</w:t>
            </w:r>
          </w:p>
          <w:p w:rsidR="000B32EB" w:rsidRPr="00917741" w:rsidRDefault="000B32EB" w:rsidP="000B32EB">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En existencias físicas</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 xml:space="preserve">Equipo de transporte </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2,361,455.25</w:t>
            </w:r>
          </w:p>
        </w:tc>
        <w:tc>
          <w:tcPr>
            <w:tcW w:w="1701"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917741">
              <w:rPr>
                <w:rFonts w:ascii="Arial Narrow" w:hAnsi="Arial Narrow" w:cs="Arial"/>
                <w:sz w:val="18"/>
                <w:szCs w:val="18"/>
              </w:rPr>
              <w:t>$2,474,358.00</w:t>
            </w:r>
          </w:p>
        </w:tc>
        <w:tc>
          <w:tcPr>
            <w:tcW w:w="1559"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917741">
              <w:rPr>
                <w:rFonts w:ascii="Arial Narrow" w:hAnsi="Arial Narrow" w:cs="Arial"/>
                <w:sz w:val="18"/>
                <w:szCs w:val="18"/>
              </w:rPr>
              <w:t>-$112,902.75</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Equipó de computo</w:t>
            </w: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5,566,766.68</w:t>
            </w:r>
          </w:p>
        </w:tc>
        <w:tc>
          <w:tcPr>
            <w:tcW w:w="1701"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$ 1,857,031.39</w:t>
            </w: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$ 3,709,735.29</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Equipo de comunicación y telecomunicación</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70,102.00</w:t>
            </w:r>
          </w:p>
        </w:tc>
        <w:tc>
          <w:tcPr>
            <w:tcW w:w="1701"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70,102.00</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Mobiliario y equipo de oficina</w:t>
            </w: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5 ,072,062.78</w:t>
            </w:r>
          </w:p>
        </w:tc>
        <w:tc>
          <w:tcPr>
            <w:tcW w:w="1701"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$1,825,264.25</w:t>
            </w: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xml:space="preserve"> $ 3,246,798.53</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Equipo educacional y recreativo</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14,261.20</w:t>
            </w:r>
          </w:p>
        </w:tc>
        <w:tc>
          <w:tcPr>
            <w:tcW w:w="1701"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13.00</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14,248.20</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Equipo de audio y video</w:t>
            </w: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21,192.89</w:t>
            </w:r>
          </w:p>
        </w:tc>
        <w:tc>
          <w:tcPr>
            <w:tcW w:w="1701"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20,153.50</w:t>
            </w: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1,039.39</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Herramientas y equipo electrónico</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573,116.02</w:t>
            </w:r>
          </w:p>
        </w:tc>
        <w:tc>
          <w:tcPr>
            <w:tcW w:w="1701"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51,100.76</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522,015.26</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 xml:space="preserve">Total </w:t>
            </w: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917741">
              <w:rPr>
                <w:rFonts w:ascii="Arial Narrow" w:hAnsi="Arial Narrow"/>
                <w:b/>
                <w:sz w:val="18"/>
                <w:szCs w:val="18"/>
              </w:rPr>
              <w:t>$ 13,678,956.82</w:t>
            </w:r>
          </w:p>
        </w:tc>
        <w:tc>
          <w:tcPr>
            <w:tcW w:w="1701" w:type="dxa"/>
          </w:tcPr>
          <w:p w:rsidR="000B32EB" w:rsidRPr="00917741" w:rsidRDefault="0015198C"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917741">
              <w:rPr>
                <w:rFonts w:ascii="Arial Narrow" w:hAnsi="Arial Narrow"/>
                <w:b/>
                <w:sz w:val="18"/>
                <w:szCs w:val="18"/>
              </w:rPr>
              <w:fldChar w:fldCharType="begin"/>
            </w:r>
            <w:r w:rsidR="000B32EB" w:rsidRPr="00917741">
              <w:rPr>
                <w:rFonts w:ascii="Arial Narrow" w:hAnsi="Arial Narrow"/>
                <w:b/>
                <w:sz w:val="18"/>
                <w:szCs w:val="18"/>
              </w:rPr>
              <w:instrText xml:space="preserve"> =SUM(ABOVE) </w:instrText>
            </w:r>
            <w:r w:rsidRPr="00917741">
              <w:rPr>
                <w:rFonts w:ascii="Arial Narrow" w:hAnsi="Arial Narrow"/>
                <w:b/>
                <w:sz w:val="18"/>
                <w:szCs w:val="18"/>
              </w:rPr>
              <w:fldChar w:fldCharType="end"/>
            </w:r>
            <w:r w:rsidRPr="00917741">
              <w:rPr>
                <w:rFonts w:ascii="Arial Narrow" w:hAnsi="Arial Narrow"/>
                <w:b/>
                <w:sz w:val="18"/>
                <w:szCs w:val="18"/>
              </w:rPr>
              <w:fldChar w:fldCharType="begin"/>
            </w:r>
            <w:r w:rsidR="000B32EB" w:rsidRPr="00917741">
              <w:rPr>
                <w:rFonts w:ascii="Arial Narrow" w:hAnsi="Arial Narrow"/>
                <w:b/>
                <w:sz w:val="18"/>
                <w:szCs w:val="18"/>
              </w:rPr>
              <w:instrText xml:space="preserve"> =SUM(ABOVE) </w:instrText>
            </w:r>
            <w:r w:rsidRPr="00917741">
              <w:rPr>
                <w:rFonts w:ascii="Arial Narrow" w:hAnsi="Arial Narrow"/>
                <w:b/>
                <w:sz w:val="18"/>
                <w:szCs w:val="18"/>
              </w:rPr>
              <w:fldChar w:fldCharType="separate"/>
            </w:r>
            <w:r w:rsidR="000B32EB" w:rsidRPr="00917741">
              <w:rPr>
                <w:rFonts w:ascii="Arial Narrow" w:hAnsi="Arial Narrow"/>
                <w:b/>
                <w:noProof/>
                <w:sz w:val="18"/>
                <w:szCs w:val="18"/>
              </w:rPr>
              <w:t>$6,227,920.90</w:t>
            </w:r>
            <w:r w:rsidRPr="00917741">
              <w:rPr>
                <w:rFonts w:ascii="Arial Narrow" w:hAnsi="Arial Narrow"/>
                <w:b/>
                <w:sz w:val="18"/>
                <w:szCs w:val="18"/>
              </w:rPr>
              <w:fldChar w:fldCharType="end"/>
            </w:r>
          </w:p>
        </w:tc>
        <w:tc>
          <w:tcPr>
            <w:tcW w:w="1559" w:type="dxa"/>
          </w:tcPr>
          <w:p w:rsidR="000B32EB" w:rsidRPr="00917741" w:rsidRDefault="0015198C"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917741">
              <w:rPr>
                <w:rFonts w:ascii="Arial Narrow" w:hAnsi="Arial Narrow"/>
                <w:b/>
                <w:sz w:val="18"/>
                <w:szCs w:val="18"/>
              </w:rPr>
              <w:fldChar w:fldCharType="begin"/>
            </w:r>
            <w:r w:rsidR="000B32EB" w:rsidRPr="00917741">
              <w:rPr>
                <w:rFonts w:ascii="Arial Narrow" w:hAnsi="Arial Narrow"/>
                <w:b/>
                <w:sz w:val="18"/>
                <w:szCs w:val="18"/>
              </w:rPr>
              <w:instrText xml:space="preserve"> =SUM(ABOVE) </w:instrText>
            </w:r>
            <w:r w:rsidRPr="00917741">
              <w:rPr>
                <w:rFonts w:ascii="Arial Narrow" w:hAnsi="Arial Narrow"/>
                <w:b/>
                <w:sz w:val="18"/>
                <w:szCs w:val="18"/>
              </w:rPr>
              <w:fldChar w:fldCharType="end"/>
            </w:r>
            <w:r w:rsidRPr="00917741">
              <w:rPr>
                <w:rFonts w:ascii="Arial Narrow" w:hAnsi="Arial Narrow"/>
                <w:b/>
                <w:sz w:val="18"/>
                <w:szCs w:val="18"/>
              </w:rPr>
              <w:fldChar w:fldCharType="begin"/>
            </w:r>
            <w:r w:rsidR="000B32EB" w:rsidRPr="00917741">
              <w:rPr>
                <w:rFonts w:ascii="Arial Narrow" w:hAnsi="Arial Narrow"/>
                <w:b/>
                <w:sz w:val="18"/>
                <w:szCs w:val="18"/>
              </w:rPr>
              <w:instrText xml:space="preserve"> =SUM(ABOVE) </w:instrText>
            </w:r>
            <w:r w:rsidRPr="00917741">
              <w:rPr>
                <w:rFonts w:ascii="Arial Narrow" w:hAnsi="Arial Narrow"/>
                <w:b/>
                <w:sz w:val="18"/>
                <w:szCs w:val="18"/>
              </w:rPr>
              <w:fldChar w:fldCharType="separate"/>
            </w:r>
            <w:r w:rsidR="000B32EB" w:rsidRPr="00917741">
              <w:rPr>
                <w:rFonts w:ascii="Arial Narrow" w:hAnsi="Arial Narrow"/>
                <w:b/>
                <w:noProof/>
                <w:sz w:val="18"/>
                <w:szCs w:val="18"/>
              </w:rPr>
              <w:t>$7,451,035.92</w:t>
            </w:r>
            <w:r w:rsidRPr="00917741">
              <w:rPr>
                <w:rFonts w:ascii="Arial Narrow" w:hAnsi="Arial Narrow"/>
                <w:b/>
                <w:sz w:val="18"/>
                <w:szCs w:val="18"/>
              </w:rPr>
              <w:fldChar w:fldCharType="end"/>
            </w:r>
          </w:p>
        </w:tc>
      </w:tr>
    </w:tbl>
    <w:p w:rsidR="000B32EB" w:rsidRPr="00B94587" w:rsidRDefault="000B32EB" w:rsidP="000B32EB">
      <w:pPr>
        <w:rPr>
          <w:rFonts w:ascii="Arial Narrow" w:hAnsi="Arial Narrow"/>
        </w:rPr>
      </w:pPr>
    </w:p>
    <w:p w:rsidR="000B32EB" w:rsidRPr="00B94587" w:rsidRDefault="000B32EB" w:rsidP="000B32EB">
      <w:pPr>
        <w:spacing w:after="0" w:line="240" w:lineRule="auto"/>
        <w:rPr>
          <w:rFonts w:ascii="Arial Narrow" w:hAnsi="Arial Narrow"/>
        </w:rPr>
      </w:pPr>
      <w:r w:rsidRPr="00B94587">
        <w:rPr>
          <w:rFonts w:ascii="Arial Narrow" w:hAnsi="Arial Narrow"/>
        </w:rPr>
        <w:t>Bienes muebles</w:t>
      </w:r>
      <w:r w:rsidRPr="00B94587">
        <w:rPr>
          <w:rFonts w:ascii="Arial Narrow" w:hAnsi="Arial Narrow"/>
        </w:rPr>
        <w:tab/>
      </w:r>
      <w:r w:rsidRPr="00B94587">
        <w:rPr>
          <w:rFonts w:ascii="Arial Narrow" w:hAnsi="Arial Narrow"/>
        </w:rPr>
        <w:tab/>
      </w:r>
      <w:r w:rsidRPr="00B94587">
        <w:rPr>
          <w:rFonts w:ascii="Arial Narrow" w:hAnsi="Arial Narrow"/>
        </w:rPr>
        <w:tab/>
        <w:t xml:space="preserve">                      $13</w:t>
      </w:r>
      <w:proofErr w:type="gramStart"/>
      <w:r w:rsidRPr="00B94587">
        <w:rPr>
          <w:rFonts w:ascii="Arial Narrow" w:hAnsi="Arial Narrow"/>
        </w:rPr>
        <w:t>,678,956.82</w:t>
      </w:r>
      <w:proofErr w:type="gramEnd"/>
    </w:p>
    <w:p w:rsidR="000B32EB" w:rsidRPr="00B94587" w:rsidRDefault="000B32EB" w:rsidP="000B32EB">
      <w:pPr>
        <w:spacing w:after="0" w:line="240" w:lineRule="auto"/>
        <w:rPr>
          <w:rFonts w:ascii="Arial Narrow" w:hAnsi="Arial Narrow"/>
          <w:u w:val="single"/>
        </w:rPr>
      </w:pPr>
      <w:r w:rsidRPr="00B94587">
        <w:rPr>
          <w:rFonts w:ascii="Arial Narrow" w:hAnsi="Arial Narrow"/>
        </w:rPr>
        <w:t xml:space="preserve">Edificios                                                                </w:t>
      </w:r>
      <w:r w:rsidRPr="00B94587">
        <w:rPr>
          <w:rFonts w:ascii="Arial Narrow" w:hAnsi="Arial Narrow"/>
          <w:u w:val="single"/>
        </w:rPr>
        <w:t>$   1</w:t>
      </w:r>
      <w:proofErr w:type="gramStart"/>
      <w:r w:rsidRPr="00B94587">
        <w:rPr>
          <w:rFonts w:ascii="Arial Narrow" w:hAnsi="Arial Narrow"/>
          <w:u w:val="single"/>
        </w:rPr>
        <w:t>,462,517.83</w:t>
      </w:r>
      <w:proofErr w:type="gramEnd"/>
    </w:p>
    <w:p w:rsidR="000B32EB" w:rsidRPr="00B94587" w:rsidRDefault="000B32EB" w:rsidP="000B32EB">
      <w:pPr>
        <w:spacing w:after="0" w:line="240" w:lineRule="auto"/>
        <w:rPr>
          <w:rFonts w:ascii="Arial Narrow" w:hAnsi="Arial Narrow"/>
          <w:b/>
        </w:rPr>
      </w:pPr>
      <w:r w:rsidRPr="00B94587">
        <w:rPr>
          <w:rFonts w:ascii="Arial Narrow" w:hAnsi="Arial Narrow"/>
          <w:b/>
        </w:rPr>
        <w:t>Total activo no circulante</w:t>
      </w:r>
      <w:r w:rsidRPr="00B94587">
        <w:rPr>
          <w:rFonts w:ascii="Arial Narrow" w:hAnsi="Arial Narrow"/>
          <w:b/>
        </w:rPr>
        <w:tab/>
      </w:r>
      <w:r w:rsidRPr="00B94587">
        <w:rPr>
          <w:rFonts w:ascii="Arial Narrow" w:hAnsi="Arial Narrow"/>
          <w:b/>
        </w:rPr>
        <w:tab/>
        <w:t xml:space="preserve">        $ 15</w:t>
      </w:r>
      <w:proofErr w:type="gramStart"/>
      <w:r w:rsidRPr="00B94587">
        <w:rPr>
          <w:rFonts w:ascii="Arial Narrow" w:hAnsi="Arial Narrow"/>
          <w:b/>
        </w:rPr>
        <w:t>,141,474.65</w:t>
      </w:r>
      <w:proofErr w:type="gramEnd"/>
    </w:p>
    <w:p w:rsidR="000B32EB" w:rsidRPr="00B94587" w:rsidRDefault="000B32EB" w:rsidP="000B32EB">
      <w:pPr>
        <w:spacing w:after="0" w:line="240" w:lineRule="auto"/>
        <w:rPr>
          <w:rFonts w:ascii="Arial Narrow" w:hAnsi="Arial Narrow"/>
        </w:rPr>
      </w:pPr>
    </w:p>
    <w:p w:rsidR="000B32EB" w:rsidRPr="00B94587" w:rsidRDefault="000B32EB" w:rsidP="000B32EB">
      <w:pPr>
        <w:spacing w:after="0" w:line="240" w:lineRule="auto"/>
        <w:rPr>
          <w:rFonts w:ascii="Arial Narrow" w:hAnsi="Arial Narrow"/>
        </w:rPr>
      </w:pPr>
    </w:p>
    <w:p w:rsidR="000B32EB" w:rsidRPr="00B94587" w:rsidRDefault="000B32EB" w:rsidP="000B32EB">
      <w:pPr>
        <w:jc w:val="both"/>
        <w:rPr>
          <w:rFonts w:ascii="Arial Narrow" w:hAnsi="Arial Narrow"/>
        </w:rPr>
      </w:pPr>
      <w:r w:rsidRPr="00B94587">
        <w:rPr>
          <w:rFonts w:ascii="Arial Narrow" w:hAnsi="Arial Narrow"/>
        </w:rPr>
        <w:t>Debido a la antigüedad de la fundación del ente publico, se desconoce el paradero de la diferencia de existencia físicas de los bienes muebles. Por tanto se ha solicitado al órgano interno del ente público (Consejo de la Judicatura del Estado de Tlaxcala), acta para dar de baja los bienes muebles inexistentes.</w:t>
      </w:r>
    </w:p>
    <w:p w:rsidR="000B32EB" w:rsidRPr="00B94587" w:rsidRDefault="000B32EB" w:rsidP="000B32EB">
      <w:pPr>
        <w:jc w:val="both"/>
        <w:rPr>
          <w:rFonts w:ascii="Arial Narrow" w:hAnsi="Arial Narrow"/>
        </w:rPr>
      </w:pPr>
      <w:r w:rsidRPr="00B94587">
        <w:rPr>
          <w:rFonts w:ascii="Arial Narrow" w:hAnsi="Arial Narrow"/>
        </w:rPr>
        <w:t xml:space="preserve">Así mismo, no han sido depreciados ni revaluados en su caso los bienes muebles e inmuebles se en proceso de depuración y registro de los movimientos. </w:t>
      </w:r>
    </w:p>
    <w:p w:rsidR="000B32EB" w:rsidRPr="00B94587" w:rsidRDefault="000B32EB" w:rsidP="000B32EB">
      <w:pPr>
        <w:jc w:val="both"/>
        <w:rPr>
          <w:rFonts w:ascii="Arial Narrow" w:hAnsi="Arial Narrow"/>
        </w:rPr>
      </w:pPr>
    </w:p>
    <w:p w:rsidR="000B32EB" w:rsidRPr="00701F5D" w:rsidRDefault="000B32EB" w:rsidP="000B32EB">
      <w:pPr>
        <w:rPr>
          <w:rFonts w:ascii="Arial Narrow" w:hAnsi="Arial Narrow"/>
          <w:b/>
          <w:u w:val="single"/>
        </w:rPr>
      </w:pPr>
      <w:r w:rsidRPr="00701F5D">
        <w:rPr>
          <w:rFonts w:ascii="Arial Narrow" w:hAnsi="Arial Narrow"/>
          <w:b/>
          <w:u w:val="single"/>
        </w:rPr>
        <w:t>9. Fideicomisos, Mandatos y Análogos.</w:t>
      </w:r>
    </w:p>
    <w:p w:rsidR="000B32EB" w:rsidRPr="00B94587" w:rsidRDefault="000B32EB" w:rsidP="000B32EB">
      <w:pPr>
        <w:rPr>
          <w:rFonts w:ascii="Arial Narrow" w:hAnsi="Arial Narrow"/>
        </w:rPr>
      </w:pPr>
      <w:r w:rsidRPr="00B94587">
        <w:rPr>
          <w:rFonts w:ascii="Arial Narrow" w:hAnsi="Arial Narrow"/>
        </w:rPr>
        <w:t xml:space="preserve">No se tiene contratos con fideicomisos.   </w:t>
      </w:r>
    </w:p>
    <w:p w:rsidR="000B32EB" w:rsidRPr="00701F5D" w:rsidRDefault="000B32EB" w:rsidP="000B32EB">
      <w:pPr>
        <w:rPr>
          <w:rFonts w:ascii="Arial Narrow" w:hAnsi="Arial Narrow"/>
          <w:b/>
          <w:u w:val="single"/>
        </w:rPr>
      </w:pPr>
      <w:r w:rsidRPr="00701F5D">
        <w:rPr>
          <w:rFonts w:ascii="Arial Narrow" w:hAnsi="Arial Narrow"/>
          <w:b/>
          <w:u w:val="single"/>
        </w:rPr>
        <w:t>10. Reporte de recaudación</w:t>
      </w:r>
    </w:p>
    <w:p w:rsidR="000B32EB" w:rsidRPr="00B94587" w:rsidRDefault="000B32EB" w:rsidP="000B32EB">
      <w:pPr>
        <w:rPr>
          <w:rFonts w:ascii="Arial Narrow" w:hAnsi="Arial Narrow"/>
        </w:rPr>
      </w:pPr>
      <w:r w:rsidRPr="00B94587">
        <w:rPr>
          <w:rFonts w:ascii="Arial Narrow" w:hAnsi="Arial Narrow"/>
        </w:rPr>
        <w:t>a) Análisis del comportamiento de la recaudación.</w:t>
      </w:r>
    </w:p>
    <w:p w:rsidR="000B32EB" w:rsidRPr="00B94587" w:rsidRDefault="000B32EB" w:rsidP="000B32EB">
      <w:pPr>
        <w:jc w:val="both"/>
        <w:rPr>
          <w:rFonts w:ascii="Arial Narrow" w:hAnsi="Arial Narrow"/>
        </w:rPr>
      </w:pPr>
      <w:r w:rsidRPr="00B94587">
        <w:rPr>
          <w:rFonts w:ascii="Arial Narrow" w:hAnsi="Arial Narrow"/>
        </w:rPr>
        <w:t xml:space="preserve">El comportamiento de recaudación del ente en comento esta supeditado por las participaciones estatales provenientes del gobierno del estado, y solo un .001 % se recauda por copias certificadas emitida por el ente y por otros ingresos provenientes de conmutaciones y multas impuestas y determinadas por lo jueces del propio organismo de los cuales no rebasa el 2% del total del ingreso. </w:t>
      </w:r>
    </w:p>
    <w:p w:rsidR="000B32EB" w:rsidRPr="00B94587" w:rsidRDefault="000B32EB" w:rsidP="000B32EB">
      <w:pPr>
        <w:jc w:val="both"/>
        <w:rPr>
          <w:rFonts w:ascii="Arial Narrow" w:hAnsi="Arial Narrow"/>
        </w:rPr>
      </w:pPr>
      <w:r w:rsidRPr="00B94587">
        <w:rPr>
          <w:rFonts w:ascii="Arial Narrow" w:hAnsi="Arial Narrow"/>
        </w:rPr>
        <w:t>b) Proyección de la recaudación e ingresos en el mediano plazo.</w:t>
      </w:r>
    </w:p>
    <w:p w:rsidR="000B32EB" w:rsidRPr="00B94587" w:rsidRDefault="000B32EB" w:rsidP="000B32EB">
      <w:pPr>
        <w:jc w:val="both"/>
        <w:rPr>
          <w:rFonts w:ascii="Arial Narrow" w:hAnsi="Arial Narrow"/>
        </w:rPr>
      </w:pPr>
      <w:r w:rsidRPr="00B94587">
        <w:rPr>
          <w:rFonts w:ascii="Arial Narrow" w:hAnsi="Arial Narrow"/>
        </w:rPr>
        <w:lastRenderedPageBreak/>
        <w:t xml:space="preserve">La Secretaria de Finanzas del Estado de Tlaxcala, establece un programa de ministraciones mensuales, de acuerdo al presupuesto presentado a esta dependencia y aprobado por el Congreso del Estado.   </w:t>
      </w:r>
    </w:p>
    <w:p w:rsidR="000B32EB" w:rsidRPr="00701F5D" w:rsidRDefault="000B32EB" w:rsidP="000B32EB">
      <w:pPr>
        <w:rPr>
          <w:rFonts w:ascii="Arial Narrow" w:hAnsi="Arial Narrow"/>
          <w:b/>
          <w:u w:val="single"/>
        </w:rPr>
      </w:pPr>
      <w:r w:rsidRPr="00701F5D">
        <w:rPr>
          <w:rFonts w:ascii="Arial Narrow" w:hAnsi="Arial Narrow"/>
          <w:b/>
          <w:u w:val="single"/>
        </w:rPr>
        <w:t>11. Información sobre deuda y el reporte analítico de la deuda.</w:t>
      </w:r>
    </w:p>
    <w:p w:rsidR="000B32EB" w:rsidRPr="00B94587" w:rsidRDefault="000B32EB" w:rsidP="000B32EB">
      <w:pPr>
        <w:rPr>
          <w:rFonts w:ascii="Arial Narrow" w:hAnsi="Arial Narrow"/>
        </w:rPr>
      </w:pPr>
      <w:r w:rsidRPr="00B94587">
        <w:rPr>
          <w:rFonts w:ascii="Arial Narrow" w:hAnsi="Arial Narrow"/>
        </w:rPr>
        <w:t xml:space="preserve">a) Deuda respecto al PIB. </w:t>
      </w:r>
    </w:p>
    <w:p w:rsidR="000B32EB" w:rsidRPr="00B94587" w:rsidRDefault="000B32EB" w:rsidP="000B32EB">
      <w:pPr>
        <w:jc w:val="both"/>
        <w:rPr>
          <w:rFonts w:ascii="Arial Narrow" w:hAnsi="Arial Narrow"/>
        </w:rPr>
      </w:pPr>
      <w:r w:rsidRPr="00B94587">
        <w:rPr>
          <w:rFonts w:ascii="Arial Narrow" w:hAnsi="Arial Narrow"/>
        </w:rPr>
        <w:t xml:space="preserve">Al cierre del balance, el ente público tiene un adeudo con el Fondo Auxiliar para la Impartición de Justicia organismo interno del mismo ente, A Largo </w:t>
      </w:r>
      <w:r w:rsidR="00210173">
        <w:rPr>
          <w:rFonts w:ascii="Arial Narrow" w:hAnsi="Arial Narrow"/>
        </w:rPr>
        <w:t>Plazo de $10</w:t>
      </w:r>
      <w:proofErr w:type="gramStart"/>
      <w:r w:rsidR="00210173">
        <w:rPr>
          <w:rFonts w:ascii="Arial Narrow" w:hAnsi="Arial Narrow"/>
        </w:rPr>
        <w:t>,084,758.13</w:t>
      </w:r>
      <w:proofErr w:type="gramEnd"/>
      <w:r w:rsidR="00210173">
        <w:rPr>
          <w:rFonts w:ascii="Arial Narrow" w:hAnsi="Arial Narrow"/>
        </w:rPr>
        <w:t>,  y $2,0</w:t>
      </w:r>
      <w:r w:rsidRPr="00B94587">
        <w:rPr>
          <w:rFonts w:ascii="Arial Narrow" w:hAnsi="Arial Narrow"/>
        </w:rPr>
        <w:t xml:space="preserve">09,608.00 a  180 días. Esta deuda no causa interés alguno, que pudiera impactar a los resultados posteriores.  </w:t>
      </w:r>
    </w:p>
    <w:p w:rsidR="000B32EB" w:rsidRPr="00B94587" w:rsidRDefault="000B32EB" w:rsidP="000B32EB">
      <w:pPr>
        <w:rPr>
          <w:rFonts w:ascii="Arial Narrow" w:hAnsi="Arial Narrow"/>
        </w:rPr>
      </w:pPr>
      <w:r w:rsidRPr="00B94587">
        <w:rPr>
          <w:rFonts w:ascii="Arial Narrow" w:hAnsi="Arial Narrow"/>
        </w:rPr>
        <w:t>b) Valor gubernamental e instrumentos financieros.</w:t>
      </w:r>
    </w:p>
    <w:p w:rsidR="000B32EB" w:rsidRPr="00B94587" w:rsidRDefault="000B32EB" w:rsidP="000B32EB">
      <w:pPr>
        <w:jc w:val="both"/>
        <w:rPr>
          <w:rFonts w:ascii="Arial Narrow" w:hAnsi="Arial Narrow"/>
        </w:rPr>
      </w:pPr>
      <w:r w:rsidRPr="00B94587">
        <w:rPr>
          <w:rFonts w:ascii="Arial Narrow" w:hAnsi="Arial Narrow"/>
        </w:rPr>
        <w:t>Durante el ejercicio fiscal de 2014. No se realizaron inversiones en valores e instrumentos financieros.</w:t>
      </w:r>
    </w:p>
    <w:p w:rsidR="000B32EB" w:rsidRPr="00B94587" w:rsidRDefault="000B32EB" w:rsidP="000B32EB">
      <w:pPr>
        <w:rPr>
          <w:rFonts w:ascii="Arial Narrow" w:hAnsi="Arial Narrow"/>
        </w:rPr>
      </w:pPr>
    </w:p>
    <w:p w:rsidR="000B32EB" w:rsidRPr="000B32EB" w:rsidRDefault="000B32EB" w:rsidP="000B32EB">
      <w:pPr>
        <w:rPr>
          <w:rFonts w:ascii="Arial Narrow" w:hAnsi="Arial Narrow"/>
          <w:b/>
          <w:u w:val="single"/>
        </w:rPr>
      </w:pPr>
      <w:r w:rsidRPr="000B32EB">
        <w:rPr>
          <w:rFonts w:ascii="Arial Narrow" w:hAnsi="Arial Narrow"/>
          <w:b/>
          <w:u w:val="single"/>
        </w:rPr>
        <w:t>12. calificaciones otorgadas.</w:t>
      </w:r>
    </w:p>
    <w:p w:rsidR="000B32EB" w:rsidRPr="00A2551D" w:rsidRDefault="000B32EB" w:rsidP="000B32EB">
      <w:pPr>
        <w:jc w:val="both"/>
        <w:rPr>
          <w:rFonts w:ascii="Arial Narrow" w:hAnsi="Arial Narrow"/>
        </w:rPr>
      </w:pPr>
      <w:r w:rsidRPr="00A2551D">
        <w:rPr>
          <w:rFonts w:ascii="Arial Narrow" w:hAnsi="Arial Narrow"/>
        </w:rPr>
        <w:t>La Comisión de Acceso a la Información Pública y Prevención de datos personales del Estado de Tlaxcala (CAIPTLAX). Público los resultados en su pagina oficial de las evaluaciones a los 144 entes públicos del estado de Tlaxcala, conforme a los artículos 8,9,10,11, 12 y 13 de la Ley de Acceso a la Información Pública del Estado de Tlaxcala (LAIPET). Obteniendo los siguientes resultados</w:t>
      </w:r>
    </w:p>
    <w:p w:rsidR="000B32EB" w:rsidRPr="00A2551D" w:rsidRDefault="000B32EB" w:rsidP="000B32EB">
      <w:pPr>
        <w:jc w:val="both"/>
        <w:rPr>
          <w:rFonts w:ascii="Arial Narrow" w:hAnsi="Arial Narrow"/>
        </w:rPr>
      </w:pPr>
      <w:r w:rsidRPr="00A2551D">
        <w:rPr>
          <w:rFonts w:ascii="Arial Narrow" w:hAnsi="Arial Narrow"/>
        </w:rPr>
        <w:t>Promedios comparativos Evaluación 2014-2 vs Evaluación 2015-1, se obtuvo una puntuación de 9.8 habiendo un incremento con referencia al año anterior del +2% para el Poder Judicial.</w:t>
      </w:r>
    </w:p>
    <w:p w:rsidR="000B32EB" w:rsidRPr="000B32EB" w:rsidRDefault="000B32EB" w:rsidP="000B32EB">
      <w:pPr>
        <w:rPr>
          <w:rFonts w:ascii="Arial Narrow" w:hAnsi="Arial Narrow"/>
          <w:b/>
          <w:u w:val="single"/>
        </w:rPr>
      </w:pPr>
      <w:r w:rsidRPr="000B32EB">
        <w:rPr>
          <w:rFonts w:ascii="Arial Narrow" w:hAnsi="Arial Narrow"/>
          <w:b/>
          <w:u w:val="single"/>
        </w:rPr>
        <w:t>13. Proceso de mejora.</w:t>
      </w:r>
    </w:p>
    <w:p w:rsidR="000B32EB" w:rsidRPr="00B94587" w:rsidRDefault="000B32EB" w:rsidP="000B32EB">
      <w:pPr>
        <w:jc w:val="both"/>
        <w:rPr>
          <w:rFonts w:ascii="Arial Narrow" w:hAnsi="Arial Narrow"/>
        </w:rPr>
      </w:pPr>
      <w:r w:rsidRPr="00B94587">
        <w:rPr>
          <w:rFonts w:ascii="Arial Narrow" w:hAnsi="Arial Narrow"/>
        </w:rPr>
        <w:t xml:space="preserve">a) Principales políticas de control interno. </w:t>
      </w:r>
    </w:p>
    <w:p w:rsidR="000B32EB" w:rsidRPr="00B94587" w:rsidRDefault="000B32EB" w:rsidP="000B32EB">
      <w:pPr>
        <w:jc w:val="both"/>
        <w:rPr>
          <w:rFonts w:ascii="Arial Narrow" w:hAnsi="Arial Narrow"/>
        </w:rPr>
      </w:pPr>
      <w:r w:rsidRPr="00B94587">
        <w:rPr>
          <w:rFonts w:ascii="Arial Narrow" w:hAnsi="Arial Narrow"/>
        </w:rPr>
        <w:t xml:space="preserve">Se cuenta con manuales de procedimientos, lineamientos de racionalidad, austeridad y disciplina presupuestal interno, Lineamientos de adquisiciones, arrendamientos, servicio y obra publica del Consejo de la Judicatura del Poder Judicial del Estado de Tlaxcala, Lineamientos para el pago de Servicios Médicos del mismo Ente. Así como la normatividad vigente para los registros contables emitidos por la CONAC.  </w:t>
      </w:r>
    </w:p>
    <w:p w:rsidR="000B32EB" w:rsidRPr="00B94587" w:rsidRDefault="000B32EB" w:rsidP="000B32EB">
      <w:pPr>
        <w:rPr>
          <w:rFonts w:ascii="Arial Narrow" w:hAnsi="Arial Narrow"/>
        </w:rPr>
      </w:pPr>
      <w:r w:rsidRPr="00B94587">
        <w:rPr>
          <w:rFonts w:ascii="Arial Narrow" w:hAnsi="Arial Narrow"/>
        </w:rPr>
        <w:t>b) Medidas de desempeño financiero, metas y alcance.</w:t>
      </w:r>
    </w:p>
    <w:p w:rsidR="000B32EB" w:rsidRPr="00B94587" w:rsidRDefault="000B32EB" w:rsidP="000B32EB">
      <w:pPr>
        <w:rPr>
          <w:rFonts w:ascii="Arial Narrow" w:hAnsi="Arial Narrow"/>
        </w:rPr>
      </w:pPr>
      <w:r w:rsidRPr="00B94587">
        <w:rPr>
          <w:rFonts w:ascii="Arial Narrow" w:hAnsi="Arial Narrow"/>
        </w:rPr>
        <w:t>Se llevan a cabo un estudio de actividades por área administrativa a fin de evaluar el desempeño de acuerdo a lo Programado y Presupuestado (</w:t>
      </w:r>
      <w:proofErr w:type="spellStart"/>
      <w:r w:rsidRPr="00B94587">
        <w:rPr>
          <w:rFonts w:ascii="Arial Narrow" w:hAnsi="Arial Narrow"/>
        </w:rPr>
        <w:t>PbR</w:t>
      </w:r>
      <w:proofErr w:type="spellEnd"/>
      <w:r w:rsidRPr="00B94587">
        <w:rPr>
          <w:rFonts w:ascii="Arial Narrow" w:hAnsi="Arial Narrow"/>
        </w:rPr>
        <w:t>) del ejercicio 2015.</w:t>
      </w:r>
    </w:p>
    <w:p w:rsidR="000B32EB" w:rsidRPr="000B32EB" w:rsidRDefault="000B32EB" w:rsidP="000B32EB">
      <w:pPr>
        <w:rPr>
          <w:rFonts w:ascii="Arial Narrow" w:hAnsi="Arial Narrow"/>
          <w:b/>
          <w:u w:val="single"/>
        </w:rPr>
      </w:pPr>
      <w:r w:rsidRPr="000B32EB">
        <w:rPr>
          <w:rFonts w:ascii="Arial Narrow" w:hAnsi="Arial Narrow"/>
          <w:b/>
          <w:u w:val="single"/>
        </w:rPr>
        <w:lastRenderedPageBreak/>
        <w:t>14. Información por segmentos.</w:t>
      </w:r>
    </w:p>
    <w:p w:rsidR="000B32EB" w:rsidRPr="00B94587" w:rsidRDefault="000B32EB" w:rsidP="000B32EB">
      <w:pPr>
        <w:jc w:val="both"/>
        <w:rPr>
          <w:rFonts w:ascii="Arial Narrow" w:hAnsi="Arial Narrow"/>
        </w:rPr>
      </w:pPr>
      <w:r w:rsidRPr="00B94587">
        <w:rPr>
          <w:rFonts w:ascii="Arial Narrow" w:hAnsi="Arial Narrow"/>
        </w:rPr>
        <w:t>Los resultados del segmento que son informados al Presidente del poder Judicial (máxima autoridad en la toma de decisiones de operación; incluyen las partidas directamente atribuibles a un segmento, así como también aquellos que pueden ser asignados a los activos y pasivos por impuestos.</w:t>
      </w:r>
    </w:p>
    <w:p w:rsidR="000B32EB" w:rsidRPr="000B32EB" w:rsidRDefault="000B32EB" w:rsidP="000B32EB">
      <w:pPr>
        <w:rPr>
          <w:rFonts w:ascii="Arial Narrow" w:hAnsi="Arial Narrow"/>
          <w:b/>
          <w:u w:val="single"/>
        </w:rPr>
      </w:pPr>
      <w:r w:rsidRPr="000B32EB">
        <w:rPr>
          <w:rFonts w:ascii="Arial Narrow" w:hAnsi="Arial Narrow"/>
          <w:b/>
          <w:u w:val="single"/>
        </w:rPr>
        <w:t>15. Eventos posteriores al cierre.</w:t>
      </w:r>
    </w:p>
    <w:p w:rsidR="000B32EB" w:rsidRPr="00B94587" w:rsidRDefault="000B32EB" w:rsidP="000B32EB">
      <w:pPr>
        <w:jc w:val="both"/>
        <w:rPr>
          <w:rFonts w:ascii="Arial Narrow" w:hAnsi="Arial Narrow"/>
        </w:rPr>
      </w:pPr>
      <w:r w:rsidRPr="00B94587">
        <w:rPr>
          <w:rFonts w:ascii="Arial Narrow" w:hAnsi="Arial Narrow"/>
        </w:rPr>
        <w:t>Los desembolsos posteriores son capitalizados sólo cuando aumentan los beneficios económicos futuros incorporados en el activo específico relacionado con dichos desembolsos. Todos los otros desembolsos, son reconocidos en resultados cuando se incurren.</w:t>
      </w:r>
    </w:p>
    <w:p w:rsidR="000B32EB" w:rsidRPr="000B32EB" w:rsidRDefault="000B32EB" w:rsidP="000B32EB">
      <w:pPr>
        <w:rPr>
          <w:rFonts w:ascii="Arial Narrow" w:hAnsi="Arial Narrow"/>
          <w:b/>
          <w:u w:val="single"/>
        </w:rPr>
      </w:pPr>
      <w:r w:rsidRPr="000B32EB">
        <w:rPr>
          <w:rFonts w:ascii="Arial Narrow" w:hAnsi="Arial Narrow"/>
          <w:b/>
          <w:u w:val="single"/>
        </w:rPr>
        <w:t>16. Partes Relacionadas.</w:t>
      </w:r>
    </w:p>
    <w:p w:rsidR="000B32EB" w:rsidRPr="00B94587" w:rsidRDefault="000B32EB" w:rsidP="000B32EB">
      <w:pPr>
        <w:jc w:val="both"/>
        <w:rPr>
          <w:rFonts w:ascii="Arial Narrow" w:hAnsi="Arial Narrow"/>
        </w:rPr>
      </w:pPr>
      <w:r w:rsidRPr="00B94587">
        <w:rPr>
          <w:rFonts w:ascii="Arial Narrow" w:hAnsi="Arial Narrow"/>
        </w:rPr>
        <w:t>No existen partes relacionadas que pudieran ejercer influencia significativa sobre la toma de decisiones financieras y operativas.</w:t>
      </w:r>
    </w:p>
    <w:p w:rsidR="000B32EB" w:rsidRPr="00B94587" w:rsidRDefault="000B32EB" w:rsidP="000B32EB">
      <w:pPr>
        <w:rPr>
          <w:rFonts w:ascii="Arial Narrow" w:hAnsi="Arial Narrow"/>
        </w:rPr>
      </w:pPr>
    </w:p>
    <w:p w:rsidR="000B32EB" w:rsidRPr="000B32EB" w:rsidRDefault="000B32EB" w:rsidP="000B32EB">
      <w:pPr>
        <w:rPr>
          <w:rFonts w:ascii="Arial Narrow" w:hAnsi="Arial Narrow"/>
          <w:b/>
          <w:u w:val="single"/>
        </w:rPr>
      </w:pPr>
      <w:r w:rsidRPr="000B32EB">
        <w:rPr>
          <w:rFonts w:ascii="Arial Narrow" w:hAnsi="Arial Narrow"/>
          <w:b/>
          <w:u w:val="single"/>
        </w:rPr>
        <w:t>17. Responsabilidad sobre la presentación Razonable de la información contable.</w:t>
      </w:r>
    </w:p>
    <w:p w:rsidR="000B32EB" w:rsidRPr="00B94587" w:rsidRDefault="000B32EB" w:rsidP="000B32EB">
      <w:pPr>
        <w:rPr>
          <w:rFonts w:ascii="Arial Narrow" w:hAnsi="Arial Narrow"/>
        </w:rPr>
      </w:pPr>
    </w:p>
    <w:p w:rsidR="000B32EB" w:rsidRPr="00980327" w:rsidRDefault="00D076FB" w:rsidP="000B32EB">
      <w:pPr>
        <w:spacing w:after="0" w:line="240" w:lineRule="auto"/>
        <w:rPr>
          <w:rFonts w:ascii="Arial Narrow" w:hAnsi="Arial Narrow"/>
          <w:b/>
        </w:rPr>
      </w:pPr>
      <w:r>
        <w:rPr>
          <w:rFonts w:ascii="Soberana Sans Light" w:hAnsi="Soberana Sans Light"/>
          <w:noProof/>
          <w:sz w:val="18"/>
          <w:szCs w:val="20"/>
          <w:lang w:val="es-ES" w:eastAsia="es-ES"/>
        </w:rPr>
        <w:pict>
          <v:shape id="_x0000_s1038" type="#_x0000_t75" style="position:absolute;margin-left:2.35pt;margin-top:5.45pt;width:556.15pt;height:131.5pt;z-index:251662336;mso-position-horizontal-relative:text;mso-position-vertical-relative:text;mso-width-relative:page;mso-height-relative:page">
            <v:imagedata r:id="rId25" o:title=""/>
            <w10:wrap type="topAndBottom"/>
          </v:shape>
          <o:OLEObject Type="Embed" ProgID="Excel.Sheet.12" ShapeID="_x0000_s1038" DrawAspect="Content" ObjectID="_1499238957" r:id="rId26"/>
        </w:pict>
      </w:r>
      <w:r w:rsidR="000B32EB" w:rsidRPr="00980327">
        <w:rPr>
          <w:rFonts w:ascii="Arial Narrow" w:hAnsi="Arial Narrow"/>
          <w:b/>
        </w:rPr>
        <w:t xml:space="preserve">     </w:t>
      </w:r>
      <w:bookmarkStart w:id="7" w:name="_GoBack"/>
      <w:bookmarkEnd w:id="7"/>
    </w:p>
    <w:sectPr w:rsidR="000B32EB" w:rsidRPr="00980327" w:rsidSect="008E3652">
      <w:headerReference w:type="even" r:id="rId27"/>
      <w:headerReference w:type="default" r:id="rId28"/>
      <w:footerReference w:type="even" r:id="rId29"/>
      <w:footerReference w:type="default" r:id="rId30"/>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2EB" w:rsidRDefault="000B32EB" w:rsidP="00EA5418">
      <w:pPr>
        <w:spacing w:after="0" w:line="240" w:lineRule="auto"/>
      </w:pPr>
      <w:r>
        <w:separator/>
      </w:r>
    </w:p>
  </w:endnote>
  <w:endnote w:type="continuationSeparator" w:id="0">
    <w:p w:rsidR="000B32EB" w:rsidRDefault="000B32E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0" w:usb1="00000000" w:usb2="00000000"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B" w:rsidRPr="0013011C" w:rsidRDefault="00D076FB"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B32EB"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15198C" w:rsidRPr="0013011C">
          <w:rPr>
            <w:rFonts w:ascii="Soberana Sans Light" w:hAnsi="Soberana Sans Light"/>
          </w:rPr>
          <w:fldChar w:fldCharType="begin"/>
        </w:r>
        <w:r w:rsidR="000B32EB" w:rsidRPr="0013011C">
          <w:rPr>
            <w:rFonts w:ascii="Soberana Sans Light" w:hAnsi="Soberana Sans Light"/>
          </w:rPr>
          <w:instrText>PAGE   \* MERGEFORMAT</w:instrText>
        </w:r>
        <w:r w:rsidR="0015198C" w:rsidRPr="0013011C">
          <w:rPr>
            <w:rFonts w:ascii="Soberana Sans Light" w:hAnsi="Soberana Sans Light"/>
          </w:rPr>
          <w:fldChar w:fldCharType="separate"/>
        </w:r>
        <w:r w:rsidRPr="00D076FB">
          <w:rPr>
            <w:rFonts w:ascii="Soberana Sans Light" w:hAnsi="Soberana Sans Light"/>
            <w:noProof/>
            <w:lang w:val="es-ES"/>
          </w:rPr>
          <w:t>24</w:t>
        </w:r>
        <w:r w:rsidR="0015198C" w:rsidRPr="0013011C">
          <w:rPr>
            <w:rFonts w:ascii="Soberana Sans Light" w:hAnsi="Soberana Sans Light"/>
          </w:rPr>
          <w:fldChar w:fldCharType="end"/>
        </w:r>
      </w:sdtContent>
    </w:sdt>
  </w:p>
  <w:p w:rsidR="000B32EB" w:rsidRDefault="000B32E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B" w:rsidRPr="008E3652" w:rsidRDefault="00D076FB"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0B32EB" w:rsidRPr="008E3652">
          <w:rPr>
            <w:rFonts w:ascii="Soberana Sans Light" w:hAnsi="Soberana Sans Light"/>
          </w:rPr>
          <w:t xml:space="preserve">Contable / </w:t>
        </w:r>
        <w:r w:rsidR="0015198C" w:rsidRPr="008E3652">
          <w:rPr>
            <w:rFonts w:ascii="Soberana Sans Light" w:hAnsi="Soberana Sans Light"/>
          </w:rPr>
          <w:fldChar w:fldCharType="begin"/>
        </w:r>
        <w:r w:rsidR="000B32EB" w:rsidRPr="008E3652">
          <w:rPr>
            <w:rFonts w:ascii="Soberana Sans Light" w:hAnsi="Soberana Sans Light"/>
          </w:rPr>
          <w:instrText>PAGE   \* MERGEFORMAT</w:instrText>
        </w:r>
        <w:r w:rsidR="0015198C" w:rsidRPr="008E3652">
          <w:rPr>
            <w:rFonts w:ascii="Soberana Sans Light" w:hAnsi="Soberana Sans Light"/>
          </w:rPr>
          <w:fldChar w:fldCharType="separate"/>
        </w:r>
        <w:r w:rsidRPr="00D076FB">
          <w:rPr>
            <w:rFonts w:ascii="Soberana Sans Light" w:hAnsi="Soberana Sans Light"/>
            <w:noProof/>
            <w:lang w:val="es-ES"/>
          </w:rPr>
          <w:t>25</w:t>
        </w:r>
        <w:r w:rsidR="0015198C"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2EB" w:rsidRDefault="000B32EB" w:rsidP="00EA5418">
      <w:pPr>
        <w:spacing w:after="0" w:line="240" w:lineRule="auto"/>
      </w:pPr>
      <w:r>
        <w:separator/>
      </w:r>
    </w:p>
  </w:footnote>
  <w:footnote w:type="continuationSeparator" w:id="0">
    <w:p w:rsidR="000B32EB" w:rsidRDefault="000B32E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B" w:rsidRDefault="00D076FB" w:rsidP="000B32EB">
    <w:pPr>
      <w:pStyle w:val="Encabezado"/>
      <w:jc w:val="center"/>
      <w:rPr>
        <w:rFonts w:ascii="Soberana Sans Light" w:hAnsi="Soberana Sans Light"/>
      </w:rPr>
    </w:pPr>
    <w:r>
      <w:rPr>
        <w:rFonts w:ascii="Soberana Sans Light" w:hAnsi="Soberana Sans Light"/>
        <w:noProof/>
        <w:lang w:eastAsia="es-MX"/>
      </w:rPr>
      <w:pict>
        <v:line id="_x0000_s4107" style="position:absolute;left:0;text-align:lef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0B32EB">
      <w:rPr>
        <w:rFonts w:ascii="Soberana Sans Light" w:hAnsi="Soberana Sans Light"/>
      </w:rPr>
      <w:t xml:space="preserve">PODER  JUDICIAL </w:t>
    </w:r>
  </w:p>
  <w:p w:rsidR="000B32EB" w:rsidRDefault="000B32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B" w:rsidRDefault="00D076FB"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0B32EB">
      <w:rPr>
        <w:rFonts w:ascii="Soberana Sans Light" w:hAnsi="Soberana Sans Light"/>
      </w:rPr>
      <w:t xml:space="preserve">PODER  JUDICIAL </w:t>
    </w:r>
  </w:p>
  <w:p w:rsidR="000B32EB" w:rsidRPr="0013011C" w:rsidRDefault="000B32EB"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EC53FAB"/>
    <w:multiLevelType w:val="hybridMultilevel"/>
    <w:tmpl w:val="357E869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A3219C6"/>
    <w:multiLevelType w:val="hybridMultilevel"/>
    <w:tmpl w:val="1CDEDA68"/>
    <w:lvl w:ilvl="0" w:tplc="906C141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DD766D8"/>
    <w:multiLevelType w:val="hybridMultilevel"/>
    <w:tmpl w:val="C82CC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6A6F7B"/>
    <w:multiLevelType w:val="hybridMultilevel"/>
    <w:tmpl w:val="233C2BAE"/>
    <w:lvl w:ilvl="0" w:tplc="20887DF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FE213D"/>
    <w:multiLevelType w:val="hybridMultilevel"/>
    <w:tmpl w:val="C4C8CE86"/>
    <w:lvl w:ilvl="0" w:tplc="69C883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6B44846"/>
    <w:multiLevelType w:val="hybridMultilevel"/>
    <w:tmpl w:val="AE9E6818"/>
    <w:lvl w:ilvl="0" w:tplc="0052AE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377B1785"/>
    <w:multiLevelType w:val="hybridMultilevel"/>
    <w:tmpl w:val="919EE128"/>
    <w:lvl w:ilvl="0" w:tplc="22989D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3A8C544D"/>
    <w:multiLevelType w:val="hybridMultilevel"/>
    <w:tmpl w:val="1E669FB2"/>
    <w:lvl w:ilvl="0" w:tplc="E3FE1DD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B9A52C8"/>
    <w:multiLevelType w:val="hybridMultilevel"/>
    <w:tmpl w:val="FCCA7A6A"/>
    <w:lvl w:ilvl="0" w:tplc="F4B4244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6254C56"/>
    <w:multiLevelType w:val="hybridMultilevel"/>
    <w:tmpl w:val="005652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DA62C4F"/>
    <w:multiLevelType w:val="hybridMultilevel"/>
    <w:tmpl w:val="86AE3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87D0978"/>
    <w:multiLevelType w:val="hybridMultilevel"/>
    <w:tmpl w:val="6764C334"/>
    <w:lvl w:ilvl="0" w:tplc="D3923B10">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EC4B3C"/>
    <w:multiLevelType w:val="hybridMultilevel"/>
    <w:tmpl w:val="1792C4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2"/>
  </w:num>
  <w:num w:numId="4">
    <w:abstractNumId w:val="9"/>
  </w:num>
  <w:num w:numId="5">
    <w:abstractNumId w:val="6"/>
  </w:num>
  <w:num w:numId="6">
    <w:abstractNumId w:val="16"/>
  </w:num>
  <w:num w:numId="7">
    <w:abstractNumId w:val="10"/>
  </w:num>
  <w:num w:numId="8">
    <w:abstractNumId w:val="11"/>
  </w:num>
  <w:num w:numId="9">
    <w:abstractNumId w:val="5"/>
  </w:num>
  <w:num w:numId="10">
    <w:abstractNumId w:val="19"/>
  </w:num>
  <w:num w:numId="11">
    <w:abstractNumId w:val="14"/>
  </w:num>
  <w:num w:numId="12">
    <w:abstractNumId w:val="17"/>
  </w:num>
  <w:num w:numId="13">
    <w:abstractNumId w:val="1"/>
  </w:num>
  <w:num w:numId="14">
    <w:abstractNumId w:val="3"/>
  </w:num>
  <w:num w:numId="15">
    <w:abstractNumId w:val="20"/>
  </w:num>
  <w:num w:numId="16">
    <w:abstractNumId w:val="4"/>
  </w:num>
  <w:num w:numId="17">
    <w:abstractNumId w:val="8"/>
  </w:num>
  <w:num w:numId="18">
    <w:abstractNumId w:val="13"/>
  </w:num>
  <w:num w:numId="19">
    <w:abstractNumId w:val="7"/>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4108"/>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40466"/>
    <w:rsid w:val="00045A10"/>
    <w:rsid w:val="000974D0"/>
    <w:rsid w:val="000A48EB"/>
    <w:rsid w:val="000B32EB"/>
    <w:rsid w:val="000C0AB9"/>
    <w:rsid w:val="000E4AE0"/>
    <w:rsid w:val="0013011C"/>
    <w:rsid w:val="00132314"/>
    <w:rsid w:val="00136556"/>
    <w:rsid w:val="0015198C"/>
    <w:rsid w:val="00165BB4"/>
    <w:rsid w:val="001B1B72"/>
    <w:rsid w:val="001C6FD8"/>
    <w:rsid w:val="001E7072"/>
    <w:rsid w:val="001F6FA1"/>
    <w:rsid w:val="00204C86"/>
    <w:rsid w:val="00210173"/>
    <w:rsid w:val="002431E5"/>
    <w:rsid w:val="00251B24"/>
    <w:rsid w:val="00264426"/>
    <w:rsid w:val="002843B4"/>
    <w:rsid w:val="002A70B3"/>
    <w:rsid w:val="00370B12"/>
    <w:rsid w:val="00372F40"/>
    <w:rsid w:val="00396C2B"/>
    <w:rsid w:val="003A0303"/>
    <w:rsid w:val="003D5DBF"/>
    <w:rsid w:val="003E7FD0"/>
    <w:rsid w:val="003F0EA4"/>
    <w:rsid w:val="004208AB"/>
    <w:rsid w:val="004311BE"/>
    <w:rsid w:val="0044253C"/>
    <w:rsid w:val="00454C7E"/>
    <w:rsid w:val="004714CF"/>
    <w:rsid w:val="00484C0D"/>
    <w:rsid w:val="00497D8B"/>
    <w:rsid w:val="004B285C"/>
    <w:rsid w:val="004D31F8"/>
    <w:rsid w:val="004D41B8"/>
    <w:rsid w:val="004F5641"/>
    <w:rsid w:val="00522632"/>
    <w:rsid w:val="00522EF3"/>
    <w:rsid w:val="00540418"/>
    <w:rsid w:val="00561B68"/>
    <w:rsid w:val="00574266"/>
    <w:rsid w:val="005C3CF0"/>
    <w:rsid w:val="005D3D25"/>
    <w:rsid w:val="006545D8"/>
    <w:rsid w:val="006A34EC"/>
    <w:rsid w:val="006B1FE7"/>
    <w:rsid w:val="006E77DD"/>
    <w:rsid w:val="006F102E"/>
    <w:rsid w:val="00701F5D"/>
    <w:rsid w:val="00760F7B"/>
    <w:rsid w:val="0079582C"/>
    <w:rsid w:val="007D5C16"/>
    <w:rsid w:val="007D6E9A"/>
    <w:rsid w:val="00811DAC"/>
    <w:rsid w:val="0089054E"/>
    <w:rsid w:val="008A6E4D"/>
    <w:rsid w:val="008A793D"/>
    <w:rsid w:val="008B0017"/>
    <w:rsid w:val="008E3652"/>
    <w:rsid w:val="008F6D58"/>
    <w:rsid w:val="009133B3"/>
    <w:rsid w:val="0093492C"/>
    <w:rsid w:val="009462BF"/>
    <w:rsid w:val="009561AC"/>
    <w:rsid w:val="00957043"/>
    <w:rsid w:val="00997BE4"/>
    <w:rsid w:val="009D5D4C"/>
    <w:rsid w:val="009F23C4"/>
    <w:rsid w:val="009F5A90"/>
    <w:rsid w:val="00A07656"/>
    <w:rsid w:val="00A363B6"/>
    <w:rsid w:val="00A46BF5"/>
    <w:rsid w:val="00AC23A2"/>
    <w:rsid w:val="00AE6D64"/>
    <w:rsid w:val="00B146E2"/>
    <w:rsid w:val="00B849EE"/>
    <w:rsid w:val="00B84D02"/>
    <w:rsid w:val="00BA2940"/>
    <w:rsid w:val="00BC2997"/>
    <w:rsid w:val="00C16E53"/>
    <w:rsid w:val="00C431B4"/>
    <w:rsid w:val="00C86C59"/>
    <w:rsid w:val="00C91C5A"/>
    <w:rsid w:val="00CD6D9A"/>
    <w:rsid w:val="00CE2C72"/>
    <w:rsid w:val="00D00E92"/>
    <w:rsid w:val="00D055EC"/>
    <w:rsid w:val="00D076FB"/>
    <w:rsid w:val="00D44728"/>
    <w:rsid w:val="00D562FF"/>
    <w:rsid w:val="00D61394"/>
    <w:rsid w:val="00DA4E31"/>
    <w:rsid w:val="00DF56C9"/>
    <w:rsid w:val="00E13A11"/>
    <w:rsid w:val="00E30318"/>
    <w:rsid w:val="00E32708"/>
    <w:rsid w:val="00EA5418"/>
    <w:rsid w:val="00EE46FB"/>
    <w:rsid w:val="00EF718C"/>
    <w:rsid w:val="00F17C0D"/>
    <w:rsid w:val="00F755D0"/>
    <w:rsid w:val="00FA2F81"/>
    <w:rsid w:val="00FB1010"/>
    <w:rsid w:val="00FD5A63"/>
    <w:rsid w:val="00FF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0B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2EB"/>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B32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media1-nfasis1">
    <w:name w:val="Medium Grid 1 Accent 1"/>
    <w:basedOn w:val="Tablanormal"/>
    <w:uiPriority w:val="67"/>
    <w:rsid w:val="000B32E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edia2-nfasis1">
    <w:name w:val="Medium List 2 Accent 1"/>
    <w:basedOn w:val="Tablanormal"/>
    <w:uiPriority w:val="66"/>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1">
    <w:name w:val="Medium Grid 2 Accent 1"/>
    <w:basedOn w:val="Tablanormal"/>
    <w:uiPriority w:val="68"/>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701F5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8.xls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jpeg"/><Relationship Id="rId28" Type="http://schemas.openxmlformats.org/officeDocument/2006/relationships/header" Target="header2.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CB6E1-D488-4A14-8F80-2CA5C195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4413</Words>
  <Characters>24273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H.TRIBUNAL</cp:lastModifiedBy>
  <cp:revision>11</cp:revision>
  <cp:lastPrinted>2015-07-24T15:27:00Z</cp:lastPrinted>
  <dcterms:created xsi:type="dcterms:W3CDTF">2015-07-24T00:54:00Z</dcterms:created>
  <dcterms:modified xsi:type="dcterms:W3CDTF">2015-07-24T15:29:00Z</dcterms:modified>
</cp:coreProperties>
</file>