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E0776C"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4pt" o:ole="">
            <v:imagedata r:id="rId8" o:title=""/>
          </v:shape>
          <o:OLEObject Type="Embed" ProgID="Excel.Sheet.12" ShapeID="_x0000_i1025" DrawAspect="Content" ObjectID="_1498664388" r:id="rId9"/>
        </w:object>
      </w:r>
    </w:p>
    <w:p w:rsidR="00EA5418" w:rsidRDefault="00EA5418" w:rsidP="00372F40">
      <w:pPr>
        <w:jc w:val="center"/>
      </w:pPr>
    </w:p>
    <w:bookmarkStart w:id="0" w:name="_MON_1470805999"/>
    <w:bookmarkEnd w:id="0"/>
    <w:p w:rsidR="00EA5418" w:rsidRDefault="006A23BA" w:rsidP="0044253C">
      <w:pPr>
        <w:jc w:val="center"/>
      </w:pPr>
      <w:r>
        <w:object w:dxaOrig="25153" w:dyaOrig="18931">
          <v:shape id="_x0000_i1026" type="#_x0000_t75" style="width:585.1pt;height:439.3pt" o:ole="">
            <v:imagedata r:id="rId10" o:title=""/>
          </v:shape>
          <o:OLEObject Type="Embed" ProgID="Excel.Sheet.12" ShapeID="_x0000_i1026" DrawAspect="Content" ObjectID="_1498664389" r:id="rId11"/>
        </w:object>
      </w:r>
    </w:p>
    <w:p w:rsidR="00372F40" w:rsidRDefault="001601BE" w:rsidP="00C376EB">
      <w:r>
        <w:rPr>
          <w:noProof/>
        </w:rPr>
        <w:lastRenderedPageBreak/>
        <w:object w:dxaOrig="1440" w:dyaOrig="1440">
          <v:shape id="_x0000_s1062" type="#_x0000_t75" style="position:absolute;margin-left:-30.8pt;margin-top:6.75pt;width:784.55pt;height:363.5pt;z-index:251667456">
            <v:imagedata r:id="rId12" o:title=""/>
            <w10:wrap type="square" side="right"/>
          </v:shape>
          <o:OLEObject Type="Embed" ProgID="Excel.Sheet.12" ShapeID="_x0000_s1062" DrawAspect="Content" ObjectID="_1498664394" r:id="rId13"/>
        </w:object>
      </w:r>
    </w:p>
    <w:bookmarkStart w:id="1" w:name="_MON_1470807348"/>
    <w:bookmarkEnd w:id="1"/>
    <w:p w:rsidR="00372F40" w:rsidRDefault="0043110B" w:rsidP="008E3652">
      <w:pPr>
        <w:jc w:val="center"/>
      </w:pPr>
      <w:r>
        <w:object w:dxaOrig="17711" w:dyaOrig="12404">
          <v:shape id="_x0000_i1027" type="#_x0000_t75" style="width:644.35pt;height:451.15pt" o:ole="">
            <v:imagedata r:id="rId14" o:title=""/>
          </v:shape>
          <o:OLEObject Type="Embed" ProgID="Excel.Sheet.12" ShapeID="_x0000_i1027" DrawAspect="Content" ObjectID="_1498664390" r:id="rId15"/>
        </w:object>
      </w:r>
    </w:p>
    <w:bookmarkStart w:id="2" w:name="_MON_1470809138"/>
    <w:bookmarkEnd w:id="2"/>
    <w:p w:rsidR="00372F40" w:rsidRDefault="00E0776C" w:rsidP="00522632">
      <w:pPr>
        <w:jc w:val="center"/>
      </w:pPr>
      <w:r>
        <w:object w:dxaOrig="17805" w:dyaOrig="12251">
          <v:shape id="_x0000_i1028" type="#_x0000_t75" style="width:632.5pt;height:433.8pt" o:ole="">
            <v:imagedata r:id="rId16" o:title=""/>
          </v:shape>
          <o:OLEObject Type="Embed" ProgID="Excel.Sheet.12" ShapeID="_x0000_i1028" DrawAspect="Content" ObjectID="_1498664391" r:id="rId17"/>
        </w:object>
      </w:r>
    </w:p>
    <w:p w:rsidR="00372F40" w:rsidRDefault="00372F40" w:rsidP="002A70B3">
      <w:pPr>
        <w:tabs>
          <w:tab w:val="left" w:pos="2430"/>
        </w:tabs>
      </w:pPr>
    </w:p>
    <w:bookmarkStart w:id="3" w:name="_MON_1470814596"/>
    <w:bookmarkEnd w:id="3"/>
    <w:p w:rsidR="00E32708" w:rsidRDefault="0043110B" w:rsidP="00E32708">
      <w:pPr>
        <w:tabs>
          <w:tab w:val="left" w:pos="2430"/>
        </w:tabs>
        <w:jc w:val="center"/>
      </w:pPr>
      <w:r>
        <w:object w:dxaOrig="18229" w:dyaOrig="11655">
          <v:shape id="_x0000_i1029" type="#_x0000_t75" style="width:635.25pt;height:405.55pt" o:ole="">
            <v:imagedata r:id="rId18" o:title=""/>
          </v:shape>
          <o:OLEObject Type="Embed" ProgID="Excel.Sheet.12" ShapeID="_x0000_i1029" DrawAspect="Content" ObjectID="_1498664392" r:id="rId19"/>
        </w:object>
      </w:r>
    </w:p>
    <w:bookmarkStart w:id="4" w:name="_MON_1470810366"/>
    <w:bookmarkEnd w:id="4"/>
    <w:p w:rsidR="00E32708" w:rsidRDefault="00B765BC" w:rsidP="00E32708">
      <w:pPr>
        <w:tabs>
          <w:tab w:val="left" w:pos="2430"/>
        </w:tabs>
        <w:jc w:val="center"/>
      </w:pPr>
      <w:r>
        <w:object w:dxaOrig="25922" w:dyaOrig="16771">
          <v:shape id="_x0000_i1030" type="#_x0000_t75" style="width:690.85pt;height:447.5pt" o:ole="">
            <v:imagedata r:id="rId20" o:title=""/>
          </v:shape>
          <o:OLEObject Type="Embed" ProgID="Excel.Sheet.12" ShapeID="_x0000_i1030" DrawAspect="Content" ObjectID="_1498664393"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E20BAD" w:rsidP="0079582C">
      <w:pPr>
        <w:jc w:val="center"/>
        <w:rPr>
          <w:rFonts w:ascii="Soberana Sans Light" w:hAnsi="Soberana Sans Light"/>
        </w:rPr>
      </w:pPr>
      <w:r>
        <w:rPr>
          <w:rFonts w:ascii="Soberana Sans Light" w:hAnsi="Soberana Sans Light"/>
        </w:rPr>
        <w:t>No aplica</w:t>
      </w:r>
    </w:p>
    <w:p w:rsidR="00540418" w:rsidRDefault="001601BE">
      <w:pPr>
        <w:rPr>
          <w:rFonts w:ascii="Soberana Sans Light" w:hAnsi="Soberana Sans Light"/>
        </w:rPr>
      </w:pPr>
      <w:r>
        <w:rPr>
          <w:rFonts w:ascii="Arial" w:hAnsi="Arial" w:cs="Arial"/>
          <w:noProof/>
          <w:sz w:val="18"/>
          <w:szCs w:val="18"/>
          <w:lang w:eastAsia="es-MX"/>
        </w:rPr>
        <w:object w:dxaOrig="1440" w:dyaOrig="1440">
          <v:shape id="_x0000_s1054" type="#_x0000_t75" style="position:absolute;margin-left:15.75pt;margin-top:197.9pt;width:699.55pt;height:84.25pt;z-index:251665408">
            <v:imagedata r:id="rId22" o:title=""/>
            <w10:wrap type="topAndBottom"/>
          </v:shape>
          <o:OLEObject Type="Embed" ProgID="Excel.Sheet.12" ShapeID="_x0000_s1054" DrawAspect="Content" ObjectID="_1498664395" r:id="rId23"/>
        </w:object>
      </w:r>
      <w:r w:rsidR="00540418">
        <w:rPr>
          <w:rFonts w:ascii="Soberana Sans Light" w:hAnsi="Soberana Sans Light"/>
        </w:rPr>
        <w:br w:type="page"/>
      </w:r>
    </w:p>
    <w:p w:rsidR="009E10C2" w:rsidRDefault="009E10C2" w:rsidP="009E10C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9E10C2" w:rsidRDefault="009E10C2" w:rsidP="009E10C2">
      <w:pPr>
        <w:pStyle w:val="Texto"/>
        <w:spacing w:after="0" w:line="240" w:lineRule="exact"/>
        <w:jc w:val="center"/>
        <w:rPr>
          <w:rFonts w:ascii="Soberana Sans Light" w:hAnsi="Soberana Sans Light"/>
          <w:b/>
          <w:sz w:val="22"/>
          <w:szCs w:val="22"/>
        </w:rPr>
      </w:pPr>
    </w:p>
    <w:p w:rsidR="009E10C2" w:rsidRDefault="009E10C2" w:rsidP="009E10C2">
      <w:pPr>
        <w:pStyle w:val="Texto"/>
        <w:spacing w:after="0" w:line="240" w:lineRule="exact"/>
        <w:jc w:val="center"/>
        <w:rPr>
          <w:rFonts w:ascii="Soberana Sans Light" w:hAnsi="Soberana Sans Light"/>
          <w:b/>
          <w:sz w:val="22"/>
          <w:szCs w:val="22"/>
        </w:rPr>
      </w:pPr>
    </w:p>
    <w:p w:rsidR="009E10C2" w:rsidRPr="00540418" w:rsidRDefault="009E10C2" w:rsidP="009E10C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E10C2" w:rsidRPr="00540418" w:rsidRDefault="009E10C2" w:rsidP="009E10C2">
      <w:pPr>
        <w:pStyle w:val="Texto"/>
        <w:spacing w:after="0" w:line="240" w:lineRule="exact"/>
        <w:rPr>
          <w:rFonts w:ascii="Soberana Sans Light" w:hAnsi="Soberana Sans Light"/>
          <w:sz w:val="22"/>
          <w:szCs w:val="22"/>
          <w:lang w:val="es-MX"/>
        </w:rPr>
      </w:pPr>
    </w:p>
    <w:p w:rsidR="009E10C2" w:rsidRPr="00540418" w:rsidRDefault="009E10C2" w:rsidP="009E10C2">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9E10C2" w:rsidRPr="00540418" w:rsidRDefault="009E10C2" w:rsidP="009E10C2">
      <w:pPr>
        <w:pStyle w:val="Texto"/>
        <w:spacing w:after="0" w:line="240" w:lineRule="exact"/>
        <w:rPr>
          <w:rFonts w:ascii="Soberana Sans Light" w:hAnsi="Soberana Sans Light"/>
          <w:b/>
          <w:sz w:val="22"/>
          <w:szCs w:val="22"/>
          <w:lang w:val="es-MX"/>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E10C2" w:rsidRPr="00540418" w:rsidRDefault="009E10C2" w:rsidP="009E10C2">
      <w:pPr>
        <w:pStyle w:val="Texto"/>
        <w:spacing w:after="0" w:line="240" w:lineRule="exact"/>
        <w:rPr>
          <w:rFonts w:ascii="Soberana Sans Light" w:hAnsi="Soberana Sans Light"/>
          <w:b/>
          <w:sz w:val="22"/>
          <w:szCs w:val="22"/>
          <w:lang w:val="es-MX"/>
        </w:rPr>
      </w:pPr>
    </w:p>
    <w:p w:rsidR="009E10C2" w:rsidRPr="00540418" w:rsidRDefault="009E10C2" w:rsidP="009E10C2">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9E10C2" w:rsidRDefault="009E10C2" w:rsidP="009E10C2">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La Universidad Tecnológica de Tlaxcala para su operación tiene las siguientes cuentas bancarias:</w:t>
      </w:r>
    </w:p>
    <w:p w:rsidR="009E10C2" w:rsidRDefault="009E10C2" w:rsidP="009E10C2">
      <w:pPr>
        <w:pStyle w:val="ROMANOS"/>
        <w:spacing w:after="0" w:line="240" w:lineRule="exact"/>
        <w:ind w:left="723" w:firstLine="0"/>
        <w:rPr>
          <w:rFonts w:ascii="Soberana Sans Light" w:hAnsi="Soberana Sans Light"/>
          <w:sz w:val="22"/>
          <w:szCs w:val="22"/>
          <w:lang w:val="es-MX"/>
        </w:rPr>
      </w:pPr>
    </w:p>
    <w:tbl>
      <w:tblPr>
        <w:tblW w:w="17214" w:type="dxa"/>
        <w:tblInd w:w="70" w:type="dxa"/>
        <w:tblCellMar>
          <w:left w:w="70" w:type="dxa"/>
          <w:right w:w="70" w:type="dxa"/>
        </w:tblCellMar>
        <w:tblLook w:val="04A0" w:firstRow="1" w:lastRow="0" w:firstColumn="1" w:lastColumn="0" w:noHBand="0" w:noVBand="1"/>
      </w:tblPr>
      <w:tblGrid>
        <w:gridCol w:w="1800"/>
        <w:gridCol w:w="7800"/>
        <w:gridCol w:w="2538"/>
        <w:gridCol w:w="2538"/>
        <w:gridCol w:w="2538"/>
      </w:tblGrid>
      <w:tr w:rsidR="009E10C2" w:rsidRPr="00CC699A" w:rsidTr="00B7265E">
        <w:trPr>
          <w:gridAfter w:val="2"/>
          <w:wAfter w:w="5076" w:type="dxa"/>
          <w:trHeight w:val="375"/>
        </w:trPr>
        <w:tc>
          <w:tcPr>
            <w:tcW w:w="1800" w:type="dxa"/>
            <w:vMerge w:val="restart"/>
            <w:tcBorders>
              <w:top w:val="nil"/>
              <w:left w:val="nil"/>
              <w:bottom w:val="nil"/>
              <w:right w:val="nil"/>
            </w:tcBorders>
            <w:vAlign w:val="center"/>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p>
        </w:tc>
        <w:tc>
          <w:tcPr>
            <w:tcW w:w="7800" w:type="dxa"/>
            <w:vMerge w:val="restart"/>
            <w:tcBorders>
              <w:top w:val="nil"/>
              <w:left w:val="nil"/>
              <w:bottom w:val="nil"/>
              <w:right w:val="nil"/>
            </w:tcBorders>
            <w:vAlign w:val="center"/>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p>
        </w:tc>
        <w:tc>
          <w:tcPr>
            <w:tcW w:w="2538" w:type="dxa"/>
            <w:vMerge w:val="restart"/>
            <w:tcBorders>
              <w:top w:val="nil"/>
              <w:left w:val="nil"/>
              <w:bottom w:val="nil"/>
              <w:right w:val="nil"/>
            </w:tcBorders>
            <w:vAlign w:val="center"/>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p>
        </w:tc>
      </w:tr>
      <w:tr w:rsidR="009E10C2" w:rsidRPr="00CC699A" w:rsidTr="00B7265E">
        <w:trPr>
          <w:gridAfter w:val="2"/>
          <w:wAfter w:w="5076" w:type="dxa"/>
          <w:trHeight w:val="375"/>
        </w:trPr>
        <w:tc>
          <w:tcPr>
            <w:tcW w:w="1800" w:type="dxa"/>
            <w:vMerge/>
            <w:tcBorders>
              <w:top w:val="nil"/>
              <w:left w:val="nil"/>
              <w:bottom w:val="single" w:sz="4" w:space="0" w:color="auto"/>
              <w:right w:val="nil"/>
            </w:tcBorders>
            <w:vAlign w:val="center"/>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p>
        </w:tc>
        <w:tc>
          <w:tcPr>
            <w:tcW w:w="7800" w:type="dxa"/>
            <w:vMerge/>
            <w:tcBorders>
              <w:top w:val="nil"/>
              <w:left w:val="nil"/>
              <w:bottom w:val="single" w:sz="4" w:space="0" w:color="auto"/>
              <w:right w:val="nil"/>
            </w:tcBorders>
            <w:vAlign w:val="center"/>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p>
        </w:tc>
        <w:tc>
          <w:tcPr>
            <w:tcW w:w="2538" w:type="dxa"/>
            <w:vMerge/>
            <w:tcBorders>
              <w:top w:val="nil"/>
              <w:left w:val="nil"/>
              <w:bottom w:val="single" w:sz="4" w:space="0" w:color="auto"/>
              <w:right w:val="nil"/>
            </w:tcBorders>
            <w:vAlign w:val="center"/>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C2" w:rsidRPr="001E07A0" w:rsidRDefault="009E10C2" w:rsidP="00B7265E">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NO. DE CTA.</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C2" w:rsidRPr="001E07A0" w:rsidRDefault="009E10C2" w:rsidP="00B7265E">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DESCRIPCION</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0C2" w:rsidRPr="001E07A0" w:rsidRDefault="009E10C2" w:rsidP="00B7265E">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IMPORTE</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65501204939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SUBSIDIO ESTATAL Y FEDERAL 2014</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w:t>
            </w:r>
            <w:r>
              <w:rPr>
                <w:rFonts w:ascii="Soberana Sans Light" w:eastAsia="Times New Roman" w:hAnsi="Soberana Sans Light" w:cs="Arial"/>
                <w:sz w:val="20"/>
                <w:szCs w:val="20"/>
                <w:lang w:eastAsia="es-ES"/>
              </w:rPr>
              <w:t>2,813,795</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65501205306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INGRESOS PROPIOS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542,982</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65501205169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PAGO DE NÓMINA</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164,990</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65502577619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CUENTA PARA PAGO DE GASTOS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w:t>
            </w:r>
            <w:r>
              <w:rPr>
                <w:rFonts w:ascii="Soberana Sans Light" w:eastAsia="Times New Roman" w:hAnsi="Soberana Sans Light" w:cs="Arial"/>
                <w:sz w:val="20"/>
                <w:szCs w:val="20"/>
                <w:lang w:eastAsia="es-ES"/>
              </w:rPr>
              <w:t>148,79</w:t>
            </w:r>
            <w:r w:rsidRPr="001E07A0">
              <w:rPr>
                <w:rFonts w:ascii="Soberana Sans Light" w:eastAsia="Times New Roman" w:hAnsi="Soberana Sans Light" w:cs="Arial"/>
                <w:sz w:val="20"/>
                <w:szCs w:val="20"/>
                <w:lang w:eastAsia="es-ES"/>
              </w:rPr>
              <w:t xml:space="preserve">4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65502769436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FONDO DE APOYO A LA CALIDAD 2010</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w:t>
            </w:r>
            <w:r>
              <w:rPr>
                <w:rFonts w:ascii="Soberana Sans Light" w:eastAsia="Times New Roman" w:hAnsi="Soberana Sans Light" w:cs="Arial"/>
                <w:sz w:val="20"/>
                <w:szCs w:val="20"/>
                <w:lang w:eastAsia="es-ES"/>
              </w:rPr>
              <w:t>60,719</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65502812311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PROGRAMA DE APOYO AL PROFESORADO</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w:t>
            </w:r>
            <w:r>
              <w:rPr>
                <w:rFonts w:ascii="Soberana Sans Light" w:eastAsia="Times New Roman" w:hAnsi="Soberana Sans Light" w:cs="Arial"/>
                <w:sz w:val="20"/>
                <w:szCs w:val="20"/>
                <w:lang w:eastAsia="es-ES"/>
              </w:rPr>
              <w:t>56,229</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65503075290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PROGRAMA INTEGRAL DE FORTALECIMIENTO INSTITUCIONAL 2011</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10,842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65503076828</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FONDO DE APOYO A LA CALIDAD 2011</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141,842</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65503410385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PROYECTO FORDECYT TECNOLÓGICO DE MONTERREY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1,643,125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65503473621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FONDO DE APOYO A LA CALIDAD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120,271</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65503558836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CUENTA DE CHEQUES PROGRAMA DE MEJORA AL PROFESORADO 2012 </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30,343</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65503496986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CONVENIO DINA CAMIONES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w:t>
            </w:r>
            <w:r>
              <w:rPr>
                <w:rFonts w:ascii="Soberana Sans Light" w:eastAsia="Times New Roman" w:hAnsi="Soberana Sans Light" w:cs="Arial"/>
                <w:sz w:val="20"/>
                <w:szCs w:val="20"/>
                <w:lang w:eastAsia="es-ES"/>
              </w:rPr>
              <w:t>211,072</w:t>
            </w:r>
            <w:r w:rsidRPr="001E07A0">
              <w:rPr>
                <w:rFonts w:ascii="Soberana Sans Light" w:eastAsia="Times New Roman" w:hAnsi="Soberana Sans Light" w:cs="Arial"/>
                <w:sz w:val="20"/>
                <w:szCs w:val="20"/>
                <w:lang w:eastAsia="es-ES"/>
              </w:rPr>
              <w:t xml:space="preserve"> </w:t>
            </w:r>
          </w:p>
        </w:tc>
      </w:tr>
      <w:tr w:rsidR="009E10C2" w:rsidRPr="00CC699A" w:rsidTr="00B7265E">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CC699A" w:rsidRDefault="009E10C2" w:rsidP="00B7265E">
            <w:pPr>
              <w:spacing w:after="0" w:line="240" w:lineRule="auto"/>
              <w:jc w:val="center"/>
              <w:rPr>
                <w:rFonts w:ascii="Soberana Sans Light" w:eastAsia="Times New Roman" w:hAnsi="Soberana Sans Light" w:cs="Arial"/>
                <w:sz w:val="20"/>
                <w:szCs w:val="20"/>
                <w:lang w:eastAsia="es-ES"/>
              </w:rPr>
            </w:pPr>
            <w:r w:rsidRPr="00CC699A">
              <w:rPr>
                <w:rFonts w:ascii="Soberana Sans Light" w:eastAsia="Times New Roman" w:hAnsi="Soberana Sans Light" w:cs="Arial"/>
                <w:sz w:val="20"/>
                <w:szCs w:val="20"/>
                <w:lang w:eastAsia="es-ES"/>
              </w:rPr>
              <w:t>65503577466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CC699A" w:rsidRDefault="009E10C2" w:rsidP="00B7265E">
            <w:pPr>
              <w:spacing w:after="0" w:line="240" w:lineRule="auto"/>
              <w:jc w:val="both"/>
              <w:rPr>
                <w:rFonts w:ascii="Soberana Sans Light" w:eastAsia="Times New Roman" w:hAnsi="Soberana Sans Light" w:cs="Arial"/>
                <w:sz w:val="20"/>
                <w:szCs w:val="20"/>
                <w:lang w:eastAsia="es-ES"/>
              </w:rPr>
            </w:pPr>
            <w:r w:rsidRPr="00CC699A">
              <w:rPr>
                <w:rFonts w:ascii="Soberana Sans Light" w:eastAsia="Times New Roman" w:hAnsi="Soberana Sans Light" w:cs="Arial"/>
                <w:sz w:val="20"/>
                <w:szCs w:val="20"/>
                <w:lang w:eastAsia="es-ES"/>
              </w:rPr>
              <w:t xml:space="preserve">CUENTA DE CHEQUES </w:t>
            </w:r>
            <w:r>
              <w:rPr>
                <w:rFonts w:ascii="Soberana Sans Light" w:eastAsia="Times New Roman" w:hAnsi="Soberana Sans Light" w:cs="Arial"/>
                <w:sz w:val="20"/>
                <w:szCs w:val="20"/>
                <w:lang w:eastAsia="es-ES"/>
              </w:rPr>
              <w:t>PROGRAMA INTEGRAL DE FORTALECIMIENTO INSTITUCIONAL 2012</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CC699A"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4,265</w:t>
            </w:r>
          </w:p>
        </w:tc>
        <w:tc>
          <w:tcPr>
            <w:tcW w:w="2538" w:type="dxa"/>
            <w:vAlign w:val="bottom"/>
          </w:tcPr>
          <w:p w:rsidR="009E10C2" w:rsidRPr="00CC699A" w:rsidRDefault="009E10C2" w:rsidP="00B7265E">
            <w:pPr>
              <w:spacing w:after="0" w:line="240" w:lineRule="auto"/>
              <w:rPr>
                <w:rFonts w:ascii="Soberana Sans Light" w:eastAsia="Times New Roman" w:hAnsi="Soberana Sans Light" w:cs="Arial"/>
                <w:sz w:val="20"/>
                <w:szCs w:val="20"/>
                <w:lang w:eastAsia="es-ES"/>
              </w:rPr>
            </w:pPr>
          </w:p>
        </w:tc>
        <w:tc>
          <w:tcPr>
            <w:tcW w:w="2538" w:type="dxa"/>
            <w:vAlign w:val="bottom"/>
          </w:tcPr>
          <w:p w:rsidR="009E10C2" w:rsidRPr="00CC699A" w:rsidRDefault="009E10C2" w:rsidP="00B7265E">
            <w:pPr>
              <w:spacing w:after="0" w:line="240" w:lineRule="auto"/>
              <w:jc w:val="right"/>
              <w:rPr>
                <w:rFonts w:ascii="Soberana Sans Light" w:eastAsia="Times New Roman" w:hAnsi="Soberana Sans Light" w:cs="Arial"/>
                <w:sz w:val="20"/>
                <w:szCs w:val="20"/>
                <w:lang w:eastAsia="es-ES"/>
              </w:rPr>
            </w:pPr>
            <w:r w:rsidRPr="00CC699A">
              <w:rPr>
                <w:rFonts w:ascii="Soberana Sans Light" w:eastAsia="Times New Roman" w:hAnsi="Soberana Sans Light" w:cs="Arial"/>
                <w:sz w:val="20"/>
                <w:szCs w:val="20"/>
                <w:lang w:eastAsia="es-ES"/>
              </w:rPr>
              <w:t xml:space="preserve">                   41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CC699A">
              <w:rPr>
                <w:rFonts w:ascii="Soberana Sans Light" w:eastAsia="Times New Roman" w:hAnsi="Soberana Sans Light" w:cs="Arial"/>
                <w:sz w:val="20"/>
                <w:szCs w:val="20"/>
                <w:lang w:eastAsia="es-ES"/>
              </w:rPr>
              <w:lastRenderedPageBreak/>
              <w:t>65503960136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CC699A">
              <w:rPr>
                <w:rFonts w:ascii="Soberana Sans Light" w:eastAsia="Times New Roman" w:hAnsi="Soberana Sans Light" w:cs="Arial"/>
                <w:sz w:val="20"/>
                <w:szCs w:val="20"/>
                <w:lang w:eastAsia="es-ES"/>
              </w:rPr>
              <w:t xml:space="preserve">CUENTA DE CHEQUES </w:t>
            </w:r>
            <w:r>
              <w:rPr>
                <w:rFonts w:ascii="Soberana Sans Light" w:eastAsia="Times New Roman" w:hAnsi="Soberana Sans Light" w:cs="Arial"/>
                <w:sz w:val="20"/>
                <w:szCs w:val="20"/>
                <w:lang w:eastAsia="es-ES"/>
              </w:rPr>
              <w:t>CONVENIO WEXLER 2013</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88</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65504031439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PROGRAMA DE MEJORA AL PROFESORADO 2013</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12,084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65503974853</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CONVENIO GLOBAL FLOCK 2013</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585,625</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65504481687</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BECAS CONACYT 2014 MADRES SOLTERAS</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            </w:t>
            </w:r>
            <w:r>
              <w:rPr>
                <w:rFonts w:ascii="Soberana Sans Light" w:eastAsia="Times New Roman" w:hAnsi="Soberana Sans Light" w:cs="Arial"/>
                <w:sz w:val="20"/>
                <w:szCs w:val="20"/>
                <w:lang w:eastAsia="es-ES"/>
              </w:rPr>
              <w:t>31,759</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65504537975</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CONVENIO METAPOL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389,985</w:t>
            </w:r>
            <w:r w:rsidRPr="001E07A0">
              <w:rPr>
                <w:rFonts w:ascii="Soberana Sans Light" w:eastAsia="Times New Roman" w:hAnsi="Soberana Sans Light" w:cs="Arial"/>
                <w:sz w:val="20"/>
                <w:szCs w:val="20"/>
                <w:lang w:eastAsia="es-ES"/>
              </w:rPr>
              <w:t xml:space="preserve"> </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CC699A">
              <w:rPr>
                <w:rFonts w:ascii="Soberana Sans Light" w:eastAsia="Times New Roman" w:hAnsi="Soberana Sans Light" w:cs="Arial"/>
                <w:sz w:val="20"/>
                <w:szCs w:val="20"/>
                <w:lang w:eastAsia="es-ES"/>
              </w:rPr>
              <w:t>65504449424</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CC699A">
              <w:rPr>
                <w:rFonts w:ascii="Soberana Sans Light" w:eastAsia="Times New Roman" w:hAnsi="Soberana Sans Light" w:cs="Arial"/>
                <w:sz w:val="20"/>
                <w:szCs w:val="20"/>
                <w:lang w:eastAsia="es-ES"/>
              </w:rPr>
              <w:t xml:space="preserve">CUENTA DE CHEQUES </w:t>
            </w:r>
            <w:r>
              <w:rPr>
                <w:rFonts w:ascii="Soberana Sans Light" w:eastAsia="Times New Roman" w:hAnsi="Soberana Sans Light" w:cs="Arial"/>
                <w:sz w:val="20"/>
                <w:szCs w:val="20"/>
                <w:lang w:eastAsia="es-ES"/>
              </w:rPr>
              <w:t>BECAS IMJUVE</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735</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65504798911</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SUBSIDIO FEDERAL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1,140,113</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65504798879</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SUBSIDIO ESTATAL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1,883,249</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65504396422</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CUENTA DE CHEQUES CRUZADA CONTRA EL HAMBRE 2014</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6,608</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65504763596</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CUENTA DE CHEQUES </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18,000</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center"/>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65504843420</w:t>
            </w: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rPr>
                <w:rFonts w:ascii="Soberana Sans Light" w:eastAsia="Times New Roman" w:hAnsi="Soberana Sans Light" w:cs="Arial"/>
                <w:sz w:val="20"/>
                <w:szCs w:val="20"/>
                <w:lang w:eastAsia="es-ES"/>
              </w:rPr>
            </w:pPr>
            <w:r w:rsidRPr="001E07A0">
              <w:rPr>
                <w:rFonts w:ascii="Soberana Sans Light" w:eastAsia="Times New Roman" w:hAnsi="Soberana Sans Light" w:cs="Arial"/>
                <w:sz w:val="20"/>
                <w:szCs w:val="20"/>
                <w:lang w:eastAsia="es-ES"/>
              </w:rPr>
              <w:t xml:space="preserve">CUENTA DE CHEQUES </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10C2" w:rsidRPr="001E07A0" w:rsidRDefault="009E10C2" w:rsidP="00B7265E">
            <w:pPr>
              <w:spacing w:after="0" w:line="240" w:lineRule="auto"/>
              <w:jc w:val="right"/>
              <w:rPr>
                <w:rFonts w:ascii="Soberana Sans Light" w:eastAsia="Times New Roman" w:hAnsi="Soberana Sans Light" w:cs="Arial"/>
                <w:sz w:val="20"/>
                <w:szCs w:val="20"/>
                <w:lang w:eastAsia="es-ES"/>
              </w:rPr>
            </w:pPr>
            <w:r>
              <w:rPr>
                <w:rFonts w:ascii="Soberana Sans Light" w:eastAsia="Times New Roman" w:hAnsi="Soberana Sans Light" w:cs="Arial"/>
                <w:sz w:val="20"/>
                <w:szCs w:val="20"/>
                <w:lang w:eastAsia="es-ES"/>
              </w:rPr>
              <w:t>354,796</w:t>
            </w:r>
          </w:p>
        </w:tc>
      </w:tr>
      <w:tr w:rsidR="009E10C2" w:rsidRPr="00CC699A" w:rsidTr="00B7265E">
        <w:trPr>
          <w:gridAfter w:val="2"/>
          <w:wAfter w:w="5076" w:type="dxa"/>
          <w:trHeight w:val="37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rPr>
                <w:rFonts w:ascii="Soberana Sans Light" w:eastAsia="Times New Roman" w:hAnsi="Soberana Sans Light" w:cs="Arial"/>
                <w:sz w:val="20"/>
                <w:szCs w:val="20"/>
                <w:lang w:eastAsia="es-ES"/>
              </w:rPr>
            </w:pP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C2" w:rsidRPr="001E07A0" w:rsidRDefault="009E10C2" w:rsidP="00B7265E">
            <w:pPr>
              <w:spacing w:after="0" w:line="240" w:lineRule="auto"/>
              <w:jc w:val="center"/>
              <w:rPr>
                <w:rFonts w:ascii="Soberana Sans Light" w:eastAsia="Times New Roman" w:hAnsi="Soberana Sans Light" w:cs="Arial"/>
                <w:b/>
                <w:sz w:val="20"/>
                <w:szCs w:val="20"/>
                <w:lang w:eastAsia="es-ES"/>
              </w:rPr>
            </w:pPr>
            <w:r w:rsidRPr="001E07A0">
              <w:rPr>
                <w:rFonts w:ascii="Soberana Sans Light" w:eastAsia="Times New Roman" w:hAnsi="Soberana Sans Light" w:cs="Arial"/>
                <w:b/>
                <w:sz w:val="20"/>
                <w:szCs w:val="20"/>
                <w:lang w:eastAsia="es-ES"/>
              </w:rPr>
              <w:t>TOTAL</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0C2" w:rsidRPr="001E07A0" w:rsidRDefault="009E10C2" w:rsidP="00B7265E">
            <w:pPr>
              <w:spacing w:after="0" w:line="240" w:lineRule="auto"/>
              <w:jc w:val="right"/>
              <w:rPr>
                <w:rFonts w:ascii="Soberana Sans Light" w:eastAsia="Times New Roman" w:hAnsi="Soberana Sans Light" w:cs="Arial"/>
                <w:b/>
                <w:sz w:val="20"/>
                <w:szCs w:val="20"/>
                <w:lang w:eastAsia="es-ES"/>
              </w:rPr>
            </w:pPr>
            <w:r>
              <w:rPr>
                <w:rFonts w:ascii="Soberana Sans Light" w:eastAsia="Times New Roman" w:hAnsi="Soberana Sans Light" w:cs="Arial"/>
                <w:b/>
                <w:sz w:val="20"/>
                <w:szCs w:val="20"/>
                <w:lang w:eastAsia="es-ES"/>
              </w:rPr>
              <w:t>10,372,311</w:t>
            </w:r>
          </w:p>
        </w:tc>
      </w:tr>
    </w:tbl>
    <w:p w:rsidR="009E10C2" w:rsidRDefault="009E10C2" w:rsidP="009E10C2">
      <w:pPr>
        <w:pStyle w:val="ROMANOS"/>
        <w:spacing w:after="0" w:line="240" w:lineRule="exact"/>
        <w:ind w:left="0" w:firstLine="0"/>
        <w:rPr>
          <w:rFonts w:ascii="Soberana Sans Light" w:hAnsi="Soberana Sans Light"/>
          <w:sz w:val="22"/>
          <w:szCs w:val="22"/>
          <w:lang w:val="es-MX"/>
        </w:rPr>
      </w:pPr>
    </w:p>
    <w:p w:rsidR="009E10C2" w:rsidRDefault="009E10C2" w:rsidP="009E10C2">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En el caso de las inversiones financieras se encuentran invertidas a corto plazo y son de disponibilidad inmediata, en cumplimiento a lo establecido en las reglas de operación de los Programas correspondientes. El saldo de las inversiones es de $10</w:t>
      </w:r>
      <w:proofErr w:type="gramStart"/>
      <w:r>
        <w:rPr>
          <w:rFonts w:ascii="Soberana Sans Light" w:hAnsi="Soberana Sans Light"/>
          <w:sz w:val="22"/>
          <w:szCs w:val="22"/>
          <w:lang w:val="es-MX"/>
        </w:rPr>
        <w:t>,625,720</w:t>
      </w:r>
      <w:proofErr w:type="gramEnd"/>
      <w:r>
        <w:rPr>
          <w:rFonts w:ascii="Soberana Sans Light" w:hAnsi="Soberana Sans Light"/>
          <w:sz w:val="22"/>
          <w:szCs w:val="22"/>
          <w:lang w:val="es-MX"/>
        </w:rPr>
        <w:t xml:space="preserve"> y se detalla a continuación</w:t>
      </w:r>
    </w:p>
    <w:p w:rsidR="009E10C2" w:rsidRDefault="009E10C2" w:rsidP="009E10C2">
      <w:pPr>
        <w:pStyle w:val="ROMANOS"/>
        <w:spacing w:after="0" w:line="240" w:lineRule="exact"/>
        <w:ind w:left="0" w:firstLine="0"/>
        <w:rPr>
          <w:rFonts w:ascii="Soberana Sans Light" w:hAnsi="Soberana Sans Light"/>
          <w:sz w:val="22"/>
          <w:szCs w:val="22"/>
          <w:lang w:val="es-MX"/>
        </w:rPr>
      </w:pPr>
    </w:p>
    <w:tbl>
      <w:tblPr>
        <w:tblW w:w="12598" w:type="dxa"/>
        <w:tblInd w:w="70" w:type="dxa"/>
        <w:tblCellMar>
          <w:left w:w="70" w:type="dxa"/>
          <w:right w:w="70" w:type="dxa"/>
        </w:tblCellMar>
        <w:tblLook w:val="04A0" w:firstRow="1" w:lastRow="0" w:firstColumn="1" w:lastColumn="0" w:noHBand="0" w:noVBand="1"/>
      </w:tblPr>
      <w:tblGrid>
        <w:gridCol w:w="1800"/>
        <w:gridCol w:w="160"/>
        <w:gridCol w:w="8100"/>
        <w:gridCol w:w="2538"/>
      </w:tblGrid>
      <w:tr w:rsidR="009E10C2" w:rsidRPr="00CC699A" w:rsidTr="00B7265E">
        <w:trPr>
          <w:trHeight w:val="375"/>
        </w:trPr>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10C2" w:rsidRPr="00236751" w:rsidRDefault="009E10C2" w:rsidP="00B7265E">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NO. DE CTA.</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236751" w:rsidRDefault="009E10C2" w:rsidP="00B7265E">
            <w:pPr>
              <w:spacing w:after="0" w:line="240" w:lineRule="auto"/>
              <w:jc w:val="center"/>
              <w:rPr>
                <w:rFonts w:ascii="Soberana Sans Light" w:eastAsia="Times New Roman" w:hAnsi="Soberana Sans Light" w:cs="Arial"/>
                <w:b/>
                <w:color w:val="000000" w:themeColor="text1"/>
                <w:sz w:val="20"/>
                <w:szCs w:val="20"/>
                <w:lang w:eastAsia="es-ES"/>
              </w:rPr>
            </w:pPr>
          </w:p>
        </w:tc>
        <w:tc>
          <w:tcPr>
            <w:tcW w:w="81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10C2" w:rsidRPr="00236751" w:rsidRDefault="009E10C2" w:rsidP="00B7265E">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DESCRIPCION</w:t>
            </w:r>
          </w:p>
        </w:tc>
        <w:tc>
          <w:tcPr>
            <w:tcW w:w="25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10C2" w:rsidRPr="00236751" w:rsidRDefault="009E10C2" w:rsidP="00B7265E">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IMPORTE</w:t>
            </w:r>
          </w:p>
        </w:tc>
      </w:tr>
      <w:tr w:rsidR="009E10C2" w:rsidRPr="00CC699A" w:rsidTr="00B7265E">
        <w:trPr>
          <w:trHeight w:val="375"/>
        </w:trPr>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p>
        </w:tc>
        <w:tc>
          <w:tcPr>
            <w:tcW w:w="25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p>
        </w:tc>
      </w:tr>
      <w:tr w:rsidR="009E10C2" w:rsidRPr="00CC699A" w:rsidTr="00B7265E">
        <w:trPr>
          <w:trHeight w:val="80"/>
        </w:trPr>
        <w:tc>
          <w:tcPr>
            <w:tcW w:w="1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p>
        </w:tc>
        <w:tc>
          <w:tcPr>
            <w:tcW w:w="25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p>
        </w:tc>
      </w:tr>
      <w:tr w:rsidR="009E10C2" w:rsidRPr="00CC699A" w:rsidTr="00B7265E">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65501205306</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INGRESOS PROPIOS</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4,485,720</w:t>
            </w:r>
          </w:p>
        </w:tc>
      </w:tr>
      <w:tr w:rsidR="009E10C2" w:rsidRPr="00CC699A" w:rsidTr="00B7265E">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65502812311</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PROGRAMA DE APOYO AL PROFESORADO</w:t>
            </w:r>
            <w:r>
              <w:rPr>
                <w:rFonts w:ascii="Soberana Sans Light" w:eastAsia="Times New Roman" w:hAnsi="Soberana Sans Light" w:cs="Arial"/>
                <w:color w:val="000000" w:themeColor="text1"/>
                <w:sz w:val="20"/>
                <w:szCs w:val="20"/>
                <w:lang w:eastAsia="es-ES"/>
              </w:rPr>
              <w:t xml:space="preserve"> 2010</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400,000</w:t>
            </w:r>
          </w:p>
        </w:tc>
      </w:tr>
      <w:tr w:rsidR="009E10C2" w:rsidRPr="00CC699A" w:rsidTr="00B7265E">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r w:rsidRPr="001E07A0">
              <w:rPr>
                <w:rFonts w:ascii="Soberana Sans Light" w:eastAsia="Times New Roman" w:hAnsi="Soberana Sans Light" w:cs="Arial"/>
                <w:sz w:val="20"/>
                <w:szCs w:val="20"/>
                <w:lang w:eastAsia="es-ES"/>
              </w:rPr>
              <w:t>65503558836</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PROGRAMA DE APOYO AL PROFESORADO</w:t>
            </w:r>
            <w:r>
              <w:rPr>
                <w:rFonts w:ascii="Soberana Sans Light" w:eastAsia="Times New Roman" w:hAnsi="Soberana Sans Light" w:cs="Arial"/>
                <w:color w:val="000000" w:themeColor="text1"/>
                <w:sz w:val="20"/>
                <w:szCs w:val="20"/>
                <w:lang w:eastAsia="es-ES"/>
              </w:rPr>
              <w:t xml:space="preserve"> 2012</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140,000</w:t>
            </w:r>
          </w:p>
        </w:tc>
      </w:tr>
      <w:tr w:rsidR="009E10C2" w:rsidRPr="00CC699A" w:rsidTr="00B7265E">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r w:rsidRPr="001E07A0">
              <w:rPr>
                <w:rFonts w:ascii="Soberana Sans Light" w:eastAsia="Times New Roman" w:hAnsi="Soberana Sans Light" w:cs="Arial"/>
                <w:sz w:val="20"/>
                <w:szCs w:val="20"/>
                <w:lang w:eastAsia="es-ES"/>
              </w:rPr>
              <w:t>65502769436</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 xml:space="preserve">INVERSIÓN </w:t>
            </w:r>
            <w:r>
              <w:rPr>
                <w:rFonts w:ascii="Soberana Sans Light" w:eastAsia="Times New Roman" w:hAnsi="Soberana Sans Light" w:cs="Arial"/>
                <w:color w:val="000000" w:themeColor="text1"/>
                <w:sz w:val="20"/>
                <w:szCs w:val="20"/>
                <w:lang w:eastAsia="es-ES"/>
              </w:rPr>
              <w:t>FONDO DE APOYO A LA CALIDAD 2010</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300,000</w:t>
            </w:r>
          </w:p>
        </w:tc>
      </w:tr>
      <w:tr w:rsidR="009E10C2" w:rsidRPr="00CC699A" w:rsidTr="00B7265E">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65503076828</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FONDO DE APOYO A LA CALIDAD 2011</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3,000,000</w:t>
            </w:r>
          </w:p>
        </w:tc>
      </w:tr>
      <w:tr w:rsidR="009E10C2" w:rsidRPr="00CC699A" w:rsidTr="00B7265E">
        <w:trPr>
          <w:trHeight w:val="375"/>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65503473621</w:t>
            </w:r>
          </w:p>
        </w:tc>
        <w:tc>
          <w:tcPr>
            <w:tcW w:w="1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jc w:val="center"/>
              <w:rPr>
                <w:rFonts w:ascii="Soberana Sans Light" w:eastAsia="Times New Roman" w:hAnsi="Soberana Sans Light" w:cs="Arial"/>
                <w:color w:val="000000" w:themeColor="text1"/>
                <w:sz w:val="20"/>
                <w:szCs w:val="20"/>
                <w:lang w:eastAsia="es-ES"/>
              </w:rPr>
            </w:pP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E10C2" w:rsidRPr="001B04A9" w:rsidRDefault="009E10C2" w:rsidP="00B7265E">
            <w:pPr>
              <w:spacing w:after="0" w:line="240" w:lineRule="auto"/>
              <w:rPr>
                <w:rFonts w:ascii="Soberana Sans Light" w:eastAsia="Times New Roman" w:hAnsi="Soberana Sans Light" w:cs="Arial"/>
                <w:color w:val="000000" w:themeColor="text1"/>
                <w:sz w:val="20"/>
                <w:szCs w:val="20"/>
                <w:lang w:eastAsia="es-ES"/>
              </w:rPr>
            </w:pPr>
            <w:r w:rsidRPr="001B04A9">
              <w:rPr>
                <w:rFonts w:ascii="Soberana Sans Light" w:eastAsia="Times New Roman" w:hAnsi="Soberana Sans Light" w:cs="Arial"/>
                <w:color w:val="000000" w:themeColor="text1"/>
                <w:sz w:val="20"/>
                <w:szCs w:val="20"/>
                <w:lang w:eastAsia="es-ES"/>
              </w:rPr>
              <w:t>INVERSIÓN FONDO DE APOYO A LA CALIDAD 2012</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E10C2" w:rsidRPr="001B04A9" w:rsidRDefault="009E10C2" w:rsidP="00B7265E">
            <w:pPr>
              <w:spacing w:after="0" w:line="240" w:lineRule="auto"/>
              <w:jc w:val="right"/>
              <w:rPr>
                <w:rFonts w:ascii="Soberana Sans Light" w:eastAsia="Times New Roman" w:hAnsi="Soberana Sans Light" w:cs="Arial"/>
                <w:color w:val="000000" w:themeColor="text1"/>
                <w:sz w:val="20"/>
                <w:szCs w:val="20"/>
                <w:lang w:eastAsia="es-ES"/>
              </w:rPr>
            </w:pPr>
            <w:r>
              <w:rPr>
                <w:rFonts w:ascii="Soberana Sans Light" w:eastAsia="Times New Roman" w:hAnsi="Soberana Sans Light" w:cs="Arial"/>
                <w:color w:val="000000" w:themeColor="text1"/>
                <w:sz w:val="20"/>
                <w:szCs w:val="20"/>
                <w:lang w:eastAsia="es-ES"/>
              </w:rPr>
              <w:t>2,300,000</w:t>
            </w:r>
          </w:p>
        </w:tc>
      </w:tr>
      <w:tr w:rsidR="009E10C2" w:rsidRPr="00CC699A" w:rsidTr="00B7265E">
        <w:trPr>
          <w:trHeight w:val="375"/>
        </w:trPr>
        <w:tc>
          <w:tcPr>
            <w:tcW w:w="1006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E10C2" w:rsidRPr="00236751" w:rsidRDefault="009E10C2" w:rsidP="00B7265E">
            <w:pPr>
              <w:spacing w:after="0" w:line="240" w:lineRule="auto"/>
              <w:jc w:val="center"/>
              <w:rPr>
                <w:rFonts w:ascii="Soberana Sans Light" w:eastAsia="Times New Roman" w:hAnsi="Soberana Sans Light" w:cs="Arial"/>
                <w:b/>
                <w:color w:val="000000" w:themeColor="text1"/>
                <w:sz w:val="20"/>
                <w:szCs w:val="20"/>
                <w:lang w:eastAsia="es-ES"/>
              </w:rPr>
            </w:pPr>
            <w:r w:rsidRPr="00236751">
              <w:rPr>
                <w:rFonts w:ascii="Soberana Sans Light" w:eastAsia="Times New Roman" w:hAnsi="Soberana Sans Light" w:cs="Arial"/>
                <w:b/>
                <w:color w:val="000000" w:themeColor="text1"/>
                <w:sz w:val="20"/>
                <w:szCs w:val="20"/>
                <w:lang w:eastAsia="es-ES"/>
              </w:rPr>
              <w:t>TOTAL</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E10C2" w:rsidRPr="00236751" w:rsidRDefault="009E10C2" w:rsidP="00B7265E">
            <w:pPr>
              <w:spacing w:after="0" w:line="240" w:lineRule="auto"/>
              <w:jc w:val="right"/>
              <w:rPr>
                <w:rFonts w:ascii="Soberana Sans Light" w:eastAsia="Times New Roman" w:hAnsi="Soberana Sans Light" w:cs="Arial"/>
                <w:b/>
                <w:color w:val="000000" w:themeColor="text1"/>
                <w:sz w:val="20"/>
                <w:szCs w:val="20"/>
                <w:lang w:eastAsia="es-ES"/>
              </w:rPr>
            </w:pPr>
            <w:r>
              <w:rPr>
                <w:rFonts w:ascii="Soberana Sans Light" w:eastAsia="Times New Roman" w:hAnsi="Soberana Sans Light" w:cs="Arial"/>
                <w:b/>
                <w:color w:val="000000" w:themeColor="text1"/>
                <w:sz w:val="20"/>
                <w:szCs w:val="20"/>
                <w:lang w:eastAsia="es-ES"/>
              </w:rPr>
              <w:t>10,625,720</w:t>
            </w:r>
          </w:p>
        </w:tc>
      </w:tr>
    </w:tbl>
    <w:p w:rsidR="009E10C2"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La suma de las cuentas bancarias y de inversiones es igual a $20</w:t>
      </w:r>
      <w:proofErr w:type="gramStart"/>
      <w:r>
        <w:rPr>
          <w:rFonts w:ascii="Soberana Sans Light" w:hAnsi="Soberana Sans Light"/>
          <w:sz w:val="22"/>
          <w:szCs w:val="22"/>
          <w:lang w:val="es-MX"/>
        </w:rPr>
        <w:t>,998,031</w:t>
      </w:r>
      <w:proofErr w:type="gramEnd"/>
      <w:r>
        <w:rPr>
          <w:rFonts w:ascii="Soberana Sans Light" w:hAnsi="Soberana Sans Light"/>
          <w:sz w:val="22"/>
          <w:szCs w:val="22"/>
          <w:lang w:val="es-MX"/>
        </w:rPr>
        <w:t>.</w:t>
      </w:r>
    </w:p>
    <w:p w:rsidR="009E10C2"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La Universidad Tecnológica de Tlaxcala también cuenta con un Fideicomiso cuyo saldo al 31 de marzo de 2015 es de $3</w:t>
      </w:r>
      <w:proofErr w:type="gramStart"/>
      <w:r>
        <w:rPr>
          <w:rFonts w:ascii="Soberana Sans Light" w:hAnsi="Soberana Sans Light"/>
          <w:sz w:val="22"/>
          <w:szCs w:val="22"/>
          <w:lang w:val="es-MX"/>
        </w:rPr>
        <w:t>,605,363</w:t>
      </w:r>
      <w:proofErr w:type="gramEnd"/>
      <w:r>
        <w:rPr>
          <w:rFonts w:ascii="Soberana Sans Light" w:hAnsi="Soberana Sans Light"/>
          <w:sz w:val="22"/>
          <w:szCs w:val="22"/>
          <w:lang w:val="es-MX"/>
        </w:rPr>
        <w:t xml:space="preserve"> debido a que el Convenio de Colaboración y Apoyo del Programa de Fortalecimiento de la Calidad en las Instituciones Educativas PROFOCIE 2014; en su cláusula Tercera establece la obligatoriedad por parte de la Universidad de constituir un Fideicomiso para la operación de los recursos provenientes de ese Programa mismo que cuenta con un Comité Técnico.</w:t>
      </w:r>
    </w:p>
    <w:p w:rsidR="009E10C2" w:rsidRPr="00540418"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9E10C2" w:rsidRPr="00540418" w:rsidRDefault="009E10C2" w:rsidP="009E10C2">
      <w:pPr>
        <w:pStyle w:val="ROMANOS"/>
        <w:spacing w:after="0" w:line="240" w:lineRule="exact"/>
        <w:rPr>
          <w:rFonts w:ascii="Soberana Sans Light" w:hAnsi="Soberana Sans Light"/>
          <w:b/>
          <w:sz w:val="22"/>
          <w:szCs w:val="22"/>
          <w:lang w:val="es-MX"/>
        </w:rPr>
      </w:pPr>
    </w:p>
    <w:p w:rsidR="009E10C2" w:rsidRDefault="009E10C2" w:rsidP="009E10C2">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importe de esta cuenta se encuentra integrado por los siguientes conceptos:</w:t>
      </w:r>
    </w:p>
    <w:p w:rsidR="009E10C2"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numPr>
          <w:ilvl w:val="0"/>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$278,123 por concepto de diversos gastos a comprobar otorgados a diversos funcionarios de la Universidad Tecnológica de Tlaxcala para el cumplimiento de sus actividades principalmente viáticos y otros saldos pendientes de recuperar. Cabe destacar que estos importes serán comprobados en un lapso no mayor de 15 días de acuerdo a lo que establecen los Lineamientos de Racionalidad y Austeridad vigentes.</w:t>
      </w:r>
    </w:p>
    <w:p w:rsidR="009E10C2" w:rsidRDefault="009E10C2" w:rsidP="009E10C2">
      <w:pPr>
        <w:pStyle w:val="ROMANOS"/>
        <w:numPr>
          <w:ilvl w:val="0"/>
          <w:numId w:val="6"/>
        </w:numPr>
        <w:spacing w:after="0" w:line="240" w:lineRule="exact"/>
        <w:rPr>
          <w:rFonts w:ascii="Soberana Sans Light" w:hAnsi="Soberana Sans Light"/>
          <w:sz w:val="22"/>
          <w:szCs w:val="22"/>
          <w:lang w:val="es-MX"/>
        </w:rPr>
      </w:pPr>
      <w:r>
        <w:rPr>
          <w:rFonts w:ascii="Soberana Sans Light" w:hAnsi="Soberana Sans Light"/>
          <w:sz w:val="22"/>
          <w:szCs w:val="22"/>
          <w:lang w:val="es-MX"/>
        </w:rPr>
        <w:t>$99,000 por concepto de diversos facturas por cobrar a la industria derivado de la prestación de servicios de capacitación y tecnológicos por parte de las diversas áreas que integran la Universidad. La recuperación de este concepto no será mayor de un plazo de 15 días.</w:t>
      </w:r>
    </w:p>
    <w:p w:rsidR="009E10C2" w:rsidRDefault="009E10C2" w:rsidP="009E10C2">
      <w:pPr>
        <w:pStyle w:val="ROMANOS"/>
        <w:spacing w:after="0" w:line="240" w:lineRule="exact"/>
        <w:ind w:left="1083" w:firstLine="0"/>
        <w:rPr>
          <w:rFonts w:ascii="Soberana Sans Light" w:hAnsi="Soberana Sans Light"/>
          <w:sz w:val="22"/>
          <w:szCs w:val="22"/>
          <w:lang w:val="es-MX"/>
        </w:rPr>
      </w:pPr>
    </w:p>
    <w:p w:rsidR="009E10C2" w:rsidRDefault="009E10C2" w:rsidP="009E10C2">
      <w:pPr>
        <w:pStyle w:val="ROMANOS"/>
        <w:spacing w:after="0" w:line="240" w:lineRule="exact"/>
        <w:ind w:left="1083" w:firstLine="0"/>
        <w:rPr>
          <w:rFonts w:ascii="Soberana Sans Light" w:hAnsi="Soberana Sans Light"/>
          <w:sz w:val="22"/>
          <w:szCs w:val="22"/>
          <w:lang w:val="es-MX"/>
        </w:rPr>
      </w:pPr>
      <w:r>
        <w:rPr>
          <w:rFonts w:ascii="Soberana Sans Light" w:hAnsi="Soberana Sans Light"/>
          <w:sz w:val="22"/>
          <w:szCs w:val="22"/>
          <w:lang w:val="es-MX"/>
        </w:rPr>
        <w:t>La cuenta de Anticipos a Proveedores presenta un saldo al 31 de marzo de 2015 por la cantidad de $2</w:t>
      </w:r>
      <w:proofErr w:type="gramStart"/>
      <w:r>
        <w:rPr>
          <w:rFonts w:ascii="Soberana Sans Light" w:hAnsi="Soberana Sans Light"/>
          <w:sz w:val="22"/>
          <w:szCs w:val="22"/>
          <w:lang w:val="es-MX"/>
        </w:rPr>
        <w:t>,010,745</w:t>
      </w:r>
      <w:proofErr w:type="gramEnd"/>
      <w:r>
        <w:rPr>
          <w:rFonts w:ascii="Soberana Sans Light" w:hAnsi="Soberana Sans Light"/>
          <w:sz w:val="22"/>
          <w:szCs w:val="22"/>
          <w:lang w:val="es-MX"/>
        </w:rPr>
        <w:t xml:space="preserve"> mismo que representa las cantidades pagadas por concepto de los contratos realizados con diversos proveedores de proyectos integrales de equipos de laboratorio y mantenimiento preventivo y correctivo a las instalaciones de la Universidad mismos que se derivan de los planes y programas autorizados.</w:t>
      </w:r>
    </w:p>
    <w:p w:rsidR="009E10C2" w:rsidRDefault="009E10C2" w:rsidP="009E10C2">
      <w:pPr>
        <w:pStyle w:val="ROMANOS"/>
        <w:spacing w:after="0" w:line="240" w:lineRule="exact"/>
        <w:ind w:left="1083" w:firstLine="0"/>
        <w:rPr>
          <w:rFonts w:ascii="Soberana Sans Light" w:hAnsi="Soberana Sans Light"/>
          <w:sz w:val="22"/>
          <w:szCs w:val="22"/>
          <w:lang w:val="es-MX"/>
        </w:rPr>
      </w:pPr>
    </w:p>
    <w:p w:rsidR="009E10C2" w:rsidRDefault="009E10C2" w:rsidP="009E10C2">
      <w:pPr>
        <w:pStyle w:val="ROMANOS"/>
        <w:spacing w:after="0" w:line="240" w:lineRule="exact"/>
        <w:ind w:left="1083" w:firstLine="0"/>
        <w:rPr>
          <w:rFonts w:ascii="Soberana Sans Light" w:hAnsi="Soberana Sans Light"/>
          <w:sz w:val="22"/>
          <w:szCs w:val="22"/>
          <w:lang w:val="es-MX"/>
        </w:rPr>
      </w:pPr>
      <w:r>
        <w:rPr>
          <w:rFonts w:ascii="Soberana Sans Light" w:hAnsi="Soberana Sans Light"/>
          <w:sz w:val="22"/>
          <w:szCs w:val="22"/>
          <w:lang w:val="es-MX"/>
        </w:rPr>
        <w:t>Por otra parte la cuenta de Subsidio al Empleo cuenta con un saldo de $19,068 que representa el importe pendiente de acreditar contra el Impuesto sobre la Renta retenido por la Universidad a los trabajadores tal y como lo establecen las leyes fiscales.</w:t>
      </w:r>
    </w:p>
    <w:p w:rsidR="009E10C2" w:rsidRDefault="009E10C2" w:rsidP="009E10C2">
      <w:pPr>
        <w:pStyle w:val="ROMANOS"/>
        <w:spacing w:after="0" w:line="240" w:lineRule="exact"/>
        <w:ind w:left="1083" w:firstLine="0"/>
        <w:rPr>
          <w:rFonts w:ascii="Soberana Sans Light" w:hAnsi="Soberana Sans Light"/>
          <w:sz w:val="22"/>
          <w:szCs w:val="22"/>
          <w:lang w:val="es-MX"/>
        </w:rPr>
      </w:pPr>
    </w:p>
    <w:p w:rsidR="009E10C2" w:rsidRPr="00540418" w:rsidRDefault="009E10C2" w:rsidP="009E10C2">
      <w:pPr>
        <w:pStyle w:val="ROMANOS"/>
        <w:spacing w:after="0" w:line="240" w:lineRule="exact"/>
        <w:ind w:left="0" w:firstLine="0"/>
        <w:rPr>
          <w:rFonts w:ascii="Soberana Sans Light" w:hAnsi="Soberana Sans Light"/>
          <w:sz w:val="22"/>
          <w:szCs w:val="22"/>
          <w:lang w:val="es-MX"/>
        </w:rPr>
      </w:pPr>
    </w:p>
    <w:p w:rsidR="009E10C2" w:rsidRPr="00540418"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9E10C2" w:rsidRDefault="009E10C2" w:rsidP="009E10C2">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E10C2" w:rsidRPr="00540418" w:rsidRDefault="009E10C2" w:rsidP="009E10C2">
      <w:pPr>
        <w:pStyle w:val="ROMANOS"/>
        <w:spacing w:after="0" w:line="240" w:lineRule="exact"/>
        <w:ind w:left="723" w:firstLine="0"/>
        <w:rPr>
          <w:rFonts w:ascii="Soberana Sans Light" w:hAnsi="Soberana Sans Light"/>
          <w:sz w:val="22"/>
          <w:szCs w:val="22"/>
          <w:lang w:val="es-MX"/>
        </w:rPr>
      </w:pPr>
    </w:p>
    <w:p w:rsidR="009E10C2" w:rsidRPr="00540418"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9E10C2" w:rsidRDefault="009E10C2" w:rsidP="009E10C2">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E10C2" w:rsidRPr="00540418"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 xml:space="preserve">Bienes </w:t>
      </w:r>
      <w:r>
        <w:rPr>
          <w:rFonts w:ascii="Soberana Sans Light" w:hAnsi="Soberana Sans Light"/>
          <w:b/>
          <w:sz w:val="22"/>
          <w:szCs w:val="22"/>
          <w:lang w:val="es-MX"/>
        </w:rPr>
        <w:t>Muebles, Inmuebles e Intangibles.</w:t>
      </w:r>
    </w:p>
    <w:p w:rsidR="009E10C2" w:rsidRPr="00540418" w:rsidRDefault="009E10C2" w:rsidP="009E10C2">
      <w:pPr>
        <w:pStyle w:val="ROMANOS"/>
        <w:spacing w:after="0" w:line="240" w:lineRule="exact"/>
        <w:rPr>
          <w:rFonts w:ascii="Soberana Sans Light" w:hAnsi="Soberana Sans Light"/>
          <w:b/>
          <w:sz w:val="22"/>
          <w:szCs w:val="22"/>
          <w:lang w:val="es-MX"/>
        </w:rPr>
      </w:pPr>
    </w:p>
    <w:p w:rsidR="009E10C2" w:rsidRDefault="009E10C2" w:rsidP="009E10C2">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importe de los Bienes Inmuebles al cierre del mes de marzo de 2015 es de $46,556,399 mismos que se encuentran desagregados de la siguiente manera:</w:t>
      </w:r>
    </w:p>
    <w:p w:rsidR="009E10C2"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importe de Terrenos es igual a $2</w:t>
      </w:r>
      <w:proofErr w:type="gramStart"/>
      <w:r>
        <w:rPr>
          <w:rFonts w:ascii="Soberana Sans Light" w:hAnsi="Soberana Sans Light"/>
          <w:sz w:val="22"/>
          <w:szCs w:val="22"/>
          <w:lang w:val="es-MX"/>
        </w:rPr>
        <w:t>,550,000</w:t>
      </w:r>
      <w:proofErr w:type="gramEnd"/>
      <w:r>
        <w:rPr>
          <w:rFonts w:ascii="Soberana Sans Light" w:hAnsi="Soberana Sans Light"/>
          <w:sz w:val="22"/>
          <w:szCs w:val="22"/>
          <w:lang w:val="es-MX"/>
        </w:rPr>
        <w:t xml:space="preserve"> por el predio donde se encuentra edificada la Universidad Tecnológica de Tlaxcala en la comunidad del Carmen Xalpatlahuaya Municipio de Huamantla Tlaxcala mismo que no es sujeto de depreciación.</w:t>
      </w:r>
    </w:p>
    <w:p w:rsidR="009E10C2" w:rsidRDefault="009E10C2" w:rsidP="009E10C2">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lastRenderedPageBreak/>
        <w:t>El saldo de la cuenta de Edificios es igual a $36</w:t>
      </w:r>
      <w:proofErr w:type="gramStart"/>
      <w:r>
        <w:rPr>
          <w:rFonts w:ascii="Soberana Sans Light" w:hAnsi="Soberana Sans Light"/>
          <w:sz w:val="22"/>
          <w:szCs w:val="22"/>
          <w:lang w:val="es-MX"/>
        </w:rPr>
        <w:t>,229,075</w:t>
      </w:r>
      <w:proofErr w:type="gramEnd"/>
      <w:r>
        <w:rPr>
          <w:rFonts w:ascii="Soberana Sans Light" w:hAnsi="Soberana Sans Light"/>
          <w:sz w:val="22"/>
          <w:szCs w:val="22"/>
          <w:lang w:val="es-MX"/>
        </w:rPr>
        <w:t>, el cual equivale al valor de las construcciones que forman parte de la Universidad Tecnológica de Tlaxcala.</w:t>
      </w:r>
    </w:p>
    <w:p w:rsidR="009E10C2" w:rsidRDefault="009E10C2" w:rsidP="009E10C2">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El saldo de la cuenta de Instalaciones es igual a $7,777,324, el cual equivale a las adiciones y mejoras que han sufrido las construcciones de la Universidad Tecnológica de Tlaxcala a lo largo de los años como consecuencia de los planes de ampliación de la oferta educativa y mejoras en laboratorios y aulas. </w:t>
      </w:r>
    </w:p>
    <w:p w:rsidR="009E10C2"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Por otra parte, el saldo de los Bienes Muebles es igual a $94</w:t>
      </w:r>
      <w:proofErr w:type="gramStart"/>
      <w:r>
        <w:rPr>
          <w:rFonts w:ascii="Soberana Sans Light" w:hAnsi="Soberana Sans Light"/>
          <w:sz w:val="22"/>
          <w:szCs w:val="22"/>
          <w:lang w:val="es-MX"/>
        </w:rPr>
        <w:t>,539,653</w:t>
      </w:r>
      <w:proofErr w:type="gramEnd"/>
      <w:r>
        <w:rPr>
          <w:rFonts w:ascii="Soberana Sans Light" w:hAnsi="Soberana Sans Light"/>
          <w:sz w:val="22"/>
          <w:szCs w:val="22"/>
          <w:lang w:val="es-MX"/>
        </w:rPr>
        <w:t xml:space="preserve"> el cual se encuentra desagregado en los siguientes rubros:</w:t>
      </w:r>
    </w:p>
    <w:p w:rsidR="009E10C2"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numPr>
          <w:ilvl w:val="0"/>
          <w:numId w:val="8"/>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saldo de la cuenta de Mobiliario y Equipo de Administración es igual a $23</w:t>
      </w:r>
      <w:proofErr w:type="gramStart"/>
      <w:r>
        <w:rPr>
          <w:rFonts w:ascii="Soberana Sans Light" w:hAnsi="Soberana Sans Light"/>
          <w:sz w:val="22"/>
          <w:szCs w:val="22"/>
          <w:lang w:val="es-MX"/>
        </w:rPr>
        <w:t>,969,743</w:t>
      </w:r>
      <w:proofErr w:type="gramEnd"/>
      <w:r>
        <w:rPr>
          <w:rFonts w:ascii="Soberana Sans Light" w:hAnsi="Soberana Sans Light"/>
          <w:sz w:val="22"/>
          <w:szCs w:val="22"/>
          <w:lang w:val="es-MX"/>
        </w:rPr>
        <w:t xml:space="preserve"> el cual equivale a los bienes muebles utilizados en oficinas administrativas y académicas para la realización de los objetivos de la Universidad.</w:t>
      </w:r>
    </w:p>
    <w:p w:rsidR="009E10C2" w:rsidRDefault="009E10C2" w:rsidP="009E10C2">
      <w:pPr>
        <w:pStyle w:val="ROMANOS"/>
        <w:numPr>
          <w:ilvl w:val="0"/>
          <w:numId w:val="8"/>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saldo de la cuenta de Mobiliario y Equipo Educacional y Recreativo equivale a $63</w:t>
      </w:r>
      <w:proofErr w:type="gramStart"/>
      <w:r>
        <w:rPr>
          <w:rFonts w:ascii="Soberana Sans Light" w:hAnsi="Soberana Sans Light"/>
          <w:sz w:val="22"/>
          <w:szCs w:val="22"/>
          <w:lang w:val="es-MX"/>
        </w:rPr>
        <w:t>,786,149</w:t>
      </w:r>
      <w:proofErr w:type="gramEnd"/>
      <w:r>
        <w:rPr>
          <w:rFonts w:ascii="Soberana Sans Light" w:hAnsi="Soberana Sans Light"/>
          <w:sz w:val="22"/>
          <w:szCs w:val="22"/>
          <w:lang w:val="es-MX"/>
        </w:rPr>
        <w:t xml:space="preserve"> que representa el valor de los bienes y equipos utilizados en laboratorios de ingeniería para fines didácticos y de servicio a la industria. </w:t>
      </w:r>
    </w:p>
    <w:p w:rsidR="009E10C2" w:rsidRDefault="009E10C2" w:rsidP="009E10C2">
      <w:pPr>
        <w:pStyle w:val="ROMANOS"/>
        <w:numPr>
          <w:ilvl w:val="0"/>
          <w:numId w:val="8"/>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otra parte se incluyen $1</w:t>
      </w:r>
      <w:proofErr w:type="gramStart"/>
      <w:r>
        <w:rPr>
          <w:rFonts w:ascii="Soberana Sans Light" w:hAnsi="Soberana Sans Light"/>
          <w:sz w:val="22"/>
          <w:szCs w:val="22"/>
          <w:lang w:val="es-MX"/>
        </w:rPr>
        <w:t>,622,066</w:t>
      </w:r>
      <w:proofErr w:type="gramEnd"/>
      <w:r>
        <w:rPr>
          <w:rFonts w:ascii="Soberana Sans Light" w:hAnsi="Soberana Sans Light"/>
          <w:sz w:val="22"/>
          <w:szCs w:val="22"/>
          <w:lang w:val="es-MX"/>
        </w:rPr>
        <w:t xml:space="preserve"> que equivalen al valor del acervo bibliográfico de la institución.</w:t>
      </w:r>
    </w:p>
    <w:p w:rsidR="009E10C2" w:rsidRDefault="009E10C2" w:rsidP="009E10C2">
      <w:pPr>
        <w:pStyle w:val="ROMANOS"/>
        <w:numPr>
          <w:ilvl w:val="0"/>
          <w:numId w:val="8"/>
        </w:numPr>
        <w:spacing w:after="0" w:line="240" w:lineRule="exact"/>
        <w:rPr>
          <w:rFonts w:ascii="Soberana Sans Light" w:hAnsi="Soberana Sans Light"/>
          <w:sz w:val="22"/>
          <w:szCs w:val="22"/>
          <w:lang w:val="es-MX"/>
        </w:rPr>
      </w:pPr>
      <w:r>
        <w:rPr>
          <w:rFonts w:ascii="Soberana Sans Light" w:hAnsi="Soberana Sans Light"/>
          <w:sz w:val="22"/>
          <w:szCs w:val="22"/>
          <w:lang w:val="es-MX"/>
        </w:rPr>
        <w:t>La cuenta de equipo de transporte suma $4</w:t>
      </w:r>
      <w:proofErr w:type="gramStart"/>
      <w:r>
        <w:rPr>
          <w:rFonts w:ascii="Soberana Sans Light" w:hAnsi="Soberana Sans Light"/>
          <w:sz w:val="22"/>
          <w:szCs w:val="22"/>
          <w:lang w:val="es-MX"/>
        </w:rPr>
        <w:t>,991,565</w:t>
      </w:r>
      <w:proofErr w:type="gramEnd"/>
      <w:r>
        <w:rPr>
          <w:rFonts w:ascii="Soberana Sans Light" w:hAnsi="Soberana Sans Light"/>
          <w:sz w:val="22"/>
          <w:szCs w:val="22"/>
          <w:lang w:val="es-MX"/>
        </w:rPr>
        <w:t xml:space="preserve"> equivale al importe de tres autobuses y otras unidades vehiculares que son utilizadas para el servicio del alumnado y del personal académico, así como para las actividades administrativas.</w:t>
      </w:r>
    </w:p>
    <w:p w:rsidR="009E10C2" w:rsidRPr="00A15172" w:rsidRDefault="009E10C2" w:rsidP="009E10C2">
      <w:pPr>
        <w:pStyle w:val="ROMANOS"/>
        <w:numPr>
          <w:ilvl w:val="0"/>
          <w:numId w:val="8"/>
        </w:numPr>
        <w:spacing w:after="0" w:line="240" w:lineRule="exact"/>
        <w:rPr>
          <w:rFonts w:ascii="Soberana Sans Light" w:hAnsi="Soberana Sans Light"/>
          <w:sz w:val="22"/>
          <w:szCs w:val="22"/>
          <w:lang w:val="es-MX"/>
        </w:rPr>
      </w:pPr>
      <w:r>
        <w:rPr>
          <w:rFonts w:ascii="Soberana Sans Light" w:hAnsi="Soberana Sans Light"/>
          <w:sz w:val="22"/>
          <w:szCs w:val="22"/>
          <w:lang w:val="es-MX"/>
        </w:rPr>
        <w:t>Dentro de los Activos Intangibles se encuentra el software que representa la cantidad de $170,130.</w:t>
      </w:r>
    </w:p>
    <w:p w:rsidR="009E10C2" w:rsidRDefault="009E10C2" w:rsidP="009E10C2">
      <w:pPr>
        <w:pStyle w:val="ROMANOS"/>
        <w:spacing w:after="0" w:line="240" w:lineRule="exact"/>
        <w:ind w:left="723" w:firstLine="0"/>
        <w:rPr>
          <w:rFonts w:ascii="Soberana Sans Light" w:hAnsi="Soberana Sans Light"/>
          <w:sz w:val="22"/>
          <w:szCs w:val="22"/>
          <w:lang w:val="es-MX"/>
        </w:rPr>
      </w:pPr>
    </w:p>
    <w:p w:rsidR="009E10C2" w:rsidRDefault="009E10C2" w:rsidP="009E10C2">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En el periodo del 1 de enero al 30 de junio se registraron altas a la cuenta de Bienes Muebles por la cantidad de $1</w:t>
      </w:r>
      <w:proofErr w:type="gramStart"/>
      <w:r>
        <w:rPr>
          <w:rFonts w:ascii="Soberana Sans Light" w:hAnsi="Soberana Sans Light"/>
          <w:sz w:val="22"/>
          <w:szCs w:val="22"/>
          <w:lang w:val="es-MX"/>
        </w:rPr>
        <w:t>,071,431</w:t>
      </w:r>
      <w:proofErr w:type="gramEnd"/>
      <w:r>
        <w:rPr>
          <w:rFonts w:ascii="Soberana Sans Light" w:hAnsi="Soberana Sans Light"/>
          <w:sz w:val="22"/>
          <w:szCs w:val="22"/>
          <w:lang w:val="es-MX"/>
        </w:rPr>
        <w:t xml:space="preserve"> derivados de la compra de bienes para laboratorios y talleres en su mayor parte. El inventario está en proceso de actualización.</w:t>
      </w:r>
    </w:p>
    <w:p w:rsidR="009E10C2" w:rsidRPr="00540418" w:rsidRDefault="009E10C2" w:rsidP="009E10C2">
      <w:pPr>
        <w:pStyle w:val="ROMANOS"/>
        <w:spacing w:after="0" w:line="240" w:lineRule="exact"/>
        <w:rPr>
          <w:rFonts w:ascii="Soberana Sans Light" w:hAnsi="Soberana Sans Light"/>
          <w:sz w:val="22"/>
          <w:szCs w:val="22"/>
          <w:lang w:val="es-MX"/>
        </w:rPr>
      </w:pPr>
    </w:p>
    <w:p w:rsidR="009E10C2" w:rsidRPr="00540418"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9E10C2" w:rsidRDefault="009E10C2" w:rsidP="009E10C2">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E10C2" w:rsidRPr="00540418" w:rsidRDefault="009E10C2" w:rsidP="009E10C2">
      <w:pPr>
        <w:pStyle w:val="ROMANOS"/>
        <w:spacing w:after="0" w:line="240" w:lineRule="exact"/>
        <w:ind w:left="723" w:firstLine="0"/>
        <w:rPr>
          <w:rFonts w:ascii="Soberana Sans Light" w:hAnsi="Soberana Sans Light"/>
          <w:sz w:val="22"/>
          <w:szCs w:val="22"/>
          <w:lang w:val="es-MX"/>
        </w:rPr>
      </w:pPr>
    </w:p>
    <w:p w:rsidR="009E10C2" w:rsidRPr="00540418"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9E10C2" w:rsidRDefault="009E10C2" w:rsidP="009E10C2">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E10C2" w:rsidRDefault="009E10C2" w:rsidP="009E10C2">
      <w:pPr>
        <w:pStyle w:val="ROMANOS"/>
        <w:spacing w:after="0" w:line="240" w:lineRule="exact"/>
        <w:ind w:left="0" w:firstLine="0"/>
        <w:rPr>
          <w:rFonts w:ascii="Soberana Sans Light" w:hAnsi="Soberana Sans Light"/>
          <w:sz w:val="22"/>
          <w:szCs w:val="22"/>
          <w:lang w:val="es-MX"/>
        </w:rPr>
      </w:pPr>
    </w:p>
    <w:p w:rsidR="009E10C2" w:rsidRPr="00540418" w:rsidRDefault="009E10C2" w:rsidP="009E10C2">
      <w:pPr>
        <w:pStyle w:val="ROMANOS"/>
        <w:spacing w:after="0" w:line="240" w:lineRule="exact"/>
        <w:ind w:left="723" w:firstLine="0"/>
        <w:rPr>
          <w:rFonts w:ascii="Soberana Sans Light" w:hAnsi="Soberana Sans Light"/>
          <w:sz w:val="22"/>
          <w:szCs w:val="22"/>
          <w:lang w:val="es-MX"/>
        </w:rPr>
      </w:pPr>
    </w:p>
    <w:p w:rsidR="009E10C2" w:rsidRPr="00540418" w:rsidRDefault="009E10C2" w:rsidP="009E10C2">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9E10C2" w:rsidRDefault="009E10C2" w:rsidP="009E10C2">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Pasivo se compone de dos partes:</w:t>
      </w:r>
    </w:p>
    <w:p w:rsidR="009E10C2" w:rsidRDefault="009E10C2" w:rsidP="009E10C2">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Las cuentas por pagar a corto plazo a proveedores por la cantidad de $588,756 que en su mayor parte corresponde a los compromisos pendientes de pago derivados de la operación normal de la Universidad por concepto de compra de bienes y servicios y que tienen un plazo de vencimiento no mayor de 30 días naturales.</w:t>
      </w:r>
    </w:p>
    <w:p w:rsidR="009E10C2" w:rsidRPr="008739AF" w:rsidRDefault="009E10C2" w:rsidP="009E10C2">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otro lado, existe un saldo por pagar de Impuesto sobre la Renta retenido a los trabajadores que corresponde al mes de marzo de 2015 por $629,967 y un saldo de $942,212 correspondiente a los recursos provenientes de los solicitantes de trámites diversos ante la Dirección General de Profesiones ($232,673) y a obligaciones por concepto de nómina ($243,443).</w:t>
      </w:r>
    </w:p>
    <w:p w:rsidR="009E10C2" w:rsidRPr="00540418" w:rsidRDefault="009E10C2" w:rsidP="009E10C2">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w:t>
      </w: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Pr="00540418" w:rsidRDefault="009E10C2" w:rsidP="009E10C2">
      <w:pPr>
        <w:pStyle w:val="ROMANOS"/>
        <w:spacing w:after="0" w:line="240" w:lineRule="exact"/>
        <w:ind w:left="1008" w:firstLine="0"/>
        <w:rPr>
          <w:rFonts w:ascii="Soberana Sans Light" w:hAnsi="Soberana Sans Light"/>
          <w:sz w:val="22"/>
          <w:szCs w:val="22"/>
          <w:lang w:val="es-MX"/>
        </w:rPr>
      </w:pPr>
    </w:p>
    <w:p w:rsidR="009E10C2" w:rsidRPr="00540418" w:rsidRDefault="009E10C2" w:rsidP="009E10C2">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9E10C2" w:rsidRPr="00540418" w:rsidRDefault="009E10C2" w:rsidP="009E10C2">
      <w:pPr>
        <w:pStyle w:val="INCISO"/>
        <w:spacing w:after="0" w:line="240" w:lineRule="exact"/>
        <w:ind w:left="360"/>
        <w:rPr>
          <w:rFonts w:ascii="Soberana Sans Light" w:hAnsi="Soberana Sans Light"/>
          <w:b/>
          <w:smallCaps/>
          <w:sz w:val="22"/>
          <w:szCs w:val="22"/>
        </w:rPr>
      </w:pPr>
    </w:p>
    <w:p w:rsidR="009E10C2"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9E10C2" w:rsidRDefault="009E10C2" w:rsidP="009E10C2">
      <w:pPr>
        <w:pStyle w:val="ROMANOS"/>
        <w:spacing w:after="0" w:line="240" w:lineRule="exact"/>
        <w:rPr>
          <w:rFonts w:ascii="Soberana Sans Light" w:hAnsi="Soberana Sans Light"/>
          <w:b/>
          <w:sz w:val="22"/>
          <w:szCs w:val="22"/>
          <w:lang w:val="es-MX"/>
        </w:rPr>
      </w:pPr>
    </w:p>
    <w:p w:rsidR="009E10C2" w:rsidRDefault="009E10C2" w:rsidP="009E10C2">
      <w:pPr>
        <w:pStyle w:val="ROMANOS"/>
        <w:spacing w:after="0" w:line="240" w:lineRule="exact"/>
        <w:rPr>
          <w:rFonts w:ascii="Soberana Sans Light" w:hAnsi="Soberana Sans Light"/>
          <w:sz w:val="22"/>
          <w:szCs w:val="22"/>
          <w:lang w:val="es-MX"/>
        </w:rPr>
      </w:pPr>
      <w:r w:rsidRPr="006477DC">
        <w:rPr>
          <w:rFonts w:ascii="Soberana Sans Light" w:hAnsi="Soberana Sans Light"/>
          <w:sz w:val="22"/>
          <w:szCs w:val="22"/>
          <w:lang w:val="es-MX"/>
        </w:rPr>
        <w:t>Los ingresos de la</w:t>
      </w:r>
      <w:r>
        <w:rPr>
          <w:rFonts w:ascii="Soberana Sans Light" w:hAnsi="Soberana Sans Light"/>
          <w:sz w:val="22"/>
          <w:szCs w:val="22"/>
          <w:lang w:val="es-MX"/>
        </w:rPr>
        <w:t xml:space="preserve"> Universidad Tecnológica de Tlaxcala del 1 de enero al 31 de marzo de 2015 ($13</w:t>
      </w:r>
      <w:proofErr w:type="gramStart"/>
      <w:r>
        <w:rPr>
          <w:rFonts w:ascii="Soberana Sans Light" w:hAnsi="Soberana Sans Light"/>
          <w:sz w:val="22"/>
          <w:szCs w:val="22"/>
          <w:lang w:val="es-MX"/>
        </w:rPr>
        <w:t>,257,138</w:t>
      </w:r>
      <w:proofErr w:type="gramEnd"/>
      <w:r>
        <w:rPr>
          <w:rFonts w:ascii="Soberana Sans Light" w:hAnsi="Soberana Sans Light"/>
          <w:sz w:val="22"/>
          <w:szCs w:val="22"/>
          <w:lang w:val="es-MX"/>
        </w:rPr>
        <w:t>) provienen de las siguientes</w:t>
      </w:r>
      <w:r w:rsidRPr="006477DC">
        <w:rPr>
          <w:rFonts w:ascii="Soberana Sans Light" w:hAnsi="Soberana Sans Light"/>
          <w:sz w:val="22"/>
          <w:szCs w:val="22"/>
          <w:lang w:val="es-MX"/>
        </w:rPr>
        <w:t xml:space="preserve"> fuentes principales:</w:t>
      </w:r>
    </w:p>
    <w:p w:rsidR="009E10C2" w:rsidRDefault="009E10C2" w:rsidP="009E10C2">
      <w:pPr>
        <w:pStyle w:val="ROMANOS"/>
        <w:spacing w:after="0" w:line="240" w:lineRule="exact"/>
        <w:rPr>
          <w:rFonts w:ascii="Soberana Sans Light" w:hAnsi="Soberana Sans Light"/>
          <w:sz w:val="22"/>
          <w:szCs w:val="22"/>
          <w:lang w:val="es-MX"/>
        </w:rPr>
      </w:pPr>
    </w:p>
    <w:p w:rsidR="009E10C2" w:rsidRDefault="009E10C2" w:rsidP="009E10C2">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Recurso Federal proveniente del Convenio Específico para la asignación de recursos financieros para la operación de la Universidad con la Secretaría de Educación Pública Federal por $6,217,518.</w:t>
      </w:r>
    </w:p>
    <w:p w:rsidR="009E10C2" w:rsidRDefault="009E10C2" w:rsidP="009E10C2">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Recursos Estatales por $4</w:t>
      </w:r>
      <w:proofErr w:type="gramStart"/>
      <w:r>
        <w:rPr>
          <w:rFonts w:ascii="Soberana Sans Light" w:hAnsi="Soberana Sans Light"/>
          <w:sz w:val="22"/>
          <w:szCs w:val="22"/>
          <w:lang w:val="es-MX"/>
        </w:rPr>
        <w:t>,686,830</w:t>
      </w:r>
      <w:proofErr w:type="gramEnd"/>
      <w:r>
        <w:rPr>
          <w:rFonts w:ascii="Soberana Sans Light" w:hAnsi="Soberana Sans Light"/>
          <w:sz w:val="22"/>
          <w:szCs w:val="22"/>
          <w:lang w:val="es-MX"/>
        </w:rPr>
        <w:t xml:space="preserve"> mismos que son transferidos por el Gobierno del Estado en cumplimiento parcial a lo establecido en el Convenio citado en el párrafo anterior. El importe de $19</w:t>
      </w:r>
      <w:proofErr w:type="gramStart"/>
      <w:r>
        <w:rPr>
          <w:rFonts w:ascii="Soberana Sans Light" w:hAnsi="Soberana Sans Light"/>
          <w:sz w:val="22"/>
          <w:szCs w:val="22"/>
          <w:lang w:val="es-MX"/>
        </w:rPr>
        <w:t>,000,000</w:t>
      </w:r>
      <w:proofErr w:type="gramEnd"/>
      <w:r>
        <w:rPr>
          <w:rFonts w:ascii="Soberana Sans Light" w:hAnsi="Soberana Sans Light"/>
          <w:sz w:val="22"/>
          <w:szCs w:val="22"/>
          <w:lang w:val="es-MX"/>
        </w:rPr>
        <w:t xml:space="preserve"> programado se encuentra contenido en el Decreto de Presupuesto de Egresos del Estado para el Ejercicio Fiscal 2015.</w:t>
      </w:r>
    </w:p>
    <w:p w:rsidR="009E10C2" w:rsidRDefault="009E10C2" w:rsidP="009E10C2">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ingresos de Recursos Propios por $2,299,073 mismos que son recaudados por la Universidad por concepto de Derechos tales como cuotas de colegiaturas, exámenes, inscripción y recuperación; así como los servicios que ofrece la Institución a otras entidades públicas y privadas.</w:t>
      </w:r>
    </w:p>
    <w:p w:rsidR="009E10C2" w:rsidRDefault="009E10C2" w:rsidP="009E10C2">
      <w:pPr>
        <w:pStyle w:val="ROMANOS"/>
        <w:numPr>
          <w:ilvl w:val="0"/>
          <w:numId w:val="10"/>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ingresos por concepto de aprovechamientos (intereses) por la cantidad de $53,717.</w:t>
      </w:r>
    </w:p>
    <w:p w:rsidR="009E10C2" w:rsidRDefault="009E10C2" w:rsidP="009E10C2">
      <w:pPr>
        <w:pStyle w:val="ROMANOS"/>
        <w:spacing w:after="0" w:line="240" w:lineRule="exact"/>
        <w:rPr>
          <w:rFonts w:ascii="Soberana Sans Light" w:hAnsi="Soberana Sans Light"/>
          <w:sz w:val="22"/>
          <w:szCs w:val="22"/>
          <w:lang w:val="es-MX"/>
        </w:rPr>
      </w:pPr>
    </w:p>
    <w:p w:rsidR="009E10C2" w:rsidRDefault="009E10C2" w:rsidP="009E10C2">
      <w:pPr>
        <w:pStyle w:val="ROMANOS"/>
        <w:spacing w:after="0" w:line="240" w:lineRule="exact"/>
        <w:rPr>
          <w:rFonts w:ascii="Soberana Sans Light" w:hAnsi="Soberana Sans Light"/>
          <w:sz w:val="22"/>
          <w:szCs w:val="22"/>
          <w:lang w:val="es-MX"/>
        </w:rPr>
      </w:pPr>
    </w:p>
    <w:tbl>
      <w:tblPr>
        <w:tblW w:w="13843" w:type="dxa"/>
        <w:tblCellMar>
          <w:left w:w="70" w:type="dxa"/>
          <w:right w:w="70" w:type="dxa"/>
        </w:tblCellMar>
        <w:tblLook w:val="04A0" w:firstRow="1" w:lastRow="0" w:firstColumn="1" w:lastColumn="0" w:noHBand="0" w:noVBand="1"/>
      </w:tblPr>
      <w:tblGrid>
        <w:gridCol w:w="146"/>
        <w:gridCol w:w="8637"/>
        <w:gridCol w:w="460"/>
        <w:gridCol w:w="1880"/>
        <w:gridCol w:w="460"/>
        <w:gridCol w:w="2260"/>
      </w:tblGrid>
      <w:tr w:rsidR="009E10C2" w:rsidRPr="002F3091" w:rsidTr="00B7265E">
        <w:trPr>
          <w:trHeight w:val="375"/>
        </w:trPr>
        <w:tc>
          <w:tcPr>
            <w:tcW w:w="8783" w:type="dxa"/>
            <w:gridSpan w:val="2"/>
            <w:vMerge w:val="restart"/>
            <w:tcBorders>
              <w:top w:val="nil"/>
              <w:left w:val="nil"/>
              <w:bottom w:val="nil"/>
              <w:right w:val="nil"/>
            </w:tcBorders>
            <w:vAlign w:val="center"/>
            <w:hideMark/>
          </w:tcPr>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Default="009E10C2" w:rsidP="00B7265E">
            <w:pPr>
              <w:spacing w:after="0" w:line="240" w:lineRule="auto"/>
              <w:rPr>
                <w:rFonts w:ascii="Arial" w:eastAsia="Times New Roman" w:hAnsi="Arial" w:cs="Arial"/>
                <w:b/>
                <w:bCs/>
                <w:color w:val="FFFFFF"/>
                <w:lang w:eastAsia="es-MX"/>
              </w:rPr>
            </w:pPr>
          </w:p>
          <w:p w:rsidR="009E10C2" w:rsidRPr="002F3091" w:rsidRDefault="009E10C2" w:rsidP="00B7265E">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center"/>
              <w:rPr>
                <w:rFonts w:ascii="Arial" w:eastAsia="Times New Roman" w:hAnsi="Arial" w:cs="Arial"/>
                <w:b/>
                <w:bCs/>
                <w:color w:val="FFFFFF"/>
                <w:lang w:eastAsia="es-MX"/>
              </w:rPr>
            </w:pPr>
          </w:p>
        </w:tc>
        <w:tc>
          <w:tcPr>
            <w:tcW w:w="1880" w:type="dxa"/>
            <w:vMerge w:val="restart"/>
            <w:tcBorders>
              <w:top w:val="nil"/>
              <w:left w:val="nil"/>
              <w:bottom w:val="nil"/>
              <w:right w:val="nil"/>
            </w:tcBorders>
            <w:vAlign w:val="center"/>
            <w:hideMark/>
          </w:tcPr>
          <w:p w:rsidR="009E10C2" w:rsidRPr="002F3091" w:rsidRDefault="009E10C2" w:rsidP="00B7265E">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Times New Roman" w:eastAsia="Times New Roman" w:hAnsi="Times New Roman" w:cs="Times New Roman"/>
                <w:lang w:eastAsia="es-MX"/>
              </w:rPr>
            </w:pPr>
          </w:p>
        </w:tc>
        <w:tc>
          <w:tcPr>
            <w:tcW w:w="2260" w:type="dxa"/>
            <w:vMerge w:val="restart"/>
            <w:tcBorders>
              <w:top w:val="nil"/>
              <w:left w:val="nil"/>
              <w:bottom w:val="nil"/>
              <w:right w:val="nil"/>
            </w:tcBorders>
            <w:vAlign w:val="center"/>
            <w:hideMark/>
          </w:tcPr>
          <w:p w:rsidR="009E10C2" w:rsidRPr="002F3091" w:rsidRDefault="009E10C2" w:rsidP="00B7265E">
            <w:pPr>
              <w:spacing w:after="0" w:line="240" w:lineRule="auto"/>
              <w:rPr>
                <w:rFonts w:ascii="Arial" w:eastAsia="Times New Roman" w:hAnsi="Arial" w:cs="Arial"/>
                <w:b/>
                <w:bCs/>
                <w:color w:val="FFFFFF"/>
                <w:lang w:eastAsia="es-MX"/>
              </w:rPr>
            </w:pPr>
          </w:p>
        </w:tc>
      </w:tr>
      <w:tr w:rsidR="009E10C2" w:rsidRPr="002F3091" w:rsidTr="00B7265E">
        <w:trPr>
          <w:trHeight w:val="375"/>
        </w:trPr>
        <w:tc>
          <w:tcPr>
            <w:tcW w:w="8783" w:type="dxa"/>
            <w:gridSpan w:val="2"/>
            <w:vMerge/>
            <w:tcBorders>
              <w:top w:val="nil"/>
              <w:left w:val="nil"/>
              <w:bottom w:val="nil"/>
              <w:right w:val="nil"/>
            </w:tcBorders>
            <w:vAlign w:val="center"/>
            <w:hideMark/>
          </w:tcPr>
          <w:p w:rsidR="009E10C2" w:rsidRPr="002F3091" w:rsidRDefault="009E10C2" w:rsidP="00B7265E">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Times New Roman" w:eastAsia="Times New Roman" w:hAnsi="Times New Roman" w:cs="Times New Roman"/>
                <w:lang w:eastAsia="es-MX"/>
              </w:rPr>
            </w:pPr>
          </w:p>
        </w:tc>
        <w:tc>
          <w:tcPr>
            <w:tcW w:w="1880" w:type="dxa"/>
            <w:vMerge/>
            <w:tcBorders>
              <w:top w:val="nil"/>
              <w:left w:val="nil"/>
              <w:bottom w:val="nil"/>
              <w:right w:val="nil"/>
            </w:tcBorders>
            <w:vAlign w:val="center"/>
            <w:hideMark/>
          </w:tcPr>
          <w:p w:rsidR="009E10C2" w:rsidRPr="002F3091" w:rsidRDefault="009E10C2" w:rsidP="00B7265E">
            <w:pPr>
              <w:spacing w:after="0" w:line="240" w:lineRule="auto"/>
              <w:rPr>
                <w:rFonts w:ascii="Arial" w:eastAsia="Times New Roman" w:hAnsi="Arial" w:cs="Arial"/>
                <w:b/>
                <w:bCs/>
                <w:color w:val="FFFFFF"/>
                <w:lang w:eastAsia="es-MX"/>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Times New Roman" w:eastAsia="Times New Roman" w:hAnsi="Times New Roman" w:cs="Times New Roman"/>
                <w:lang w:eastAsia="es-MX"/>
              </w:rPr>
            </w:pPr>
          </w:p>
        </w:tc>
        <w:tc>
          <w:tcPr>
            <w:tcW w:w="2260" w:type="dxa"/>
            <w:vMerge/>
            <w:tcBorders>
              <w:top w:val="nil"/>
              <w:left w:val="nil"/>
              <w:bottom w:val="nil"/>
              <w:right w:val="nil"/>
            </w:tcBorders>
            <w:vAlign w:val="center"/>
            <w:hideMark/>
          </w:tcPr>
          <w:p w:rsidR="009E10C2" w:rsidRPr="002F3091" w:rsidRDefault="009E10C2" w:rsidP="00B7265E">
            <w:pPr>
              <w:spacing w:after="0" w:line="240" w:lineRule="auto"/>
              <w:rPr>
                <w:rFonts w:ascii="Arial" w:eastAsia="Times New Roman" w:hAnsi="Arial" w:cs="Arial"/>
                <w:b/>
                <w:bCs/>
                <w:color w:val="FFFFFF"/>
                <w:lang w:eastAsia="es-MX"/>
              </w:rPr>
            </w:pPr>
          </w:p>
        </w:tc>
      </w:tr>
      <w:tr w:rsidR="009E10C2" w:rsidRPr="002F3091" w:rsidTr="00B7265E">
        <w:trPr>
          <w:trHeight w:val="375"/>
        </w:trPr>
        <w:tc>
          <w:tcPr>
            <w:tcW w:w="146" w:type="dxa"/>
            <w:tcBorders>
              <w:top w:val="nil"/>
              <w:left w:val="nil"/>
              <w:bottom w:val="nil"/>
            </w:tcBorders>
            <w:shd w:val="clear" w:color="auto" w:fill="auto"/>
            <w:noWrap/>
            <w:vAlign w:val="bottom"/>
            <w:hideMark/>
          </w:tcPr>
          <w:p w:rsidR="009E10C2" w:rsidRPr="002F3091" w:rsidRDefault="009E10C2" w:rsidP="00B7265E">
            <w:pPr>
              <w:spacing w:after="0" w:line="240" w:lineRule="auto"/>
              <w:rPr>
                <w:rFonts w:ascii="Times New Roman" w:eastAsia="Times New Roman" w:hAnsi="Times New Roman" w:cs="Times New Roman"/>
                <w:lang w:eastAsia="es-MX"/>
              </w:rPr>
            </w:pPr>
          </w:p>
        </w:tc>
        <w:tc>
          <w:tcPr>
            <w:tcW w:w="8637" w:type="dxa"/>
            <w:tcBorders>
              <w:bottom w:val="single" w:sz="4" w:space="0" w:color="auto"/>
            </w:tcBorders>
            <w:shd w:val="clear" w:color="auto" w:fill="auto"/>
            <w:noWrap/>
            <w:vAlign w:val="center"/>
            <w:hideMark/>
          </w:tcPr>
          <w:p w:rsidR="009E10C2" w:rsidRPr="002F3091" w:rsidRDefault="009E10C2" w:rsidP="00B7265E">
            <w:pPr>
              <w:spacing w:after="0" w:line="240" w:lineRule="auto"/>
              <w:jc w:val="center"/>
              <w:rPr>
                <w:rFonts w:ascii="Soberana Sans Light" w:eastAsia="Times New Roman" w:hAnsi="Soberana Sans Light" w:cs="Arial"/>
                <w:b/>
                <w:color w:val="000000" w:themeColor="text1"/>
                <w:lang w:eastAsia="es-ES"/>
              </w:rPr>
            </w:pPr>
            <w:r w:rsidRPr="002F3091">
              <w:rPr>
                <w:rFonts w:ascii="Soberana Sans Light" w:eastAsia="Times New Roman" w:hAnsi="Soberana Sans Light" w:cs="Arial"/>
                <w:b/>
                <w:color w:val="000000" w:themeColor="text1"/>
                <w:lang w:eastAsia="es-ES"/>
              </w:rPr>
              <w:t>DESCRIPCIÓN</w:t>
            </w:r>
          </w:p>
        </w:tc>
        <w:tc>
          <w:tcPr>
            <w:tcW w:w="460" w:type="dxa"/>
            <w:tcBorders>
              <w:bottom w:val="single" w:sz="4" w:space="0" w:color="auto"/>
            </w:tcBorders>
            <w:shd w:val="clear" w:color="auto" w:fill="auto"/>
            <w:noWrap/>
            <w:vAlign w:val="bottom"/>
            <w:hideMark/>
          </w:tcPr>
          <w:p w:rsidR="009E10C2" w:rsidRPr="002F3091" w:rsidRDefault="009E10C2" w:rsidP="00B7265E">
            <w:pPr>
              <w:spacing w:after="0" w:line="240" w:lineRule="auto"/>
              <w:jc w:val="center"/>
              <w:rPr>
                <w:rFonts w:ascii="Soberana Sans Light" w:eastAsia="Times New Roman" w:hAnsi="Soberana Sans Light" w:cs="Arial"/>
                <w:b/>
                <w:color w:val="FFFFFF" w:themeColor="background1"/>
                <w:lang w:eastAsia="es-ES"/>
              </w:rPr>
            </w:pPr>
          </w:p>
        </w:tc>
        <w:tc>
          <w:tcPr>
            <w:tcW w:w="1880" w:type="dxa"/>
            <w:tcBorders>
              <w:bottom w:val="single" w:sz="4" w:space="0" w:color="auto"/>
            </w:tcBorders>
            <w:shd w:val="clear" w:color="auto" w:fill="auto"/>
            <w:noWrap/>
            <w:vAlign w:val="center"/>
            <w:hideMark/>
          </w:tcPr>
          <w:p w:rsidR="009E10C2" w:rsidRPr="002F3091" w:rsidRDefault="009E10C2" w:rsidP="00B7265E">
            <w:pPr>
              <w:spacing w:after="0" w:line="240" w:lineRule="auto"/>
              <w:jc w:val="center"/>
              <w:rPr>
                <w:rFonts w:ascii="Soberana Sans Light" w:eastAsia="Times New Roman" w:hAnsi="Soberana Sans Light" w:cs="Arial"/>
                <w:b/>
                <w:color w:val="FFFFFF" w:themeColor="background1"/>
                <w:lang w:eastAsia="es-ES"/>
              </w:rPr>
            </w:pPr>
          </w:p>
        </w:tc>
        <w:tc>
          <w:tcPr>
            <w:tcW w:w="460" w:type="dxa"/>
            <w:tcBorders>
              <w:bottom w:val="single" w:sz="4" w:space="0" w:color="auto"/>
            </w:tcBorders>
            <w:shd w:val="clear" w:color="auto" w:fill="auto"/>
            <w:noWrap/>
            <w:vAlign w:val="bottom"/>
            <w:hideMark/>
          </w:tcPr>
          <w:p w:rsidR="009E10C2" w:rsidRPr="002F3091" w:rsidRDefault="009E10C2" w:rsidP="00B7265E">
            <w:pPr>
              <w:spacing w:after="0" w:line="240" w:lineRule="auto"/>
              <w:jc w:val="center"/>
              <w:rPr>
                <w:rFonts w:ascii="Soberana Sans Light" w:eastAsia="Times New Roman" w:hAnsi="Soberana Sans Light" w:cs="Arial"/>
                <w:b/>
                <w:color w:val="FFFFFF" w:themeColor="background1"/>
                <w:lang w:eastAsia="es-ES"/>
              </w:rPr>
            </w:pPr>
          </w:p>
        </w:tc>
        <w:tc>
          <w:tcPr>
            <w:tcW w:w="2260" w:type="dxa"/>
            <w:tcBorders>
              <w:bottom w:val="single" w:sz="4" w:space="0" w:color="auto"/>
            </w:tcBorders>
            <w:shd w:val="clear" w:color="auto" w:fill="auto"/>
            <w:noWrap/>
            <w:vAlign w:val="center"/>
            <w:hideMark/>
          </w:tcPr>
          <w:p w:rsidR="009E10C2" w:rsidRPr="002F3091" w:rsidRDefault="009E10C2" w:rsidP="00B7265E">
            <w:pPr>
              <w:spacing w:after="0" w:line="240" w:lineRule="auto"/>
              <w:jc w:val="right"/>
              <w:rPr>
                <w:rFonts w:ascii="Soberana Sans Light" w:eastAsia="Times New Roman" w:hAnsi="Soberana Sans Light" w:cs="Arial"/>
                <w:b/>
                <w:color w:val="FFFFFF" w:themeColor="background1"/>
                <w:lang w:eastAsia="es-ES"/>
              </w:rPr>
            </w:pPr>
            <w:r w:rsidRPr="002F3091">
              <w:rPr>
                <w:rFonts w:ascii="Soberana Sans Light" w:eastAsia="Times New Roman" w:hAnsi="Soberana Sans Light" w:cs="Arial"/>
                <w:b/>
                <w:color w:val="000000" w:themeColor="text1"/>
                <w:lang w:eastAsia="es-ES"/>
              </w:rPr>
              <w:t>IMPORTE</w:t>
            </w:r>
          </w:p>
        </w:tc>
      </w:tr>
      <w:tr w:rsidR="009E10C2" w:rsidRPr="002F3091" w:rsidTr="00B7265E">
        <w:trPr>
          <w:trHeight w:val="375"/>
        </w:trPr>
        <w:tc>
          <w:tcPr>
            <w:tcW w:w="8783" w:type="dxa"/>
            <w:gridSpan w:val="2"/>
            <w:tcBorders>
              <w:top w:val="single" w:sz="4" w:space="0" w:color="auto"/>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PARTICIPACIONES</w:t>
            </w:r>
          </w:p>
        </w:tc>
        <w:tc>
          <w:tcPr>
            <w:tcW w:w="460" w:type="dxa"/>
            <w:tcBorders>
              <w:top w:val="single" w:sz="4" w:space="0" w:color="auto"/>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single" w:sz="4" w:space="0" w:color="auto"/>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single" w:sz="4" w:space="0" w:color="auto"/>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single" w:sz="4" w:space="0" w:color="auto"/>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4,686,830</w:t>
            </w:r>
            <w:r w:rsidRPr="002F3091">
              <w:rPr>
                <w:rFonts w:ascii="Soberana Sans Light" w:eastAsia="Times New Roman" w:hAnsi="Soberana Sans Light" w:cs="Arial"/>
                <w:lang w:eastAsia="es-ES"/>
              </w:rPr>
              <w:t xml:space="preserve"> </w:t>
            </w:r>
          </w:p>
        </w:tc>
      </w:tr>
      <w:tr w:rsidR="009E10C2" w:rsidRPr="002F3091" w:rsidTr="00B7265E">
        <w:trPr>
          <w:trHeight w:val="375"/>
        </w:trPr>
        <w:tc>
          <w:tcPr>
            <w:tcW w:w="146"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r>
      <w:tr w:rsidR="009E10C2" w:rsidRPr="002F3091" w:rsidTr="00B7265E">
        <w:trPr>
          <w:trHeight w:val="375"/>
        </w:trPr>
        <w:tc>
          <w:tcPr>
            <w:tcW w:w="8783" w:type="dxa"/>
            <w:gridSpan w:val="2"/>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CONVENIOS</w:t>
            </w: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6,217,518</w:t>
            </w:r>
            <w:r w:rsidRPr="002F3091">
              <w:rPr>
                <w:rFonts w:ascii="Soberana Sans Light" w:eastAsia="Times New Roman" w:hAnsi="Soberana Sans Light" w:cs="Arial"/>
                <w:lang w:eastAsia="es-ES"/>
              </w:rPr>
              <w:t xml:space="preserve"> </w:t>
            </w:r>
          </w:p>
        </w:tc>
      </w:tr>
      <w:tr w:rsidR="009E10C2" w:rsidRPr="002F3091" w:rsidTr="00B7265E">
        <w:trPr>
          <w:trHeight w:val="375"/>
        </w:trPr>
        <w:tc>
          <w:tcPr>
            <w:tcW w:w="146"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r>
      <w:tr w:rsidR="009E10C2" w:rsidRPr="002F3091" w:rsidTr="00B7265E">
        <w:trPr>
          <w:trHeight w:val="510"/>
        </w:trPr>
        <w:tc>
          <w:tcPr>
            <w:tcW w:w="146"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vAlign w:val="bottom"/>
            <w:hideMark/>
          </w:tcPr>
          <w:p w:rsidR="009E10C2" w:rsidRPr="002F3091" w:rsidRDefault="009E10C2" w:rsidP="00B7265E">
            <w:pPr>
              <w:spacing w:after="0" w:line="240" w:lineRule="auto"/>
              <w:jc w:val="both"/>
              <w:rPr>
                <w:rFonts w:ascii="Soberana Sans Light" w:eastAsia="Times New Roman" w:hAnsi="Soberana Sans Light" w:cs="Arial"/>
                <w:lang w:eastAsia="es-ES"/>
              </w:rPr>
            </w:pPr>
            <w:r w:rsidRPr="002F3091">
              <w:rPr>
                <w:rFonts w:ascii="Soberana Sans Light" w:eastAsia="Times New Roman" w:hAnsi="Soberana Sans Light" w:cs="Arial"/>
                <w:lang w:eastAsia="es-ES"/>
              </w:rPr>
              <w:t>SUBSIDIO FEDERAL GASTOS DE OPERACIÓN (COORDINACION GENERAL DE UNIVERSIDADES TECNOLÓGICAS Y POLITÉCNICAS)</w:t>
            </w: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6,217,518</w:t>
            </w:r>
            <w:r w:rsidRPr="002F3091">
              <w:rPr>
                <w:rFonts w:ascii="Soberana Sans Light" w:eastAsia="Times New Roman" w:hAnsi="Soberana Sans Light" w:cs="Arial"/>
                <w:lang w:eastAsia="es-ES"/>
              </w:rPr>
              <w:t xml:space="preserve"> </w:t>
            </w: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r>
      <w:tr w:rsidR="009E10C2" w:rsidRPr="002F3091" w:rsidTr="00B7265E">
        <w:trPr>
          <w:trHeight w:val="375"/>
        </w:trPr>
        <w:tc>
          <w:tcPr>
            <w:tcW w:w="146"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both"/>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center"/>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r>
      <w:tr w:rsidR="009E10C2" w:rsidRPr="002F3091" w:rsidTr="00B7265E">
        <w:trPr>
          <w:trHeight w:val="315"/>
        </w:trPr>
        <w:tc>
          <w:tcPr>
            <w:tcW w:w="8783" w:type="dxa"/>
            <w:gridSpan w:val="2"/>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RAMO XXXIII</w:t>
            </w: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 xml:space="preserve">       </w:t>
            </w: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r w:rsidRPr="002F3091">
              <w:rPr>
                <w:rFonts w:ascii="Soberana Sans Light" w:eastAsia="Times New Roman" w:hAnsi="Soberana Sans Light" w:cs="Arial"/>
                <w:lang w:eastAsia="es-ES"/>
              </w:rPr>
              <w:t xml:space="preserve">                   </w:t>
            </w:r>
            <w:r>
              <w:rPr>
                <w:rFonts w:ascii="Soberana Sans Light" w:eastAsia="Times New Roman" w:hAnsi="Soberana Sans Light" w:cs="Arial"/>
                <w:lang w:eastAsia="es-ES"/>
              </w:rPr>
              <w:t>0</w:t>
            </w:r>
            <w:r w:rsidRPr="002F3091">
              <w:rPr>
                <w:rFonts w:ascii="Soberana Sans Light" w:eastAsia="Times New Roman" w:hAnsi="Soberana Sans Light" w:cs="Arial"/>
                <w:lang w:eastAsia="es-ES"/>
              </w:rPr>
              <w:t xml:space="preserve"> </w:t>
            </w:r>
          </w:p>
        </w:tc>
      </w:tr>
      <w:tr w:rsidR="009E10C2" w:rsidRPr="002F3091" w:rsidTr="00B7265E">
        <w:trPr>
          <w:trHeight w:val="375"/>
        </w:trPr>
        <w:tc>
          <w:tcPr>
            <w:tcW w:w="146"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r>
      <w:tr w:rsidR="009E10C2" w:rsidRPr="002F3091" w:rsidTr="00B7265E">
        <w:trPr>
          <w:trHeight w:val="375"/>
        </w:trPr>
        <w:tc>
          <w:tcPr>
            <w:tcW w:w="8783" w:type="dxa"/>
            <w:gridSpan w:val="2"/>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 xml:space="preserve">DERECHOS </w:t>
            </w: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2,299,073</w:t>
            </w:r>
            <w:r w:rsidRPr="002F3091">
              <w:rPr>
                <w:rFonts w:ascii="Soberana Sans Light" w:eastAsia="Times New Roman" w:hAnsi="Soberana Sans Light" w:cs="Arial"/>
                <w:lang w:eastAsia="es-ES"/>
              </w:rPr>
              <w:t xml:space="preserve"> </w:t>
            </w:r>
          </w:p>
        </w:tc>
      </w:tr>
      <w:tr w:rsidR="009E10C2" w:rsidRPr="002F3091" w:rsidTr="00B7265E">
        <w:trPr>
          <w:trHeight w:val="375"/>
        </w:trPr>
        <w:tc>
          <w:tcPr>
            <w:tcW w:w="146"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c>
          <w:tcPr>
            <w:tcW w:w="8637"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r>
      <w:tr w:rsidR="009E10C2" w:rsidRPr="002F3091" w:rsidTr="00B7265E">
        <w:trPr>
          <w:trHeight w:val="375"/>
        </w:trPr>
        <w:tc>
          <w:tcPr>
            <w:tcW w:w="8783" w:type="dxa"/>
            <w:gridSpan w:val="2"/>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PRODUCTOS</w:t>
            </w: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r>
              <w:rPr>
                <w:rFonts w:ascii="Soberana Sans Light" w:eastAsia="Times New Roman" w:hAnsi="Soberana Sans Light" w:cs="Arial"/>
                <w:lang w:eastAsia="es-ES"/>
              </w:rPr>
              <w:t>53,717</w:t>
            </w:r>
            <w:r w:rsidRPr="002F3091">
              <w:rPr>
                <w:rFonts w:ascii="Soberana Sans Light" w:eastAsia="Times New Roman" w:hAnsi="Soberana Sans Light" w:cs="Arial"/>
                <w:lang w:eastAsia="es-ES"/>
              </w:rPr>
              <w:t xml:space="preserve"> </w:t>
            </w:r>
          </w:p>
        </w:tc>
      </w:tr>
      <w:tr w:rsidR="009E10C2" w:rsidRPr="002F3091" w:rsidTr="00B7265E">
        <w:trPr>
          <w:trHeight w:val="375"/>
        </w:trPr>
        <w:tc>
          <w:tcPr>
            <w:tcW w:w="146" w:type="dxa"/>
            <w:tcBorders>
              <w:top w:val="nil"/>
              <w:left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c>
          <w:tcPr>
            <w:tcW w:w="8637" w:type="dxa"/>
            <w:tcBorders>
              <w:top w:val="nil"/>
              <w:left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p>
        </w:tc>
      </w:tr>
      <w:tr w:rsidR="009E10C2" w:rsidRPr="002F3091" w:rsidTr="00B7265E">
        <w:trPr>
          <w:trHeight w:val="375"/>
        </w:trPr>
        <w:tc>
          <w:tcPr>
            <w:tcW w:w="8783" w:type="dxa"/>
            <w:gridSpan w:val="2"/>
            <w:tcBorders>
              <w:top w:val="nil"/>
              <w:left w:val="nil"/>
              <w:bottom w:val="single" w:sz="4" w:space="0" w:color="auto"/>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r w:rsidRPr="002F3091">
              <w:rPr>
                <w:rFonts w:ascii="Soberana Sans Light" w:eastAsia="Times New Roman" w:hAnsi="Soberana Sans Light" w:cs="Arial"/>
                <w:lang w:eastAsia="es-ES"/>
              </w:rPr>
              <w:t>APROVECHAMIENTOS</w:t>
            </w:r>
          </w:p>
        </w:tc>
        <w:tc>
          <w:tcPr>
            <w:tcW w:w="460" w:type="dxa"/>
            <w:tcBorders>
              <w:top w:val="nil"/>
              <w:left w:val="nil"/>
              <w:bottom w:val="single" w:sz="4" w:space="0" w:color="auto"/>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1880" w:type="dxa"/>
            <w:tcBorders>
              <w:top w:val="nil"/>
              <w:left w:val="nil"/>
              <w:bottom w:val="single" w:sz="4" w:space="0" w:color="auto"/>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460" w:type="dxa"/>
            <w:tcBorders>
              <w:top w:val="nil"/>
              <w:left w:val="nil"/>
              <w:bottom w:val="single" w:sz="4" w:space="0" w:color="auto"/>
              <w:right w:val="nil"/>
            </w:tcBorders>
            <w:shd w:val="clear" w:color="auto" w:fill="auto"/>
            <w:noWrap/>
            <w:vAlign w:val="bottom"/>
            <w:hideMark/>
          </w:tcPr>
          <w:p w:rsidR="009E10C2" w:rsidRPr="002F3091" w:rsidRDefault="009E10C2" w:rsidP="00B7265E">
            <w:pPr>
              <w:spacing w:after="0" w:line="240" w:lineRule="auto"/>
              <w:rPr>
                <w:rFonts w:ascii="Soberana Sans Light" w:eastAsia="Times New Roman" w:hAnsi="Soberana Sans Light" w:cs="Arial"/>
                <w:lang w:eastAsia="es-ES"/>
              </w:rPr>
            </w:pPr>
          </w:p>
        </w:tc>
        <w:tc>
          <w:tcPr>
            <w:tcW w:w="2260" w:type="dxa"/>
            <w:tcBorders>
              <w:top w:val="nil"/>
              <w:left w:val="nil"/>
              <w:bottom w:val="single" w:sz="4" w:space="0" w:color="auto"/>
              <w:right w:val="nil"/>
            </w:tcBorders>
            <w:shd w:val="clear" w:color="auto" w:fill="auto"/>
            <w:noWrap/>
            <w:vAlign w:val="bottom"/>
            <w:hideMark/>
          </w:tcPr>
          <w:p w:rsidR="009E10C2" w:rsidRPr="002F3091" w:rsidRDefault="009E10C2" w:rsidP="00B7265E">
            <w:pPr>
              <w:spacing w:after="0" w:line="240" w:lineRule="auto"/>
              <w:jc w:val="right"/>
              <w:rPr>
                <w:rFonts w:ascii="Soberana Sans Light" w:eastAsia="Times New Roman" w:hAnsi="Soberana Sans Light" w:cs="Arial"/>
                <w:lang w:eastAsia="es-ES"/>
              </w:rPr>
            </w:pPr>
            <w:r w:rsidRPr="002F3091">
              <w:rPr>
                <w:rFonts w:ascii="Soberana Sans Light" w:eastAsia="Times New Roman" w:hAnsi="Soberana Sans Light" w:cs="Arial"/>
                <w:lang w:eastAsia="es-ES"/>
              </w:rPr>
              <w:t>0</w:t>
            </w:r>
          </w:p>
        </w:tc>
      </w:tr>
      <w:tr w:rsidR="009E10C2" w:rsidRPr="002F3091" w:rsidTr="00B7265E">
        <w:trPr>
          <w:trHeight w:val="375"/>
        </w:trPr>
        <w:tc>
          <w:tcPr>
            <w:tcW w:w="8783" w:type="dxa"/>
            <w:gridSpan w:val="2"/>
            <w:tcBorders>
              <w:top w:val="single" w:sz="4" w:space="0" w:color="auto"/>
            </w:tcBorders>
            <w:shd w:val="clear" w:color="auto" w:fill="auto"/>
            <w:noWrap/>
            <w:vAlign w:val="bottom"/>
          </w:tcPr>
          <w:p w:rsidR="009E10C2" w:rsidRPr="002F3091" w:rsidRDefault="009E10C2" w:rsidP="00B7265E">
            <w:pPr>
              <w:spacing w:after="0" w:line="240" w:lineRule="auto"/>
              <w:rPr>
                <w:rFonts w:ascii="Soberana Sans Light" w:eastAsia="Times New Roman" w:hAnsi="Soberana Sans Light" w:cs="Arial"/>
                <w:b/>
                <w:color w:val="000000" w:themeColor="text1"/>
                <w:lang w:eastAsia="es-ES"/>
              </w:rPr>
            </w:pPr>
            <w:r w:rsidRPr="002F3091">
              <w:rPr>
                <w:rFonts w:ascii="Soberana Sans Light" w:eastAsia="Times New Roman" w:hAnsi="Soberana Sans Light" w:cs="Arial"/>
                <w:b/>
                <w:color w:val="000000" w:themeColor="text1"/>
                <w:lang w:eastAsia="es-ES"/>
              </w:rPr>
              <w:t>TOTAL</w:t>
            </w:r>
          </w:p>
        </w:tc>
        <w:tc>
          <w:tcPr>
            <w:tcW w:w="460" w:type="dxa"/>
            <w:tcBorders>
              <w:top w:val="single" w:sz="4" w:space="0" w:color="auto"/>
            </w:tcBorders>
            <w:shd w:val="clear" w:color="auto" w:fill="auto"/>
            <w:noWrap/>
            <w:vAlign w:val="bottom"/>
          </w:tcPr>
          <w:p w:rsidR="009E10C2" w:rsidRPr="002F3091" w:rsidRDefault="009E10C2" w:rsidP="00B7265E">
            <w:pPr>
              <w:spacing w:after="0" w:line="240" w:lineRule="auto"/>
              <w:rPr>
                <w:rFonts w:ascii="Soberana Sans Light" w:eastAsia="Times New Roman" w:hAnsi="Soberana Sans Light" w:cs="Arial"/>
                <w:b/>
                <w:color w:val="000000" w:themeColor="text1"/>
                <w:lang w:eastAsia="es-ES"/>
              </w:rPr>
            </w:pPr>
          </w:p>
        </w:tc>
        <w:tc>
          <w:tcPr>
            <w:tcW w:w="1880" w:type="dxa"/>
            <w:tcBorders>
              <w:top w:val="single" w:sz="4" w:space="0" w:color="auto"/>
            </w:tcBorders>
            <w:shd w:val="clear" w:color="auto" w:fill="auto"/>
            <w:noWrap/>
            <w:vAlign w:val="bottom"/>
          </w:tcPr>
          <w:p w:rsidR="009E10C2" w:rsidRPr="002F3091" w:rsidRDefault="009E10C2" w:rsidP="00B7265E">
            <w:pPr>
              <w:spacing w:after="0" w:line="240" w:lineRule="auto"/>
              <w:jc w:val="right"/>
              <w:rPr>
                <w:rFonts w:ascii="Soberana Sans Light" w:eastAsia="Times New Roman" w:hAnsi="Soberana Sans Light" w:cs="Arial"/>
                <w:b/>
                <w:color w:val="000000" w:themeColor="text1"/>
                <w:lang w:eastAsia="es-ES"/>
              </w:rPr>
            </w:pPr>
          </w:p>
        </w:tc>
        <w:tc>
          <w:tcPr>
            <w:tcW w:w="460" w:type="dxa"/>
            <w:tcBorders>
              <w:top w:val="single" w:sz="4" w:space="0" w:color="auto"/>
            </w:tcBorders>
            <w:shd w:val="clear" w:color="auto" w:fill="auto"/>
            <w:noWrap/>
            <w:vAlign w:val="bottom"/>
          </w:tcPr>
          <w:p w:rsidR="009E10C2" w:rsidRPr="002F3091" w:rsidRDefault="009E10C2" w:rsidP="00B7265E">
            <w:pPr>
              <w:spacing w:after="0" w:line="240" w:lineRule="auto"/>
              <w:jc w:val="right"/>
              <w:rPr>
                <w:rFonts w:ascii="Soberana Sans Light" w:eastAsia="Times New Roman" w:hAnsi="Soberana Sans Light" w:cs="Arial"/>
                <w:b/>
                <w:color w:val="000000" w:themeColor="text1"/>
                <w:lang w:eastAsia="es-ES"/>
              </w:rPr>
            </w:pPr>
          </w:p>
        </w:tc>
        <w:tc>
          <w:tcPr>
            <w:tcW w:w="2260" w:type="dxa"/>
            <w:tcBorders>
              <w:top w:val="single" w:sz="4" w:space="0" w:color="auto"/>
            </w:tcBorders>
            <w:shd w:val="clear" w:color="auto" w:fill="auto"/>
            <w:noWrap/>
            <w:vAlign w:val="bottom"/>
          </w:tcPr>
          <w:p w:rsidR="009E10C2" w:rsidRPr="002F3091" w:rsidRDefault="009E10C2" w:rsidP="00B7265E">
            <w:pPr>
              <w:spacing w:after="0" w:line="240" w:lineRule="auto"/>
              <w:jc w:val="right"/>
              <w:rPr>
                <w:rFonts w:ascii="Soberana Sans Light" w:eastAsia="Times New Roman" w:hAnsi="Soberana Sans Light" w:cs="Arial"/>
                <w:b/>
                <w:color w:val="000000" w:themeColor="text1"/>
                <w:lang w:eastAsia="es-ES"/>
              </w:rPr>
            </w:pPr>
            <w:r>
              <w:rPr>
                <w:rFonts w:ascii="Soberana Sans Light" w:eastAsia="Times New Roman" w:hAnsi="Soberana Sans Light" w:cs="Arial"/>
                <w:b/>
                <w:color w:val="000000" w:themeColor="text1"/>
                <w:lang w:eastAsia="es-ES"/>
              </w:rPr>
              <w:t>13,257,138</w:t>
            </w:r>
          </w:p>
        </w:tc>
      </w:tr>
    </w:tbl>
    <w:p w:rsidR="009E10C2" w:rsidRPr="00A15172" w:rsidRDefault="009E10C2" w:rsidP="009E10C2">
      <w:pPr>
        <w:pStyle w:val="ROMANOS"/>
        <w:spacing w:after="0" w:line="240" w:lineRule="exact"/>
        <w:ind w:left="0" w:firstLine="0"/>
        <w:rPr>
          <w:rFonts w:ascii="Soberana Sans Light" w:hAnsi="Soberana Sans Light"/>
          <w:b/>
          <w:color w:val="000000" w:themeColor="text1"/>
          <w:sz w:val="22"/>
          <w:szCs w:val="22"/>
          <w:lang w:val="es-MX"/>
        </w:rPr>
      </w:pPr>
    </w:p>
    <w:p w:rsidR="009E10C2" w:rsidRPr="00540418" w:rsidRDefault="009E10C2" w:rsidP="009E10C2">
      <w:pPr>
        <w:pStyle w:val="ROMANOS"/>
        <w:spacing w:after="0" w:line="240" w:lineRule="exact"/>
        <w:rPr>
          <w:rFonts w:ascii="Soberana Sans Light" w:hAnsi="Soberana Sans Light"/>
          <w:b/>
          <w:sz w:val="22"/>
          <w:szCs w:val="22"/>
          <w:lang w:val="es-MX"/>
        </w:rPr>
      </w:pPr>
    </w:p>
    <w:p w:rsidR="009E10C2" w:rsidRPr="00540418"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Default="009E10C2" w:rsidP="009E10C2">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La Universidad Tecnológica de Tlaxcala tiene los siguientes conceptos de gasto sobresalientes:</w:t>
      </w:r>
    </w:p>
    <w:p w:rsidR="009E10C2" w:rsidRDefault="009E10C2" w:rsidP="009E10C2">
      <w:pPr>
        <w:pStyle w:val="ROMANOS"/>
        <w:spacing w:after="0" w:line="240" w:lineRule="exact"/>
        <w:rPr>
          <w:rFonts w:ascii="Soberana Sans Light" w:hAnsi="Soberana Sans Light"/>
          <w:sz w:val="22"/>
          <w:szCs w:val="22"/>
          <w:lang w:val="es-MX"/>
        </w:rPr>
      </w:pPr>
    </w:p>
    <w:p w:rsidR="009E10C2" w:rsidRDefault="009E10C2" w:rsidP="009E10C2">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Los Gastos derivados del pago de Servicios Personales a los empleados contratados para la realización de su fin, tales como académicos, administrativos y directivos. El Gasto en Servicios Personales equivale al 85.8% del Gasto total e incluye el pago de sueldos a personal administrativo y docente. Además de lo anterior, el personal de la Universidad cuenta con un seguro de vida y con el reembolso de gastos médicos como parte de las prestaciones de seguridad social.</w:t>
      </w:r>
    </w:p>
    <w:p w:rsidR="009E10C2" w:rsidRDefault="009E10C2" w:rsidP="009E10C2">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pago de Servicios Generales equivale al 10.9% del Gasto Total y principalmente es destinado a: pago de energía eléctrica, pago de servicio de vigilancia, servicios contratados de limpieza, impuesto sobre nómina y gastos relacionados con la difusión de la oferta educativa.</w:t>
      </w:r>
    </w:p>
    <w:p w:rsidR="009E10C2" w:rsidRDefault="009E10C2" w:rsidP="009E10C2">
      <w:pPr>
        <w:pStyle w:val="ROMANOS"/>
        <w:numPr>
          <w:ilvl w:val="0"/>
          <w:numId w:val="11"/>
        </w:numPr>
        <w:spacing w:after="0" w:line="240" w:lineRule="exact"/>
        <w:rPr>
          <w:rFonts w:ascii="Soberana Sans Light" w:hAnsi="Soberana Sans Light"/>
          <w:sz w:val="22"/>
          <w:szCs w:val="22"/>
          <w:lang w:val="es-MX"/>
        </w:rPr>
      </w:pPr>
      <w:r>
        <w:rPr>
          <w:rFonts w:ascii="Soberana Sans Light" w:hAnsi="Soberana Sans Light"/>
          <w:sz w:val="22"/>
          <w:szCs w:val="22"/>
          <w:lang w:val="es-MX"/>
        </w:rPr>
        <w:lastRenderedPageBreak/>
        <w:t>El pago de Materiales y Suministros representa sólo el 3.3% del Gasto Total. En este caso destaca el pago de combustibles y el de materiales y útiles de oficina y de tecnologías de la información.</w:t>
      </w:r>
    </w:p>
    <w:p w:rsidR="009E10C2" w:rsidRDefault="009E10C2" w:rsidP="009E10C2">
      <w:pPr>
        <w:pStyle w:val="ROMANOS"/>
        <w:spacing w:after="0" w:line="240" w:lineRule="exact"/>
        <w:ind w:left="1008" w:firstLine="0"/>
        <w:rPr>
          <w:rFonts w:ascii="Soberana Sans Light" w:hAnsi="Soberana Sans Light"/>
          <w:sz w:val="22"/>
          <w:szCs w:val="22"/>
          <w:lang w:val="es-MX"/>
        </w:rPr>
      </w:pPr>
    </w:p>
    <w:p w:rsidR="009E10C2" w:rsidRPr="00540418" w:rsidRDefault="009E10C2" w:rsidP="009E10C2">
      <w:pPr>
        <w:pStyle w:val="ROMANOS"/>
        <w:spacing w:after="0" w:line="240" w:lineRule="exact"/>
        <w:ind w:left="1008" w:firstLine="0"/>
        <w:rPr>
          <w:rFonts w:ascii="Soberana Sans Light" w:hAnsi="Soberana Sans Light"/>
          <w:sz w:val="22"/>
          <w:szCs w:val="22"/>
          <w:lang w:val="es-MX"/>
        </w:rPr>
      </w:pPr>
    </w:p>
    <w:p w:rsidR="009E10C2" w:rsidRDefault="009E10C2" w:rsidP="009E10C2">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9E10C2" w:rsidRPr="00540418" w:rsidRDefault="009E10C2" w:rsidP="009E10C2">
      <w:pPr>
        <w:pStyle w:val="INCISO"/>
        <w:spacing w:after="0" w:line="240" w:lineRule="exact"/>
        <w:ind w:left="360"/>
        <w:rPr>
          <w:rFonts w:ascii="Soberana Sans Light" w:hAnsi="Soberana Sans Light"/>
          <w:b/>
          <w:smallCaps/>
          <w:sz w:val="22"/>
          <w:szCs w:val="22"/>
        </w:rPr>
      </w:pPr>
    </w:p>
    <w:p w:rsidR="009E10C2" w:rsidRDefault="009E10C2" w:rsidP="009E10C2">
      <w:pPr>
        <w:pStyle w:val="ROMANOS"/>
        <w:numPr>
          <w:ilvl w:val="0"/>
          <w:numId w:val="12"/>
        </w:numPr>
        <w:spacing w:after="0" w:line="240" w:lineRule="exact"/>
        <w:rPr>
          <w:rFonts w:ascii="Soberana Sans Light" w:hAnsi="Soberana Sans Light"/>
          <w:sz w:val="22"/>
          <w:szCs w:val="22"/>
          <w:lang w:val="es-MX"/>
        </w:rPr>
      </w:pPr>
      <w:r>
        <w:rPr>
          <w:rFonts w:ascii="Soberana Sans Light" w:hAnsi="Soberana Sans Light"/>
          <w:sz w:val="22"/>
          <w:szCs w:val="22"/>
          <w:lang w:val="es-MX"/>
        </w:rPr>
        <w:t>El Patrimonio de la Universidad Tecnológica de Tlaxcala ha disminuido de $165</w:t>
      </w:r>
      <w:proofErr w:type="gramStart"/>
      <w:r>
        <w:rPr>
          <w:rFonts w:ascii="Soberana Sans Light" w:hAnsi="Soberana Sans Light"/>
          <w:sz w:val="22"/>
          <w:szCs w:val="22"/>
          <w:lang w:val="es-MX"/>
        </w:rPr>
        <w:t>,413,074</w:t>
      </w:r>
      <w:proofErr w:type="gramEnd"/>
      <w:r>
        <w:rPr>
          <w:rFonts w:ascii="Soberana Sans Light" w:hAnsi="Soberana Sans Light"/>
          <w:sz w:val="22"/>
          <w:szCs w:val="22"/>
          <w:lang w:val="es-MX"/>
        </w:rPr>
        <w:t xml:space="preserve"> a $165,055,020 durante el ejercicio 2015. El cambio observado se derivó de lo siguiente:</w:t>
      </w:r>
    </w:p>
    <w:p w:rsidR="009E10C2" w:rsidRDefault="009E10C2" w:rsidP="009E10C2">
      <w:pPr>
        <w:pStyle w:val="ROMANOS"/>
        <w:numPr>
          <w:ilvl w:val="0"/>
          <w:numId w:val="13"/>
        </w:numPr>
        <w:spacing w:after="0" w:line="240" w:lineRule="exact"/>
        <w:rPr>
          <w:rFonts w:ascii="Soberana Sans Light" w:hAnsi="Soberana Sans Light"/>
          <w:sz w:val="22"/>
          <w:szCs w:val="22"/>
          <w:lang w:val="es-MX"/>
        </w:rPr>
      </w:pPr>
      <w:r>
        <w:rPr>
          <w:rFonts w:ascii="Soberana Sans Light" w:hAnsi="Soberana Sans Light"/>
          <w:sz w:val="22"/>
          <w:szCs w:val="22"/>
          <w:lang w:val="es-MX"/>
        </w:rPr>
        <w:t>Reducción en el importe de la cuenta de Resultado de Ejercicios Anteriores ya que al inicio del ejercicio contaba con un saldo de $15</w:t>
      </w:r>
      <w:proofErr w:type="gramStart"/>
      <w:r>
        <w:rPr>
          <w:rFonts w:ascii="Soberana Sans Light" w:hAnsi="Soberana Sans Light"/>
          <w:sz w:val="22"/>
          <w:szCs w:val="22"/>
          <w:lang w:val="es-MX"/>
        </w:rPr>
        <w:t>,419,374</w:t>
      </w:r>
      <w:proofErr w:type="gramEnd"/>
      <w:r>
        <w:rPr>
          <w:rFonts w:ascii="Soberana Sans Light" w:hAnsi="Soberana Sans Light"/>
          <w:sz w:val="22"/>
          <w:szCs w:val="22"/>
          <w:lang w:val="es-MX"/>
        </w:rPr>
        <w:t xml:space="preserve"> y a fines de marzo de 2015 el saldo es de $15,216,343. Lo anterior significa que de los saldos de importes por ejercer de ejercicios anteriores en su mayor parte del Fondo de Apoyo a la Calidad y otros Programas, han sido afectados durante el ejercicio 2015 un importe neto de $203,031.</w:t>
      </w:r>
    </w:p>
    <w:p w:rsidR="009E10C2" w:rsidRDefault="009E10C2" w:rsidP="009E10C2">
      <w:pPr>
        <w:pStyle w:val="ROMANOS"/>
        <w:numPr>
          <w:ilvl w:val="0"/>
          <w:numId w:val="13"/>
        </w:numPr>
        <w:spacing w:after="0" w:line="240" w:lineRule="exact"/>
        <w:rPr>
          <w:rFonts w:ascii="Soberana Sans Light" w:hAnsi="Soberana Sans Light"/>
          <w:sz w:val="22"/>
          <w:szCs w:val="22"/>
          <w:lang w:val="es-MX"/>
        </w:rPr>
      </w:pPr>
      <w:r>
        <w:rPr>
          <w:rFonts w:ascii="Soberana Sans Light" w:hAnsi="Soberana Sans Light"/>
          <w:sz w:val="22"/>
          <w:szCs w:val="22"/>
          <w:lang w:val="es-MX"/>
        </w:rPr>
        <w:t>La Universidad cuenta con dos Fondos: el Fondo de Contingencias que disminuyó de $8,897,807 a $8,742,783 por concepto de las afectaciones contables derivadas de la ejecución del Plan de Mantenimiento a Instalaciones 2015 aprobado por el Consejo Directivo. Mientras tanto, derivado de un Acuerdo del Consejo Directivo de la Institución se creó durante 2014 un Fondo de Reserva para Seguridad Social por $1</w:t>
      </w:r>
      <w:proofErr w:type="gramStart"/>
      <w:r>
        <w:rPr>
          <w:rFonts w:ascii="Soberana Sans Light" w:hAnsi="Soberana Sans Light"/>
          <w:sz w:val="22"/>
          <w:szCs w:val="22"/>
          <w:lang w:val="es-MX"/>
        </w:rPr>
        <w:t>,071,272</w:t>
      </w:r>
      <w:proofErr w:type="gramEnd"/>
      <w:r>
        <w:rPr>
          <w:rFonts w:ascii="Soberana Sans Light" w:hAnsi="Soberana Sans Light"/>
          <w:sz w:val="22"/>
          <w:szCs w:val="22"/>
          <w:lang w:val="es-MX"/>
        </w:rPr>
        <w:t xml:space="preserve"> mismo que al presente año no ha sufrido modificaciones.</w:t>
      </w:r>
    </w:p>
    <w:p w:rsidR="009E10C2" w:rsidRPr="00540418" w:rsidRDefault="009E10C2" w:rsidP="009E10C2">
      <w:pPr>
        <w:pStyle w:val="ROMANOS"/>
        <w:spacing w:after="0" w:line="240" w:lineRule="exact"/>
        <w:ind w:left="1083" w:firstLine="0"/>
        <w:rPr>
          <w:rFonts w:ascii="Soberana Sans Light" w:hAnsi="Soberana Sans Light"/>
          <w:sz w:val="22"/>
          <w:szCs w:val="22"/>
          <w:lang w:val="es-MX"/>
        </w:rPr>
      </w:pPr>
    </w:p>
    <w:p w:rsidR="009E10C2" w:rsidRPr="00540418" w:rsidRDefault="009E10C2" w:rsidP="009E10C2">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Pr>
          <w:rFonts w:ascii="Soberana Sans Light" w:hAnsi="Soberana Sans Light"/>
          <w:sz w:val="22"/>
          <w:szCs w:val="22"/>
          <w:lang w:val="es-MX"/>
        </w:rPr>
        <w:t>La Universidad Tecnológica de Tlaxcala obtuvo un superávit acumulado por la cantidad de $906,427 al 31 de marzo de 2015. Este importe se deriva de la reserva contable y financiera correspondiente a las prestaciones de fin de año que serán pagadas a los trabajadores en diciembre de 2015.</w:t>
      </w:r>
    </w:p>
    <w:p w:rsidR="009E10C2" w:rsidRDefault="009E10C2" w:rsidP="009E10C2">
      <w:pPr>
        <w:pStyle w:val="ROMANOS"/>
        <w:spacing w:after="0" w:line="240" w:lineRule="exact"/>
        <w:ind w:left="0" w:firstLine="0"/>
        <w:rPr>
          <w:rFonts w:ascii="Soberana Sans Light" w:hAnsi="Soberana Sans Light"/>
          <w:sz w:val="22"/>
          <w:szCs w:val="22"/>
          <w:lang w:val="es-MX"/>
        </w:rPr>
      </w:pPr>
    </w:p>
    <w:p w:rsidR="009E10C2" w:rsidRPr="00540418" w:rsidRDefault="009E10C2" w:rsidP="009E10C2">
      <w:pPr>
        <w:pStyle w:val="ROMANOS"/>
        <w:spacing w:after="0" w:line="240" w:lineRule="exact"/>
        <w:ind w:left="1008" w:firstLine="0"/>
        <w:rPr>
          <w:rFonts w:ascii="Soberana Sans Light" w:hAnsi="Soberana Sans Light"/>
          <w:sz w:val="22"/>
          <w:szCs w:val="22"/>
          <w:lang w:val="es-MX"/>
        </w:rPr>
      </w:pPr>
    </w:p>
    <w:p w:rsidR="009E10C2" w:rsidRPr="00540418" w:rsidRDefault="009E10C2" w:rsidP="009E10C2">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9E10C2" w:rsidRPr="00540418" w:rsidRDefault="009E10C2" w:rsidP="009E10C2">
      <w:pPr>
        <w:pStyle w:val="INCISO"/>
        <w:spacing w:after="0" w:line="240" w:lineRule="exact"/>
        <w:ind w:left="360"/>
        <w:rPr>
          <w:rFonts w:ascii="Soberana Sans Light" w:hAnsi="Soberana Sans Light"/>
          <w:b/>
          <w:smallCaps/>
          <w:sz w:val="22"/>
          <w:szCs w:val="22"/>
        </w:rPr>
      </w:pPr>
    </w:p>
    <w:p w:rsidR="009E10C2" w:rsidRPr="00540418" w:rsidRDefault="009E10C2" w:rsidP="009E10C2">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9E10C2" w:rsidRDefault="009E10C2" w:rsidP="009E10C2">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9E10C2" w:rsidRPr="00540418" w:rsidRDefault="009E10C2" w:rsidP="009E10C2">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354"/>
        <w:gridCol w:w="1417"/>
        <w:gridCol w:w="1417"/>
      </w:tblGrid>
      <w:tr w:rsidR="009E10C2" w:rsidRPr="00540418" w:rsidTr="00B7265E">
        <w:trPr>
          <w:cantSplit/>
          <w:jc w:val="center"/>
        </w:trPr>
        <w:tc>
          <w:tcPr>
            <w:tcW w:w="4450"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p>
        </w:tc>
        <w:tc>
          <w:tcPr>
            <w:tcW w:w="1354" w:type="dxa"/>
            <w:tcBorders>
              <w:top w:val="single" w:sz="6" w:space="0" w:color="auto"/>
              <w:left w:val="single" w:sz="6" w:space="0" w:color="auto"/>
              <w:bottom w:val="single" w:sz="6" w:space="0" w:color="auto"/>
              <w:right w:val="single" w:sz="6" w:space="0" w:color="auto"/>
            </w:tcBorders>
          </w:tcPr>
          <w:p w:rsidR="009E10C2" w:rsidRPr="00EA7F99" w:rsidRDefault="009E10C2" w:rsidP="00B7265E">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2015 (mar)</w:t>
            </w:r>
          </w:p>
        </w:tc>
        <w:tc>
          <w:tcPr>
            <w:tcW w:w="1417" w:type="dxa"/>
            <w:tcBorders>
              <w:top w:val="single" w:sz="6" w:space="0" w:color="auto"/>
              <w:left w:val="single" w:sz="6" w:space="0" w:color="auto"/>
              <w:bottom w:val="single" w:sz="6" w:space="0" w:color="auto"/>
              <w:right w:val="single" w:sz="6" w:space="0" w:color="auto"/>
            </w:tcBorders>
          </w:tcPr>
          <w:p w:rsidR="009E10C2" w:rsidRPr="00EA7F99" w:rsidRDefault="009E10C2" w:rsidP="00B7265E">
            <w:pPr>
              <w:pStyle w:val="Texto"/>
              <w:spacing w:after="0" w:line="240" w:lineRule="exact"/>
              <w:ind w:firstLine="0"/>
              <w:jc w:val="center"/>
              <w:rPr>
                <w:rFonts w:ascii="Soberana Sans Light" w:hAnsi="Soberana Sans Light"/>
                <w:b/>
                <w:sz w:val="22"/>
                <w:szCs w:val="22"/>
                <w:lang w:val="es-MX"/>
              </w:rPr>
            </w:pPr>
            <w:r w:rsidRPr="00EA7F99">
              <w:rPr>
                <w:rFonts w:ascii="Soberana Sans Light" w:hAnsi="Soberana Sans Light"/>
                <w:b/>
                <w:sz w:val="22"/>
                <w:szCs w:val="22"/>
                <w:lang w:val="es-MX"/>
              </w:rPr>
              <w:t>2014</w:t>
            </w:r>
          </w:p>
        </w:tc>
        <w:tc>
          <w:tcPr>
            <w:tcW w:w="1417" w:type="dxa"/>
            <w:tcBorders>
              <w:top w:val="single" w:sz="6" w:space="0" w:color="auto"/>
              <w:left w:val="single" w:sz="6" w:space="0" w:color="auto"/>
              <w:bottom w:val="single" w:sz="6" w:space="0" w:color="auto"/>
              <w:right w:val="single" w:sz="6" w:space="0" w:color="auto"/>
            </w:tcBorders>
          </w:tcPr>
          <w:p w:rsidR="009E10C2" w:rsidRPr="00EA7F99" w:rsidRDefault="009E10C2" w:rsidP="00B7265E">
            <w:pPr>
              <w:pStyle w:val="Texto"/>
              <w:spacing w:after="0" w:line="240" w:lineRule="exact"/>
              <w:ind w:firstLine="0"/>
              <w:jc w:val="center"/>
              <w:rPr>
                <w:rFonts w:ascii="Soberana Sans Light" w:hAnsi="Soberana Sans Light"/>
                <w:b/>
                <w:sz w:val="22"/>
                <w:szCs w:val="22"/>
                <w:lang w:val="es-MX"/>
              </w:rPr>
            </w:pPr>
            <w:r w:rsidRPr="00EA7F99">
              <w:rPr>
                <w:rFonts w:ascii="Soberana Sans Light" w:hAnsi="Soberana Sans Light"/>
                <w:b/>
                <w:sz w:val="22"/>
                <w:szCs w:val="22"/>
                <w:lang w:val="es-MX"/>
              </w:rPr>
              <w:t>2013</w:t>
            </w:r>
          </w:p>
        </w:tc>
      </w:tr>
      <w:tr w:rsidR="009E10C2" w:rsidRPr="00540418" w:rsidTr="00B7265E">
        <w:trPr>
          <w:cantSplit/>
          <w:jc w:val="center"/>
        </w:trPr>
        <w:tc>
          <w:tcPr>
            <w:tcW w:w="4450"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10,372,311</w:t>
            </w: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5,936,442</w:t>
            </w: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6,368,656</w:t>
            </w:r>
          </w:p>
        </w:tc>
      </w:tr>
      <w:tr w:rsidR="009E10C2" w:rsidRPr="00540418" w:rsidTr="00B7265E">
        <w:trPr>
          <w:cantSplit/>
          <w:jc w:val="center"/>
        </w:trPr>
        <w:tc>
          <w:tcPr>
            <w:tcW w:w="4450"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r>
      <w:tr w:rsidR="009E10C2" w:rsidRPr="00540418" w:rsidTr="00B7265E">
        <w:trPr>
          <w:cantSplit/>
          <w:jc w:val="center"/>
        </w:trPr>
        <w:tc>
          <w:tcPr>
            <w:tcW w:w="4450"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10,625,720</w:t>
            </w: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28,064,461</w:t>
            </w:r>
          </w:p>
        </w:tc>
      </w:tr>
      <w:tr w:rsidR="009E10C2" w:rsidRPr="00540418" w:rsidTr="00B7265E">
        <w:trPr>
          <w:cantSplit/>
          <w:jc w:val="center"/>
        </w:trPr>
        <w:tc>
          <w:tcPr>
            <w:tcW w:w="4450"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3,605,363</w:t>
            </w: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r>
      <w:tr w:rsidR="009E10C2" w:rsidRPr="00540418" w:rsidTr="00B7265E">
        <w:trPr>
          <w:cantSplit/>
          <w:jc w:val="center"/>
        </w:trPr>
        <w:tc>
          <w:tcPr>
            <w:tcW w:w="4450"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r>
      <w:tr w:rsidR="009E10C2" w:rsidRPr="00540418" w:rsidTr="00B7265E">
        <w:trPr>
          <w:cantSplit/>
          <w:jc w:val="center"/>
        </w:trPr>
        <w:tc>
          <w:tcPr>
            <w:tcW w:w="4450"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24,603,394</w:t>
            </w: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34,453,367</w:t>
            </w:r>
          </w:p>
        </w:tc>
      </w:tr>
    </w:tbl>
    <w:p w:rsidR="009E10C2" w:rsidRDefault="009E10C2" w:rsidP="009E10C2">
      <w:pPr>
        <w:pStyle w:val="Texto"/>
        <w:spacing w:after="0" w:line="240" w:lineRule="exact"/>
        <w:ind w:firstLine="0"/>
        <w:rPr>
          <w:rFonts w:ascii="Soberana Sans Light" w:hAnsi="Soberana Sans Light"/>
          <w:sz w:val="22"/>
          <w:szCs w:val="22"/>
          <w:lang w:val="es-MX"/>
        </w:rPr>
      </w:pPr>
    </w:p>
    <w:p w:rsidR="009E10C2" w:rsidRDefault="009E10C2" w:rsidP="009E10C2">
      <w:pPr>
        <w:pStyle w:val="Texto"/>
        <w:spacing w:after="0" w:line="240" w:lineRule="exact"/>
        <w:ind w:firstLine="0"/>
        <w:rPr>
          <w:rFonts w:ascii="Soberana Sans Light" w:hAnsi="Soberana Sans Light"/>
          <w:sz w:val="22"/>
          <w:szCs w:val="22"/>
          <w:lang w:val="es-MX"/>
        </w:rPr>
      </w:pPr>
    </w:p>
    <w:p w:rsidR="009E10C2" w:rsidRDefault="009E10C2" w:rsidP="009E10C2">
      <w:pPr>
        <w:pStyle w:val="Texto"/>
        <w:spacing w:after="0" w:line="240" w:lineRule="exact"/>
        <w:ind w:firstLine="0"/>
        <w:rPr>
          <w:rFonts w:ascii="Soberana Sans Light" w:hAnsi="Soberana Sans Light"/>
          <w:sz w:val="22"/>
          <w:szCs w:val="22"/>
          <w:lang w:val="es-MX"/>
        </w:rPr>
      </w:pPr>
    </w:p>
    <w:p w:rsidR="009E10C2" w:rsidRDefault="009E10C2" w:rsidP="009E10C2">
      <w:pPr>
        <w:pStyle w:val="Texto"/>
        <w:spacing w:after="0" w:line="240" w:lineRule="exact"/>
        <w:ind w:firstLine="0"/>
        <w:rPr>
          <w:rFonts w:ascii="Soberana Sans Light" w:hAnsi="Soberana Sans Light"/>
          <w:sz w:val="22"/>
          <w:szCs w:val="22"/>
          <w:lang w:val="es-MX"/>
        </w:rPr>
      </w:pPr>
    </w:p>
    <w:p w:rsidR="009E10C2" w:rsidRDefault="009E10C2" w:rsidP="009E10C2">
      <w:pPr>
        <w:pStyle w:val="Texto"/>
        <w:spacing w:after="0" w:line="240" w:lineRule="exact"/>
        <w:ind w:firstLine="0"/>
        <w:rPr>
          <w:rFonts w:ascii="Soberana Sans Light" w:hAnsi="Soberana Sans Light"/>
          <w:sz w:val="22"/>
          <w:szCs w:val="22"/>
          <w:lang w:val="es-MX"/>
        </w:rPr>
      </w:pPr>
    </w:p>
    <w:p w:rsidR="009E10C2" w:rsidRDefault="009E10C2" w:rsidP="009E10C2">
      <w:pPr>
        <w:pStyle w:val="Texto"/>
        <w:spacing w:after="0" w:line="240" w:lineRule="exact"/>
        <w:ind w:firstLine="0"/>
        <w:rPr>
          <w:rFonts w:ascii="Soberana Sans Light" w:hAnsi="Soberana Sans Light"/>
          <w:sz w:val="22"/>
          <w:szCs w:val="22"/>
          <w:lang w:val="es-MX"/>
        </w:rPr>
      </w:pPr>
    </w:p>
    <w:p w:rsidR="009E10C2" w:rsidRDefault="009E10C2" w:rsidP="009E10C2">
      <w:pPr>
        <w:pStyle w:val="Texto"/>
        <w:spacing w:after="0" w:line="240" w:lineRule="exact"/>
        <w:ind w:firstLine="0"/>
        <w:rPr>
          <w:rFonts w:ascii="Soberana Sans Light" w:hAnsi="Soberana Sans Light"/>
          <w:sz w:val="22"/>
          <w:szCs w:val="22"/>
          <w:lang w:val="es-MX"/>
        </w:rPr>
      </w:pPr>
    </w:p>
    <w:p w:rsidR="009E10C2" w:rsidRPr="00540418"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ROMANOS"/>
        <w:numPr>
          <w:ilvl w:val="0"/>
          <w:numId w:val="3"/>
        </w:numPr>
        <w:spacing w:after="0" w:line="240" w:lineRule="exact"/>
        <w:ind w:firstLine="0"/>
        <w:rPr>
          <w:rFonts w:ascii="Soberana Sans Light" w:hAnsi="Soberana Sans Light"/>
          <w:sz w:val="22"/>
          <w:szCs w:val="22"/>
          <w:lang w:val="es-MX"/>
        </w:rPr>
      </w:pPr>
      <w:r w:rsidRPr="00EA7F99">
        <w:rPr>
          <w:rFonts w:ascii="Soberana Sans Light" w:hAnsi="Soberana Sans Light"/>
          <w:sz w:val="22"/>
          <w:szCs w:val="22"/>
          <w:lang w:val="es-MX"/>
        </w:rPr>
        <w:t>Las adquisiciones de bienes muebles e inmuebles</w:t>
      </w:r>
      <w:r>
        <w:rPr>
          <w:rFonts w:ascii="Soberana Sans Light" w:hAnsi="Soberana Sans Light"/>
          <w:sz w:val="22"/>
          <w:szCs w:val="22"/>
          <w:lang w:val="es-MX"/>
        </w:rPr>
        <w:t xml:space="preserve"> durante el primer trimestre de 2015 han sido</w:t>
      </w:r>
      <w:r w:rsidRPr="00EA7F99">
        <w:rPr>
          <w:rFonts w:ascii="Soberana Sans Light" w:hAnsi="Soberana Sans Light"/>
          <w:sz w:val="22"/>
          <w:szCs w:val="22"/>
          <w:lang w:val="es-MX"/>
        </w:rPr>
        <w:t xml:space="preserve"> de </w:t>
      </w:r>
      <w:r>
        <w:rPr>
          <w:rFonts w:ascii="Soberana Sans Light" w:hAnsi="Soberana Sans Light"/>
          <w:sz w:val="22"/>
          <w:szCs w:val="22"/>
          <w:lang w:val="es-MX"/>
        </w:rPr>
        <w:t>$1</w:t>
      </w:r>
      <w:proofErr w:type="gramStart"/>
      <w:r>
        <w:rPr>
          <w:rFonts w:ascii="Soberana Sans Light" w:hAnsi="Soberana Sans Light"/>
          <w:sz w:val="22"/>
          <w:szCs w:val="22"/>
          <w:lang w:val="es-MX"/>
        </w:rPr>
        <w:t>,071,431</w:t>
      </w:r>
      <w:proofErr w:type="gramEnd"/>
      <w:r>
        <w:rPr>
          <w:rFonts w:ascii="Soberana Sans Light" w:hAnsi="Soberana Sans Light"/>
          <w:sz w:val="22"/>
          <w:szCs w:val="22"/>
          <w:lang w:val="es-MX"/>
        </w:rPr>
        <w:t xml:space="preserve">. </w:t>
      </w:r>
    </w:p>
    <w:p w:rsidR="009E10C2" w:rsidRPr="00EA7F99" w:rsidRDefault="009E10C2" w:rsidP="009E10C2">
      <w:pPr>
        <w:pStyle w:val="ROMANOS"/>
        <w:spacing w:after="0" w:line="240" w:lineRule="exact"/>
        <w:rPr>
          <w:rFonts w:ascii="Soberana Sans Light" w:hAnsi="Soberana Sans Light"/>
          <w:sz w:val="22"/>
          <w:szCs w:val="22"/>
          <w:lang w:val="es-MX"/>
        </w:rPr>
      </w:pPr>
    </w:p>
    <w:tbl>
      <w:tblPr>
        <w:tblW w:w="11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0"/>
        <w:gridCol w:w="1960"/>
        <w:gridCol w:w="1760"/>
        <w:gridCol w:w="1960"/>
      </w:tblGrid>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b/>
                <w:sz w:val="22"/>
                <w:szCs w:val="22"/>
                <w:lang w:val="es-MX"/>
              </w:rPr>
            </w:pPr>
            <w:r w:rsidRPr="00CA7B06">
              <w:rPr>
                <w:rFonts w:ascii="Soberana Sans Light" w:hAnsi="Soberana Sans Light"/>
                <w:b/>
                <w:sz w:val="22"/>
                <w:szCs w:val="22"/>
                <w:lang w:val="es-MX"/>
              </w:rPr>
              <w:t>BIENES MUEBLES E INMUEBLES</w:t>
            </w:r>
          </w:p>
        </w:tc>
        <w:tc>
          <w:tcPr>
            <w:tcW w:w="1960" w:type="dxa"/>
            <w:shd w:val="clear" w:color="auto" w:fill="auto"/>
            <w:noWrap/>
            <w:vAlign w:val="bottom"/>
            <w:hideMark/>
          </w:tcPr>
          <w:p w:rsidR="009E10C2" w:rsidRPr="00CA7B06" w:rsidRDefault="009E10C2" w:rsidP="00B7265E">
            <w:pPr>
              <w:pStyle w:val="Texto"/>
              <w:spacing w:after="0" w:line="240" w:lineRule="exact"/>
              <w:ind w:firstLine="0"/>
              <w:jc w:val="right"/>
              <w:rPr>
                <w:rFonts w:ascii="Soberana Sans Light" w:hAnsi="Soberana Sans Light"/>
                <w:b/>
                <w:sz w:val="22"/>
                <w:szCs w:val="22"/>
                <w:lang w:val="es-MX"/>
              </w:rPr>
            </w:pPr>
            <w:r w:rsidRPr="00EA7F99">
              <w:rPr>
                <w:rFonts w:ascii="Soberana Sans Light" w:hAnsi="Soberana Sans Light"/>
                <w:b/>
                <w:sz w:val="22"/>
                <w:szCs w:val="22"/>
                <w:lang w:val="es-MX"/>
              </w:rPr>
              <w:t>SALDO INICIAL</w:t>
            </w:r>
          </w:p>
        </w:tc>
        <w:tc>
          <w:tcPr>
            <w:tcW w:w="1760" w:type="dxa"/>
            <w:shd w:val="clear" w:color="auto" w:fill="auto"/>
            <w:noWrap/>
            <w:vAlign w:val="bottom"/>
            <w:hideMark/>
          </w:tcPr>
          <w:p w:rsidR="009E10C2" w:rsidRPr="00CA7B06" w:rsidRDefault="009E10C2" w:rsidP="00B7265E">
            <w:pPr>
              <w:pStyle w:val="Texto"/>
              <w:spacing w:after="0" w:line="240" w:lineRule="exact"/>
              <w:ind w:firstLine="0"/>
              <w:jc w:val="right"/>
              <w:rPr>
                <w:rFonts w:ascii="Soberana Sans Light" w:hAnsi="Soberana Sans Light"/>
                <w:b/>
                <w:sz w:val="22"/>
                <w:szCs w:val="22"/>
                <w:lang w:val="es-MX"/>
              </w:rPr>
            </w:pPr>
            <w:r w:rsidRPr="00EA7F99">
              <w:rPr>
                <w:rFonts w:ascii="Soberana Sans Light" w:hAnsi="Soberana Sans Light"/>
                <w:b/>
                <w:sz w:val="22"/>
                <w:szCs w:val="22"/>
                <w:lang w:val="es-MX"/>
              </w:rPr>
              <w:t>AUMENTO</w:t>
            </w:r>
          </w:p>
        </w:tc>
        <w:tc>
          <w:tcPr>
            <w:tcW w:w="1960" w:type="dxa"/>
            <w:shd w:val="clear" w:color="auto" w:fill="auto"/>
            <w:noWrap/>
            <w:vAlign w:val="bottom"/>
            <w:hideMark/>
          </w:tcPr>
          <w:p w:rsidR="009E10C2" w:rsidRPr="00CA7B06" w:rsidRDefault="009E10C2" w:rsidP="00B7265E">
            <w:pPr>
              <w:pStyle w:val="Texto"/>
              <w:spacing w:after="0" w:line="240" w:lineRule="exact"/>
              <w:ind w:firstLine="0"/>
              <w:jc w:val="right"/>
              <w:rPr>
                <w:rFonts w:ascii="Soberana Sans Light" w:hAnsi="Soberana Sans Light"/>
                <w:b/>
                <w:sz w:val="22"/>
                <w:szCs w:val="22"/>
                <w:lang w:val="es-MX"/>
              </w:rPr>
            </w:pPr>
            <w:r w:rsidRPr="00EA7F99">
              <w:rPr>
                <w:rFonts w:ascii="Soberana Sans Light" w:hAnsi="Soberana Sans Light"/>
                <w:b/>
                <w:sz w:val="22"/>
                <w:szCs w:val="22"/>
                <w:lang w:val="es-MX"/>
              </w:rPr>
              <w:t>SALDO FINAL</w:t>
            </w:r>
          </w:p>
        </w:tc>
      </w:tr>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TERRENOS</w:t>
            </w:r>
          </w:p>
        </w:tc>
        <w:tc>
          <w:tcPr>
            <w:tcW w:w="1960" w:type="dxa"/>
            <w:shd w:val="clear" w:color="auto" w:fill="auto"/>
            <w:noWrap/>
            <w:vAlign w:val="center"/>
            <w:hideMark/>
          </w:tcPr>
          <w:p w:rsidR="009E10C2" w:rsidRDefault="009E10C2" w:rsidP="00B7265E">
            <w:pPr>
              <w:jc w:val="right"/>
              <w:rPr>
                <w:rFonts w:ascii="Soberana Sans Light" w:hAnsi="Soberana Sans Light"/>
                <w:color w:val="000000"/>
              </w:rPr>
            </w:pPr>
            <w:r>
              <w:rPr>
                <w:rFonts w:ascii="Soberana Sans Light" w:hAnsi="Soberana Sans Light"/>
                <w:color w:val="000000"/>
              </w:rPr>
              <w:t>2,550,000</w:t>
            </w:r>
          </w:p>
        </w:tc>
        <w:tc>
          <w:tcPr>
            <w:tcW w:w="17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sidRPr="00CD352C">
              <w:rPr>
                <w:rFonts w:ascii="Soberana Sans Light" w:hAnsi="Soberana Sans Light"/>
                <w:color w:val="000000"/>
              </w:rPr>
              <w:t>0</w:t>
            </w:r>
          </w:p>
        </w:tc>
        <w:tc>
          <w:tcPr>
            <w:tcW w:w="19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sidRPr="00CD352C">
              <w:rPr>
                <w:rFonts w:ascii="Soberana Sans Light" w:hAnsi="Soberana Sans Light"/>
                <w:color w:val="000000"/>
              </w:rPr>
              <w:t>2,550,000</w:t>
            </w:r>
          </w:p>
        </w:tc>
      </w:tr>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EDIFICIOS</w:t>
            </w:r>
          </w:p>
        </w:tc>
        <w:tc>
          <w:tcPr>
            <w:tcW w:w="1960" w:type="dxa"/>
            <w:shd w:val="clear" w:color="auto" w:fill="auto"/>
            <w:noWrap/>
            <w:vAlign w:val="center"/>
            <w:hideMark/>
          </w:tcPr>
          <w:p w:rsidR="009E10C2" w:rsidRDefault="009E10C2" w:rsidP="00B7265E">
            <w:pPr>
              <w:jc w:val="right"/>
              <w:rPr>
                <w:rFonts w:ascii="Soberana Sans Light" w:hAnsi="Soberana Sans Light"/>
                <w:color w:val="000000"/>
              </w:rPr>
            </w:pPr>
            <w:r>
              <w:rPr>
                <w:rFonts w:ascii="Soberana Sans Light" w:hAnsi="Soberana Sans Light"/>
                <w:color w:val="000000"/>
              </w:rPr>
              <w:t>36,229,075</w:t>
            </w:r>
          </w:p>
        </w:tc>
        <w:tc>
          <w:tcPr>
            <w:tcW w:w="1760" w:type="dxa"/>
            <w:shd w:val="clear" w:color="auto" w:fill="auto"/>
            <w:noWrap/>
            <w:vAlign w:val="center"/>
          </w:tcPr>
          <w:p w:rsidR="009E10C2" w:rsidRPr="00CD352C" w:rsidRDefault="009E10C2" w:rsidP="00B7265E">
            <w:pPr>
              <w:jc w:val="right"/>
              <w:rPr>
                <w:rFonts w:ascii="Soberana Sans Light" w:hAnsi="Soberana Sans Light"/>
                <w:color w:val="000000"/>
              </w:rPr>
            </w:pPr>
            <w:r w:rsidRPr="00CD352C">
              <w:rPr>
                <w:rFonts w:ascii="Soberana Sans Light" w:hAnsi="Soberana Sans Light"/>
                <w:color w:val="000000"/>
              </w:rPr>
              <w:t>0</w:t>
            </w:r>
          </w:p>
        </w:tc>
        <w:tc>
          <w:tcPr>
            <w:tcW w:w="19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sidRPr="00CD352C">
              <w:rPr>
                <w:rFonts w:ascii="Soberana Sans Light" w:hAnsi="Soberana Sans Light"/>
                <w:color w:val="000000"/>
              </w:rPr>
              <w:t>36,229,075</w:t>
            </w:r>
          </w:p>
        </w:tc>
      </w:tr>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INSTALACIONES</w:t>
            </w:r>
          </w:p>
        </w:tc>
        <w:tc>
          <w:tcPr>
            <w:tcW w:w="1960" w:type="dxa"/>
            <w:shd w:val="clear" w:color="auto" w:fill="auto"/>
            <w:noWrap/>
            <w:vAlign w:val="center"/>
            <w:hideMark/>
          </w:tcPr>
          <w:p w:rsidR="009E10C2" w:rsidRDefault="009E10C2" w:rsidP="00B7265E">
            <w:pPr>
              <w:jc w:val="right"/>
              <w:rPr>
                <w:rFonts w:ascii="Soberana Sans Light" w:hAnsi="Soberana Sans Light"/>
                <w:color w:val="000000"/>
              </w:rPr>
            </w:pPr>
            <w:r>
              <w:rPr>
                <w:rFonts w:ascii="Soberana Sans Light" w:hAnsi="Soberana Sans Light"/>
                <w:color w:val="000000"/>
              </w:rPr>
              <w:t>7,777,324</w:t>
            </w:r>
          </w:p>
        </w:tc>
        <w:tc>
          <w:tcPr>
            <w:tcW w:w="1760" w:type="dxa"/>
            <w:shd w:val="clear" w:color="auto" w:fill="auto"/>
            <w:noWrap/>
            <w:vAlign w:val="center"/>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0</w:t>
            </w:r>
          </w:p>
        </w:tc>
        <w:tc>
          <w:tcPr>
            <w:tcW w:w="19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7,777,324</w:t>
            </w:r>
          </w:p>
        </w:tc>
      </w:tr>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MOBILIARIO Y EQUIPO DE OFICINA</w:t>
            </w:r>
          </w:p>
        </w:tc>
        <w:tc>
          <w:tcPr>
            <w:tcW w:w="1960" w:type="dxa"/>
            <w:shd w:val="clear" w:color="auto" w:fill="auto"/>
            <w:noWrap/>
            <w:vAlign w:val="center"/>
            <w:hideMark/>
          </w:tcPr>
          <w:p w:rsidR="009E10C2" w:rsidRDefault="009E10C2" w:rsidP="00B7265E">
            <w:pPr>
              <w:jc w:val="right"/>
              <w:rPr>
                <w:rFonts w:ascii="Soberana Sans Light" w:hAnsi="Soberana Sans Light"/>
                <w:color w:val="000000"/>
              </w:rPr>
            </w:pPr>
            <w:r>
              <w:rPr>
                <w:rFonts w:ascii="Soberana Sans Light" w:hAnsi="Soberana Sans Light"/>
                <w:color w:val="000000"/>
              </w:rPr>
              <w:t>23,068,443</w:t>
            </w:r>
          </w:p>
        </w:tc>
        <w:tc>
          <w:tcPr>
            <w:tcW w:w="1760" w:type="dxa"/>
            <w:shd w:val="clear" w:color="auto" w:fill="auto"/>
            <w:noWrap/>
            <w:vAlign w:val="center"/>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1,071,431</w:t>
            </w:r>
          </w:p>
        </w:tc>
        <w:tc>
          <w:tcPr>
            <w:tcW w:w="19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24,139,873</w:t>
            </w:r>
          </w:p>
        </w:tc>
      </w:tr>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 xml:space="preserve">    </w:t>
            </w:r>
            <w:r w:rsidRPr="00CA7B06">
              <w:rPr>
                <w:rFonts w:ascii="Soberana Sans Light" w:hAnsi="Soberana Sans Light"/>
                <w:sz w:val="22"/>
                <w:szCs w:val="22"/>
                <w:lang w:val="es-MX"/>
              </w:rPr>
              <w:t>EQUIPO DE TRANSPORTE</w:t>
            </w:r>
          </w:p>
        </w:tc>
        <w:tc>
          <w:tcPr>
            <w:tcW w:w="1960" w:type="dxa"/>
            <w:shd w:val="clear" w:color="auto" w:fill="auto"/>
            <w:noWrap/>
            <w:vAlign w:val="center"/>
            <w:hideMark/>
          </w:tcPr>
          <w:p w:rsidR="009E10C2" w:rsidRDefault="009E10C2" w:rsidP="00B7265E">
            <w:pPr>
              <w:jc w:val="right"/>
              <w:rPr>
                <w:rFonts w:ascii="Soberana Sans Light" w:hAnsi="Soberana Sans Light"/>
                <w:color w:val="000000"/>
              </w:rPr>
            </w:pPr>
            <w:r>
              <w:rPr>
                <w:rFonts w:ascii="Soberana Sans Light" w:hAnsi="Soberana Sans Light"/>
                <w:color w:val="000000"/>
              </w:rPr>
              <w:t>4,991,565</w:t>
            </w:r>
          </w:p>
        </w:tc>
        <w:tc>
          <w:tcPr>
            <w:tcW w:w="1760" w:type="dxa"/>
            <w:shd w:val="clear" w:color="auto" w:fill="auto"/>
            <w:noWrap/>
            <w:vAlign w:val="center"/>
          </w:tcPr>
          <w:p w:rsidR="009E10C2" w:rsidRPr="00CD352C" w:rsidRDefault="009E10C2" w:rsidP="00B7265E">
            <w:pPr>
              <w:jc w:val="right"/>
              <w:rPr>
                <w:rFonts w:ascii="Soberana Sans Light" w:hAnsi="Soberana Sans Light"/>
                <w:color w:val="000000"/>
              </w:rPr>
            </w:pPr>
            <w:r w:rsidRPr="00CD352C">
              <w:rPr>
                <w:rFonts w:ascii="Soberana Sans Light" w:hAnsi="Soberana Sans Light"/>
                <w:color w:val="000000"/>
              </w:rPr>
              <w:t>0</w:t>
            </w:r>
          </w:p>
        </w:tc>
        <w:tc>
          <w:tcPr>
            <w:tcW w:w="19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sidRPr="00CD352C">
              <w:rPr>
                <w:rFonts w:ascii="Soberana Sans Light" w:hAnsi="Soberana Sans Light"/>
                <w:color w:val="000000"/>
              </w:rPr>
              <w:t>4,991,565</w:t>
            </w:r>
          </w:p>
        </w:tc>
      </w:tr>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w:t>
            </w:r>
            <w:r>
              <w:rPr>
                <w:rFonts w:ascii="Soberana Sans Light" w:hAnsi="Soberana Sans Light"/>
                <w:sz w:val="22"/>
                <w:szCs w:val="22"/>
                <w:lang w:val="es-MX"/>
              </w:rPr>
              <w:t>MOBILIARIO Y EQUIPO ACADÉMICO</w:t>
            </w:r>
          </w:p>
        </w:tc>
        <w:tc>
          <w:tcPr>
            <w:tcW w:w="1960" w:type="dxa"/>
            <w:shd w:val="clear" w:color="auto" w:fill="auto"/>
            <w:noWrap/>
            <w:vAlign w:val="center"/>
            <w:hideMark/>
          </w:tcPr>
          <w:p w:rsidR="009E10C2" w:rsidRDefault="009E10C2" w:rsidP="00B7265E">
            <w:pPr>
              <w:jc w:val="right"/>
              <w:rPr>
                <w:rFonts w:ascii="Soberana Sans Light" w:hAnsi="Soberana Sans Light"/>
                <w:color w:val="000000"/>
              </w:rPr>
            </w:pPr>
            <w:r>
              <w:rPr>
                <w:rFonts w:ascii="Soberana Sans Light" w:hAnsi="Soberana Sans Light"/>
                <w:color w:val="000000"/>
              </w:rPr>
              <w:t>63,786,149</w:t>
            </w:r>
          </w:p>
        </w:tc>
        <w:tc>
          <w:tcPr>
            <w:tcW w:w="1760" w:type="dxa"/>
            <w:shd w:val="clear" w:color="auto" w:fill="auto"/>
            <w:noWrap/>
            <w:vAlign w:val="center"/>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0</w:t>
            </w:r>
          </w:p>
        </w:tc>
        <w:tc>
          <w:tcPr>
            <w:tcW w:w="19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63,786,149</w:t>
            </w:r>
          </w:p>
        </w:tc>
      </w:tr>
      <w:tr w:rsidR="009E10C2" w:rsidRPr="00CA7B06" w:rsidTr="00B7265E">
        <w:trPr>
          <w:trHeight w:val="390"/>
        </w:trPr>
        <w:tc>
          <w:tcPr>
            <w:tcW w:w="5740" w:type="dxa"/>
            <w:shd w:val="clear" w:color="auto" w:fill="auto"/>
            <w:noWrap/>
            <w:vAlign w:val="bottom"/>
            <w:hideMark/>
          </w:tcPr>
          <w:p w:rsidR="009E10C2" w:rsidRPr="00CA7B06" w:rsidRDefault="009E10C2" w:rsidP="00B7265E">
            <w:pPr>
              <w:pStyle w:val="Texto"/>
              <w:spacing w:after="0" w:line="240" w:lineRule="exact"/>
              <w:ind w:firstLine="0"/>
              <w:rPr>
                <w:rFonts w:ascii="Soberana Sans Light" w:hAnsi="Soberana Sans Light"/>
                <w:sz w:val="22"/>
                <w:szCs w:val="22"/>
                <w:lang w:val="es-MX"/>
              </w:rPr>
            </w:pPr>
            <w:r w:rsidRPr="00CA7B06">
              <w:rPr>
                <w:rFonts w:ascii="Soberana Sans Light" w:hAnsi="Soberana Sans Light"/>
                <w:sz w:val="22"/>
                <w:szCs w:val="22"/>
                <w:lang w:val="es-MX"/>
              </w:rPr>
              <w:t xml:space="preserve">    </w:t>
            </w:r>
            <w:r>
              <w:rPr>
                <w:rFonts w:ascii="Soberana Sans Light" w:hAnsi="Soberana Sans Light"/>
                <w:sz w:val="22"/>
                <w:szCs w:val="22"/>
                <w:lang w:val="es-MX"/>
              </w:rPr>
              <w:t>ACERVO BIBLIOGRÁFICO</w:t>
            </w:r>
          </w:p>
        </w:tc>
        <w:tc>
          <w:tcPr>
            <w:tcW w:w="1960" w:type="dxa"/>
            <w:shd w:val="clear" w:color="auto" w:fill="auto"/>
            <w:noWrap/>
            <w:vAlign w:val="center"/>
            <w:hideMark/>
          </w:tcPr>
          <w:p w:rsidR="009E10C2" w:rsidRDefault="009E10C2" w:rsidP="00B7265E">
            <w:pPr>
              <w:jc w:val="right"/>
              <w:rPr>
                <w:rFonts w:ascii="Soberana Sans Light" w:hAnsi="Soberana Sans Light"/>
                <w:color w:val="000000"/>
              </w:rPr>
            </w:pPr>
            <w:r>
              <w:rPr>
                <w:rFonts w:ascii="Soberana Sans Light" w:hAnsi="Soberana Sans Light"/>
                <w:color w:val="000000"/>
              </w:rPr>
              <w:t>1,622,066</w:t>
            </w:r>
          </w:p>
        </w:tc>
        <w:tc>
          <w:tcPr>
            <w:tcW w:w="1760" w:type="dxa"/>
            <w:shd w:val="clear" w:color="auto" w:fill="auto"/>
            <w:noWrap/>
            <w:vAlign w:val="center"/>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0</w:t>
            </w:r>
          </w:p>
        </w:tc>
        <w:tc>
          <w:tcPr>
            <w:tcW w:w="1960" w:type="dxa"/>
            <w:shd w:val="clear" w:color="auto" w:fill="auto"/>
            <w:noWrap/>
            <w:vAlign w:val="center"/>
            <w:hideMark/>
          </w:tcPr>
          <w:p w:rsidR="009E10C2" w:rsidRPr="00CD352C" w:rsidRDefault="009E10C2" w:rsidP="00B7265E">
            <w:pPr>
              <w:jc w:val="right"/>
              <w:rPr>
                <w:rFonts w:ascii="Soberana Sans Light" w:hAnsi="Soberana Sans Light"/>
                <w:color w:val="000000"/>
              </w:rPr>
            </w:pPr>
            <w:r>
              <w:rPr>
                <w:rFonts w:ascii="Soberana Sans Light" w:hAnsi="Soberana Sans Light"/>
                <w:color w:val="000000"/>
              </w:rPr>
              <w:t>1,622,066</w:t>
            </w:r>
          </w:p>
        </w:tc>
      </w:tr>
    </w:tbl>
    <w:p w:rsidR="009E10C2" w:rsidRDefault="009E10C2" w:rsidP="009E10C2">
      <w:pPr>
        <w:pStyle w:val="ROMANOS"/>
        <w:spacing w:after="0" w:line="240" w:lineRule="exact"/>
        <w:ind w:left="0" w:firstLine="0"/>
        <w:rPr>
          <w:rFonts w:ascii="Soberana Sans Light" w:hAnsi="Soberana Sans Light"/>
          <w:sz w:val="22"/>
          <w:szCs w:val="22"/>
          <w:lang w:val="es-MX"/>
        </w:rPr>
      </w:pPr>
    </w:p>
    <w:p w:rsidR="009E10C2" w:rsidRPr="00540418" w:rsidRDefault="009E10C2" w:rsidP="009E10C2">
      <w:pPr>
        <w:pStyle w:val="ROMANOS"/>
        <w:spacing w:after="0" w:line="240" w:lineRule="exact"/>
        <w:ind w:left="648" w:firstLine="0"/>
        <w:rPr>
          <w:rFonts w:ascii="Soberana Sans Light" w:hAnsi="Soberana Sans Light"/>
          <w:sz w:val="22"/>
          <w:szCs w:val="22"/>
          <w:lang w:val="es-MX"/>
        </w:rPr>
      </w:pPr>
    </w:p>
    <w:p w:rsidR="009E10C2" w:rsidRDefault="009E10C2" w:rsidP="009E10C2">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9E10C2" w:rsidRPr="00540418" w:rsidRDefault="009E10C2" w:rsidP="009E10C2">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276"/>
      </w:tblGrid>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EA7F99" w:rsidRDefault="009E10C2" w:rsidP="00B7265E">
            <w:pPr>
              <w:pStyle w:val="Texto"/>
              <w:spacing w:after="0" w:line="240" w:lineRule="exact"/>
              <w:ind w:firstLine="0"/>
              <w:rPr>
                <w:rFonts w:ascii="Soberana Sans Light" w:hAnsi="Soberana Sans Light"/>
                <w:b/>
                <w:sz w:val="22"/>
                <w:szCs w:val="22"/>
                <w:lang w:val="es-MX"/>
              </w:rPr>
            </w:pPr>
          </w:p>
        </w:tc>
        <w:tc>
          <w:tcPr>
            <w:tcW w:w="1311" w:type="dxa"/>
            <w:tcBorders>
              <w:top w:val="single" w:sz="6" w:space="0" w:color="auto"/>
              <w:left w:val="single" w:sz="6" w:space="0" w:color="auto"/>
              <w:bottom w:val="single" w:sz="6" w:space="0" w:color="auto"/>
              <w:right w:val="single" w:sz="6" w:space="0" w:color="auto"/>
            </w:tcBorders>
          </w:tcPr>
          <w:p w:rsidR="009E10C2" w:rsidRPr="00EA7F99" w:rsidRDefault="009E10C2" w:rsidP="00B7265E">
            <w:pPr>
              <w:pStyle w:val="Texto"/>
              <w:spacing w:after="0" w:line="240" w:lineRule="exact"/>
              <w:ind w:firstLine="0"/>
              <w:jc w:val="center"/>
              <w:rPr>
                <w:rFonts w:ascii="Soberana Sans Light" w:hAnsi="Soberana Sans Light"/>
                <w:b/>
                <w:sz w:val="22"/>
                <w:szCs w:val="22"/>
                <w:lang w:val="es-MX"/>
              </w:rPr>
            </w:pPr>
            <w:r w:rsidRPr="00EA7F99">
              <w:rPr>
                <w:rFonts w:ascii="Soberana Sans Light" w:hAnsi="Soberana Sans Light"/>
                <w:b/>
                <w:sz w:val="22"/>
                <w:szCs w:val="22"/>
                <w:lang w:val="es-MX"/>
              </w:rPr>
              <w:t>2014</w:t>
            </w:r>
          </w:p>
        </w:tc>
        <w:tc>
          <w:tcPr>
            <w:tcW w:w="1276" w:type="dxa"/>
            <w:tcBorders>
              <w:top w:val="single" w:sz="6" w:space="0" w:color="auto"/>
              <w:left w:val="single" w:sz="6" w:space="0" w:color="auto"/>
              <w:bottom w:val="single" w:sz="6" w:space="0" w:color="auto"/>
              <w:right w:val="single" w:sz="6" w:space="0" w:color="auto"/>
            </w:tcBorders>
          </w:tcPr>
          <w:p w:rsidR="009E10C2" w:rsidRPr="00EA7F99" w:rsidRDefault="009E10C2" w:rsidP="00B7265E">
            <w:pPr>
              <w:pStyle w:val="Texto"/>
              <w:spacing w:after="0" w:line="240" w:lineRule="exact"/>
              <w:ind w:firstLine="0"/>
              <w:jc w:val="center"/>
              <w:rPr>
                <w:rFonts w:ascii="Soberana Sans Light" w:hAnsi="Soberana Sans Light"/>
                <w:b/>
                <w:sz w:val="22"/>
                <w:szCs w:val="22"/>
                <w:lang w:val="es-MX"/>
              </w:rPr>
            </w:pPr>
            <w:r w:rsidRPr="00EA7F99">
              <w:rPr>
                <w:rFonts w:ascii="Soberana Sans Light" w:hAnsi="Soberana Sans Light"/>
                <w:b/>
                <w:sz w:val="22"/>
                <w:szCs w:val="22"/>
                <w:lang w:val="es-MX"/>
              </w:rPr>
              <w:t>2013</w:t>
            </w:r>
          </w:p>
        </w:tc>
      </w:tr>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b/>
                <w:sz w:val="22"/>
                <w:szCs w:val="22"/>
                <w:lang w:val="es-MX"/>
              </w:rPr>
            </w:pP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b/>
                <w:sz w:val="22"/>
                <w:szCs w:val="22"/>
                <w:lang w:val="es-MX"/>
              </w:rPr>
            </w:pPr>
          </w:p>
        </w:tc>
      </w:tr>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p>
        </w:tc>
      </w:tr>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E10C2" w:rsidRPr="00540418" w:rsidTr="00B7265E">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E10C2" w:rsidRPr="00540418" w:rsidTr="00B7265E">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r w:rsidR="009E10C2" w:rsidRPr="00540418" w:rsidTr="00B7265E">
        <w:trPr>
          <w:cantSplit/>
          <w:jc w:val="center"/>
        </w:trPr>
        <w:tc>
          <w:tcPr>
            <w:tcW w:w="6677"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c>
          <w:tcPr>
            <w:tcW w:w="1276" w:type="dxa"/>
            <w:tcBorders>
              <w:top w:val="single" w:sz="6" w:space="0" w:color="auto"/>
              <w:left w:val="single" w:sz="6" w:space="0" w:color="auto"/>
              <w:bottom w:val="single" w:sz="6" w:space="0" w:color="auto"/>
              <w:right w:val="single" w:sz="6" w:space="0" w:color="auto"/>
            </w:tcBorders>
          </w:tcPr>
          <w:p w:rsidR="009E10C2" w:rsidRPr="00540418" w:rsidRDefault="009E10C2" w:rsidP="00B7265E">
            <w:pPr>
              <w:pStyle w:val="Texto"/>
              <w:spacing w:after="0" w:line="240" w:lineRule="exact"/>
              <w:ind w:firstLine="0"/>
              <w:jc w:val="right"/>
              <w:rPr>
                <w:rFonts w:ascii="Soberana Sans Light" w:hAnsi="Soberana Sans Light"/>
                <w:sz w:val="22"/>
                <w:szCs w:val="22"/>
                <w:lang w:val="es-MX"/>
              </w:rPr>
            </w:pPr>
            <w:r>
              <w:rPr>
                <w:rFonts w:ascii="Soberana Sans Light" w:hAnsi="Soberana Sans Light"/>
                <w:sz w:val="22"/>
                <w:szCs w:val="22"/>
                <w:lang w:val="es-MX"/>
              </w:rPr>
              <w:t>0</w:t>
            </w:r>
          </w:p>
        </w:tc>
      </w:tr>
    </w:tbl>
    <w:p w:rsidR="009E10C2" w:rsidRPr="00540418" w:rsidRDefault="009E10C2" w:rsidP="009E10C2">
      <w:pPr>
        <w:pStyle w:val="Texto"/>
        <w:spacing w:after="0" w:line="240" w:lineRule="exact"/>
        <w:rPr>
          <w:rFonts w:ascii="Soberana Sans Light" w:hAnsi="Soberana Sans Light"/>
          <w:sz w:val="22"/>
          <w:szCs w:val="22"/>
          <w:lang w:val="es-MX"/>
        </w:rPr>
      </w:pPr>
    </w:p>
    <w:p w:rsidR="009E10C2" w:rsidRPr="00540418" w:rsidRDefault="009E10C2" w:rsidP="009E10C2">
      <w:pPr>
        <w:pStyle w:val="Texto"/>
        <w:spacing w:after="0" w:line="240" w:lineRule="exact"/>
        <w:rPr>
          <w:rFonts w:ascii="Soberana Sans Light" w:hAnsi="Soberana Sans Light"/>
          <w:sz w:val="22"/>
          <w:szCs w:val="22"/>
          <w:lang w:val="es-MX"/>
        </w:rPr>
      </w:pPr>
    </w:p>
    <w:p w:rsidR="009E10C2" w:rsidRPr="00540418" w:rsidRDefault="009E10C2" w:rsidP="009E10C2">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9E10C2" w:rsidRPr="00540418"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9E10C2"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23529" w:dyaOrig="15458">
          <v:shape id="_x0000_s1077" type="#_x0000_t75" style="position:absolute;left:0;text-align:left;margin-left:9.65pt;margin-top:83.1pt;width:499.25pt;height:109.25pt;z-index:251669504;mso-position-horizontal-relative:text;mso-position-vertical-relative:text;mso-width-relative:page;mso-height-relative:page">
            <v:imagedata r:id="rId24" o:title=""/>
            <w10:wrap type="topAndBottom"/>
          </v:shape>
          <o:OLEObject Type="Embed" ProgID="Excel.Sheet.12" ShapeID="_x0000_s1077" DrawAspect="Content" ObjectID="_1498664396" r:id="rId25"/>
        </w:object>
      </w:r>
      <w:r>
        <w:rPr>
          <w:noProof/>
        </w:rPr>
        <w:object w:dxaOrig="23529" w:dyaOrig="15458">
          <v:shape id="_x0000_s1078" type="#_x0000_t75" style="position:absolute;left:0;text-align:left;margin-left:360.35pt;margin-top:121.8pt;width:205.25pt;height:160.55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6" o:title=""/>
            <w10:wrap type="topAndBottom"/>
          </v:shape>
          <o:OLEObject Type="Embed" ProgID="Excel.Sheet.12" ShapeID="_x0000_s1078" DrawAspect="Content" ObjectID="_1498664397" r:id="rId27"/>
        </w:object>
      </w: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jc w:val="center"/>
        <w:rPr>
          <w:rFonts w:ascii="Soberana Sans Light" w:hAnsi="Soberana Sans Light"/>
          <w:b/>
          <w:smallCaps/>
          <w:sz w:val="22"/>
          <w:szCs w:val="22"/>
          <w:lang w:val="es-MX"/>
        </w:rPr>
      </w:pPr>
    </w:p>
    <w:p w:rsidR="009E10C2" w:rsidRDefault="009E10C2" w:rsidP="009E10C2">
      <w:pPr>
        <w:pStyle w:val="Texto"/>
        <w:spacing w:after="0" w:line="240" w:lineRule="exact"/>
        <w:ind w:firstLine="0"/>
        <w:rPr>
          <w:rFonts w:ascii="Soberana Sans Light" w:hAnsi="Soberana Sans Light"/>
          <w:b/>
          <w:smallCaps/>
          <w:sz w:val="22"/>
          <w:szCs w:val="22"/>
          <w:lang w:val="es-MX"/>
        </w:rPr>
      </w:pPr>
    </w:p>
    <w:p w:rsidR="009E10C2" w:rsidRPr="00540418" w:rsidRDefault="009E10C2" w:rsidP="009E10C2">
      <w:pPr>
        <w:pStyle w:val="Texto"/>
        <w:spacing w:after="0" w:line="240" w:lineRule="exact"/>
        <w:jc w:val="center"/>
        <w:rPr>
          <w:rFonts w:ascii="Soberana Sans Light" w:hAnsi="Soberana Sans Light"/>
          <w:b/>
          <w:smallCaps/>
          <w:sz w:val="22"/>
          <w:szCs w:val="22"/>
          <w:lang w:val="es-MX"/>
        </w:rPr>
      </w:pPr>
    </w:p>
    <w:p w:rsidR="009E10C2" w:rsidRPr="00540418" w:rsidRDefault="009E10C2" w:rsidP="009E10C2">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9E10C2" w:rsidRDefault="009E10C2" w:rsidP="009E10C2">
      <w:pPr>
        <w:pStyle w:val="Texto"/>
        <w:spacing w:after="0" w:line="240" w:lineRule="exact"/>
        <w:ind w:firstLine="0"/>
        <w:rPr>
          <w:rFonts w:ascii="Soberana Sans Light" w:hAnsi="Soberana Sans Light"/>
          <w:b/>
          <w:sz w:val="22"/>
          <w:szCs w:val="22"/>
          <w:lang w:val="es-MX"/>
        </w:rPr>
      </w:pPr>
    </w:p>
    <w:p w:rsidR="009E10C2" w:rsidRPr="00540418" w:rsidRDefault="009E10C2" w:rsidP="009E10C2">
      <w:pPr>
        <w:pStyle w:val="Texto"/>
        <w:spacing w:after="0" w:line="240" w:lineRule="exact"/>
        <w:ind w:firstLine="0"/>
        <w:rPr>
          <w:rFonts w:ascii="Soberana Sans Light" w:hAnsi="Soberana Sans Light"/>
          <w:b/>
          <w:sz w:val="22"/>
          <w:szCs w:val="22"/>
          <w:lang w:val="es-MX"/>
        </w:rPr>
      </w:pPr>
    </w:p>
    <w:p w:rsidR="009E10C2" w:rsidRPr="00540418" w:rsidRDefault="009E10C2" w:rsidP="009E10C2">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E10C2" w:rsidRPr="00540418" w:rsidRDefault="009E10C2" w:rsidP="009E10C2">
      <w:pPr>
        <w:pStyle w:val="Texto"/>
        <w:spacing w:after="0" w:line="240" w:lineRule="exact"/>
        <w:rPr>
          <w:rFonts w:ascii="Soberana Sans Light" w:hAnsi="Soberana Sans Light"/>
          <w:sz w:val="22"/>
          <w:szCs w:val="22"/>
          <w:lang w:val="es-MX"/>
        </w:rPr>
      </w:pPr>
    </w:p>
    <w:p w:rsidR="009E10C2" w:rsidRDefault="009E10C2" w:rsidP="009E10C2">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Las cuentas </w:t>
      </w:r>
      <w:r>
        <w:rPr>
          <w:rFonts w:ascii="Soberana Sans Light" w:hAnsi="Soberana Sans Light"/>
          <w:sz w:val="22"/>
          <w:szCs w:val="22"/>
          <w:lang w:val="es-MX"/>
        </w:rPr>
        <w:t>de orden contable no aplican para efectos del presente documento.</w:t>
      </w:r>
    </w:p>
    <w:p w:rsidR="009E10C2" w:rsidRPr="00540418" w:rsidRDefault="009E10C2" w:rsidP="009E10C2">
      <w:pPr>
        <w:pStyle w:val="Texto"/>
        <w:spacing w:after="0" w:line="240" w:lineRule="exact"/>
        <w:rPr>
          <w:rFonts w:ascii="Soberana Sans Light" w:hAnsi="Soberana Sans Light"/>
          <w:sz w:val="22"/>
          <w:szCs w:val="22"/>
          <w:lang w:val="es-MX"/>
        </w:rPr>
      </w:pPr>
    </w:p>
    <w:p w:rsidR="009E10C2" w:rsidRPr="00540418" w:rsidRDefault="009E10C2" w:rsidP="009E10C2">
      <w:pPr>
        <w:pStyle w:val="Texto"/>
        <w:spacing w:after="0" w:line="240" w:lineRule="exact"/>
        <w:rPr>
          <w:rFonts w:ascii="Soberana Sans Light" w:hAnsi="Soberana Sans Light"/>
          <w:sz w:val="22"/>
          <w:szCs w:val="22"/>
        </w:rPr>
      </w:pPr>
    </w:p>
    <w:p w:rsidR="009E10C2" w:rsidRPr="00540418" w:rsidRDefault="009E10C2" w:rsidP="009E10C2">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E10C2" w:rsidRPr="00540418" w:rsidRDefault="009E10C2" w:rsidP="009E10C2">
      <w:pPr>
        <w:pStyle w:val="Texto"/>
        <w:spacing w:after="0" w:line="240" w:lineRule="exact"/>
        <w:ind w:firstLine="0"/>
        <w:jc w:val="left"/>
        <w:rPr>
          <w:rFonts w:ascii="Soberana Sans Light" w:hAnsi="Soberana Sans Light"/>
          <w:b/>
          <w:sz w:val="22"/>
          <w:szCs w:val="22"/>
          <w:lang w:val="es-MX"/>
        </w:rPr>
      </w:pPr>
    </w:p>
    <w:p w:rsidR="009E10C2" w:rsidRDefault="009E10C2" w:rsidP="009E10C2">
      <w:pPr>
        <w:pStyle w:val="Texto"/>
        <w:numPr>
          <w:ilvl w:val="0"/>
          <w:numId w:val="1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Introducción</w:t>
      </w:r>
    </w:p>
    <w:p w:rsidR="009E10C2" w:rsidRPr="00540418" w:rsidRDefault="009E10C2" w:rsidP="009E10C2">
      <w:pPr>
        <w:pStyle w:val="Texto"/>
        <w:spacing w:after="0" w:line="240" w:lineRule="exact"/>
        <w:ind w:left="708" w:firstLine="0"/>
        <w:rPr>
          <w:rFonts w:ascii="Soberana Sans Light" w:hAnsi="Soberana Sans Light"/>
          <w:b/>
          <w:sz w:val="22"/>
          <w:szCs w:val="22"/>
        </w:rPr>
      </w:pPr>
    </w:p>
    <w:p w:rsidR="009E10C2" w:rsidRPr="00540418" w:rsidRDefault="009E10C2" w:rsidP="009E10C2">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 xml:space="preserve">Los Estados Financieros de los entes públicos, proveen de información financiera a los principales usuarios de la misma, </w:t>
      </w:r>
      <w:r>
        <w:rPr>
          <w:rFonts w:ascii="Soberana Sans Light" w:hAnsi="Soberana Sans Light"/>
          <w:sz w:val="22"/>
          <w:szCs w:val="22"/>
        </w:rPr>
        <w:t>al Congreso y a los ciudadanos.</w:t>
      </w:r>
    </w:p>
    <w:p w:rsidR="009E10C2" w:rsidRPr="00540418" w:rsidRDefault="009E10C2" w:rsidP="009E10C2">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9E10C2" w:rsidRPr="00540418" w:rsidRDefault="009E10C2" w:rsidP="009E10C2">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9E10C2" w:rsidRPr="00540418" w:rsidRDefault="009E10C2" w:rsidP="009E10C2">
      <w:pPr>
        <w:pStyle w:val="Texto"/>
        <w:spacing w:after="0" w:line="240" w:lineRule="exact"/>
        <w:rPr>
          <w:rFonts w:ascii="Soberana Sans Light" w:hAnsi="Soberana Sans Light"/>
          <w:sz w:val="22"/>
          <w:szCs w:val="22"/>
        </w:rPr>
      </w:pPr>
    </w:p>
    <w:p w:rsidR="009E10C2" w:rsidRDefault="009E10C2" w:rsidP="009E10C2">
      <w:pPr>
        <w:pStyle w:val="Texto"/>
        <w:numPr>
          <w:ilvl w:val="0"/>
          <w:numId w:val="1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rsidR="009E10C2" w:rsidRPr="00540418" w:rsidRDefault="009E10C2" w:rsidP="009E10C2">
      <w:pPr>
        <w:pStyle w:val="Texto"/>
        <w:spacing w:after="0" w:line="240" w:lineRule="exact"/>
        <w:ind w:left="708" w:firstLine="0"/>
        <w:rPr>
          <w:rFonts w:ascii="Soberana Sans Light" w:hAnsi="Soberana Sans Light"/>
          <w:b/>
          <w:sz w:val="22"/>
          <w:szCs w:val="22"/>
          <w:lang w:val="es-MX"/>
        </w:rPr>
      </w:pPr>
    </w:p>
    <w:p w:rsidR="009E10C2" w:rsidRDefault="009E10C2" w:rsidP="009E10C2">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La Universidad Tecnológica de Tlaxcala obtiene la mayor parte de sus ingresos del Convenio con la Secretaría de Educación Pública Federal, para tal efecto en el ejercicio 2015 se firmó por la cantidad de $28</w:t>
      </w:r>
      <w:proofErr w:type="gramStart"/>
      <w:r>
        <w:rPr>
          <w:rFonts w:ascii="Soberana Sans Light" w:hAnsi="Soberana Sans Light"/>
          <w:sz w:val="22"/>
          <w:szCs w:val="22"/>
        </w:rPr>
        <w:t>,517,535</w:t>
      </w:r>
      <w:proofErr w:type="gramEnd"/>
      <w:r w:rsidRPr="00540418">
        <w:rPr>
          <w:rFonts w:ascii="Soberana Sans Light" w:hAnsi="Soberana Sans Light"/>
          <w:sz w:val="22"/>
          <w:szCs w:val="22"/>
        </w:rPr>
        <w:t>.</w:t>
      </w:r>
      <w:r>
        <w:rPr>
          <w:rFonts w:ascii="Soberana Sans Light" w:hAnsi="Soberana Sans Light"/>
          <w:sz w:val="22"/>
          <w:szCs w:val="22"/>
        </w:rPr>
        <w:t xml:space="preserve"> Por su parte, el Gobierno del Estado de Tlaxcala sólo transferirá la cantidad de $19</w:t>
      </w:r>
      <w:proofErr w:type="gramStart"/>
      <w:r>
        <w:rPr>
          <w:rFonts w:ascii="Soberana Sans Light" w:hAnsi="Soberana Sans Light"/>
          <w:sz w:val="22"/>
          <w:szCs w:val="22"/>
        </w:rPr>
        <w:t>,000,000</w:t>
      </w:r>
      <w:proofErr w:type="gramEnd"/>
      <w:r>
        <w:rPr>
          <w:rFonts w:ascii="Soberana Sans Light" w:hAnsi="Soberana Sans Light"/>
          <w:sz w:val="22"/>
          <w:szCs w:val="22"/>
        </w:rPr>
        <w:t xml:space="preserve"> aun cuando el citado Convenio establece que debe aportarse la misma cantidad. De ahí que existe un déficit durante el ejercicio 2015 por la cantidad de $9</w:t>
      </w:r>
      <w:proofErr w:type="gramStart"/>
      <w:r>
        <w:rPr>
          <w:rFonts w:ascii="Soberana Sans Light" w:hAnsi="Soberana Sans Light"/>
          <w:sz w:val="22"/>
          <w:szCs w:val="22"/>
        </w:rPr>
        <w:t>,517,535</w:t>
      </w:r>
      <w:proofErr w:type="gramEnd"/>
      <w:r>
        <w:rPr>
          <w:rFonts w:ascii="Soberana Sans Light" w:hAnsi="Soberana Sans Light"/>
          <w:sz w:val="22"/>
          <w:szCs w:val="22"/>
        </w:rPr>
        <w:t xml:space="preserve">, mismos que son sumados a los generados en ejercicios anteriores. </w:t>
      </w:r>
    </w:p>
    <w:p w:rsidR="009E10C2" w:rsidRDefault="009E10C2" w:rsidP="009E10C2">
      <w:pPr>
        <w:pStyle w:val="Texto"/>
        <w:spacing w:after="0" w:line="240" w:lineRule="exact"/>
        <w:ind w:firstLine="0"/>
        <w:rPr>
          <w:rFonts w:ascii="Soberana Sans Light" w:hAnsi="Soberana Sans Light"/>
          <w:sz w:val="22"/>
          <w:szCs w:val="22"/>
        </w:rPr>
      </w:pPr>
    </w:p>
    <w:p w:rsidR="009E10C2" w:rsidRDefault="009E10C2" w:rsidP="009E10C2">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Por tal motivo, la Universidad Tecnológica de Tlaxcala ha tenido que subsanar este Déficit aplicando recursos provenientes de Ingresos Propios para coadyuvar al pago de las obligaciones contraídas por la Universidad, cubriendo el faltante en Servicios Personales y otros Capítulos, aun cuando la mayor parte de ingresos debiera destinarse al pago de equipamiento de aulas y laboratorios, fortalecimiento y equipamiento, mantenimiento de edificios, entre otros.</w:t>
      </w:r>
    </w:p>
    <w:p w:rsidR="009E10C2" w:rsidRDefault="009E10C2" w:rsidP="009E10C2">
      <w:pPr>
        <w:pStyle w:val="Texto"/>
        <w:spacing w:after="0" w:line="240" w:lineRule="exact"/>
        <w:ind w:firstLine="0"/>
        <w:rPr>
          <w:rFonts w:ascii="Soberana Sans Light" w:hAnsi="Soberana Sans Light"/>
          <w:sz w:val="22"/>
          <w:szCs w:val="22"/>
        </w:rPr>
      </w:pPr>
    </w:p>
    <w:p w:rsidR="009E10C2" w:rsidRDefault="009E10C2" w:rsidP="009E10C2">
      <w:pPr>
        <w:pStyle w:val="Texto"/>
        <w:spacing w:after="0" w:line="240" w:lineRule="exact"/>
        <w:ind w:firstLine="0"/>
        <w:rPr>
          <w:rFonts w:ascii="Soberana Sans Light" w:hAnsi="Soberana Sans Light"/>
          <w:sz w:val="22"/>
          <w:szCs w:val="22"/>
        </w:rPr>
      </w:pPr>
      <w:r>
        <w:rPr>
          <w:rFonts w:ascii="Soberana Sans Light" w:hAnsi="Soberana Sans Light"/>
          <w:sz w:val="22"/>
          <w:szCs w:val="22"/>
        </w:rPr>
        <w:t>En el caso del Fondo de Apoyo a la Calidad 2013, sucede una situación similar, pues el Estado ha omitido la aportación que le corresponde de acuerdo al Convenio firmado por $3</w:t>
      </w:r>
      <w:proofErr w:type="gramStart"/>
      <w:r>
        <w:rPr>
          <w:rFonts w:ascii="Soberana Sans Light" w:hAnsi="Soberana Sans Light"/>
          <w:sz w:val="22"/>
          <w:szCs w:val="22"/>
        </w:rPr>
        <w:t>,520,851</w:t>
      </w:r>
      <w:proofErr w:type="gramEnd"/>
      <w:r>
        <w:rPr>
          <w:rFonts w:ascii="Soberana Sans Light" w:hAnsi="Soberana Sans Light"/>
          <w:sz w:val="22"/>
          <w:szCs w:val="22"/>
        </w:rPr>
        <w:t xml:space="preserve"> y así poder cumplir con los objetivos del Convenio original.</w:t>
      </w:r>
    </w:p>
    <w:p w:rsidR="009E10C2" w:rsidRDefault="009E10C2" w:rsidP="009E10C2">
      <w:pPr>
        <w:pStyle w:val="Texto"/>
        <w:spacing w:after="0" w:line="240" w:lineRule="exact"/>
        <w:ind w:firstLine="0"/>
        <w:rPr>
          <w:rFonts w:ascii="Soberana Sans Light" w:hAnsi="Soberana Sans Light"/>
          <w:sz w:val="22"/>
          <w:szCs w:val="22"/>
        </w:rPr>
      </w:pPr>
    </w:p>
    <w:p w:rsidR="009E10C2" w:rsidRDefault="009E10C2" w:rsidP="009E10C2">
      <w:pPr>
        <w:pStyle w:val="Texto"/>
        <w:spacing w:after="0" w:line="240" w:lineRule="exact"/>
        <w:rPr>
          <w:rFonts w:ascii="Soberana Sans Light" w:hAnsi="Soberana Sans Light"/>
          <w:sz w:val="22"/>
          <w:szCs w:val="22"/>
        </w:rPr>
      </w:pPr>
    </w:p>
    <w:p w:rsidR="009E10C2" w:rsidRDefault="009E10C2" w:rsidP="009E10C2">
      <w:pPr>
        <w:pStyle w:val="Texto"/>
        <w:spacing w:after="0" w:line="240" w:lineRule="exact"/>
        <w:rPr>
          <w:rFonts w:ascii="Soberana Sans Light" w:hAnsi="Soberana Sans Light"/>
          <w:sz w:val="22"/>
          <w:szCs w:val="22"/>
        </w:rPr>
      </w:pPr>
    </w:p>
    <w:p w:rsidR="009E10C2" w:rsidRDefault="009E10C2" w:rsidP="009E10C2">
      <w:pPr>
        <w:pStyle w:val="Texto"/>
        <w:spacing w:after="0" w:line="240" w:lineRule="exact"/>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sz w:val="22"/>
          <w:szCs w:val="22"/>
        </w:rPr>
      </w:pPr>
    </w:p>
    <w:p w:rsidR="009E10C2" w:rsidRDefault="009E10C2" w:rsidP="009E10C2">
      <w:pPr>
        <w:pStyle w:val="Texto"/>
        <w:numPr>
          <w:ilvl w:val="0"/>
          <w:numId w:val="14"/>
        </w:numPr>
        <w:spacing w:after="0" w:line="240" w:lineRule="exact"/>
        <w:rPr>
          <w:rFonts w:ascii="Soberana Sans Light" w:hAnsi="Soberana Sans Light"/>
          <w:b/>
          <w:sz w:val="22"/>
          <w:szCs w:val="22"/>
          <w:lang w:val="es-MX"/>
        </w:rPr>
      </w:pPr>
      <w:r>
        <w:rPr>
          <w:rFonts w:ascii="Soberana Sans Light" w:hAnsi="Soberana Sans Light"/>
          <w:b/>
          <w:sz w:val="22"/>
          <w:szCs w:val="22"/>
          <w:lang w:val="es-MX"/>
        </w:rPr>
        <w:t>Autorización e Historia.</w:t>
      </w:r>
    </w:p>
    <w:p w:rsidR="009E10C2" w:rsidRDefault="009E10C2" w:rsidP="009E10C2">
      <w:pPr>
        <w:pStyle w:val="Texto"/>
        <w:spacing w:after="0" w:line="240" w:lineRule="exact"/>
        <w:rPr>
          <w:rFonts w:ascii="Soberana Sans Light" w:hAnsi="Soberana Sans Light"/>
          <w:b/>
          <w:sz w:val="22"/>
          <w:szCs w:val="22"/>
          <w:lang w:val="es-MX"/>
        </w:rPr>
      </w:pPr>
    </w:p>
    <w:p w:rsidR="009E10C2" w:rsidRPr="00F647F4" w:rsidRDefault="009E10C2" w:rsidP="009E10C2">
      <w:pPr>
        <w:pStyle w:val="Texto"/>
        <w:spacing w:after="0" w:line="240" w:lineRule="exact"/>
        <w:rPr>
          <w:rFonts w:ascii="Soberana Sans Light" w:hAnsi="Soberana Sans Light"/>
          <w:sz w:val="22"/>
          <w:szCs w:val="22"/>
          <w:lang w:val="es-MX"/>
        </w:rPr>
      </w:pPr>
    </w:p>
    <w:p w:rsidR="009E10C2" w:rsidRPr="00F647F4" w:rsidRDefault="009E10C2" w:rsidP="009E10C2">
      <w:pPr>
        <w:pStyle w:val="Texto"/>
        <w:spacing w:after="0" w:line="240" w:lineRule="exact"/>
        <w:ind w:firstLine="0"/>
        <w:rPr>
          <w:rFonts w:ascii="Soberana Sans Light" w:hAnsi="Soberana Sans Light"/>
          <w:sz w:val="22"/>
          <w:szCs w:val="22"/>
          <w:lang w:val="es-MX"/>
        </w:rPr>
      </w:pPr>
      <w:r w:rsidRPr="00F647F4">
        <w:rPr>
          <w:rFonts w:ascii="Soberana Sans Light" w:hAnsi="Soberana Sans Light"/>
          <w:sz w:val="22"/>
          <w:szCs w:val="22"/>
          <w:lang w:val="es-MX"/>
        </w:rPr>
        <w:t xml:space="preserve">La Universidad Tecnológica de Tlaxcala fue creada por Decreto el 14 de febrero de 1996. El Decreto establece que será un Organismo Público Descentralizado con personalidad jurídica y patrimonio propios. </w:t>
      </w:r>
    </w:p>
    <w:p w:rsidR="009E10C2" w:rsidRDefault="009E10C2" w:rsidP="009E10C2">
      <w:pPr>
        <w:pStyle w:val="Texto"/>
        <w:spacing w:after="0" w:line="240" w:lineRule="exact"/>
        <w:ind w:firstLine="0"/>
        <w:rPr>
          <w:rFonts w:ascii="Soberana Sans Light" w:hAnsi="Soberana Sans Light"/>
          <w:sz w:val="22"/>
          <w:szCs w:val="22"/>
          <w:lang w:val="es-MX"/>
        </w:rPr>
      </w:pPr>
      <w:r w:rsidRPr="00F647F4">
        <w:rPr>
          <w:rFonts w:ascii="Soberana Sans Light" w:hAnsi="Soberana Sans Light"/>
          <w:sz w:val="22"/>
          <w:szCs w:val="22"/>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9E10C2" w:rsidRDefault="009E10C2" w:rsidP="009E10C2">
      <w:pPr>
        <w:pStyle w:val="Text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Finalmente, la creación de ingenierías fue publicada el 8 de diciembre de 2009 como una reforma al Decreto citado en el párrafo anterior.</w:t>
      </w:r>
    </w:p>
    <w:p w:rsidR="009E10C2" w:rsidRPr="00F647F4" w:rsidRDefault="009E10C2" w:rsidP="009E10C2">
      <w:pPr>
        <w:pStyle w:val="Texto"/>
        <w:spacing w:after="0" w:line="240" w:lineRule="exact"/>
        <w:rPr>
          <w:rFonts w:ascii="Soberana Sans Light" w:hAnsi="Soberana Sans Light"/>
          <w:sz w:val="22"/>
          <w:szCs w:val="22"/>
          <w:lang w:val="es-MX"/>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9E10C2" w:rsidRPr="00540418" w:rsidRDefault="009E10C2" w:rsidP="009E10C2">
      <w:pPr>
        <w:pStyle w:val="Texto"/>
        <w:spacing w:after="0" w:line="240" w:lineRule="exact"/>
        <w:rPr>
          <w:rFonts w:ascii="Soberana Sans Light" w:hAnsi="Soberana Sans Light"/>
          <w:sz w:val="22"/>
          <w:szCs w:val="22"/>
        </w:rPr>
      </w:pPr>
    </w:p>
    <w:p w:rsidR="009E10C2" w:rsidRDefault="009E10C2" w:rsidP="009E10C2">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9E10C2"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El Objetivo social de la Universidad de acuerdo con el artículo 2 del Decreto del 8 de diciembre de 2009, es el de impartir educación superior a nivel Licenciatura denominada Nivel 5ª,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9E10C2" w:rsidRPr="00540418"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9E10C2"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rsidR="009E10C2" w:rsidRPr="00540418" w:rsidRDefault="009E10C2" w:rsidP="009E10C2">
      <w:pPr>
        <w:pStyle w:val="INCISO"/>
        <w:spacing w:after="0" w:line="240" w:lineRule="exact"/>
        <w:ind w:left="0" w:firstLine="0"/>
        <w:rPr>
          <w:rFonts w:ascii="Soberana Sans Light" w:hAnsi="Soberana Sans Light"/>
          <w:sz w:val="22"/>
          <w:szCs w:val="22"/>
        </w:rPr>
      </w:pPr>
    </w:p>
    <w:p w:rsidR="009E10C2" w:rsidRDefault="009E10C2" w:rsidP="009E10C2">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9E10C2"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La Universidad Tecnológica de Tlaxcala presenta el presente documento por el periodo del 1 de enero al 31 de marzo de 2015.</w:t>
      </w:r>
    </w:p>
    <w:p w:rsidR="009E10C2" w:rsidRPr="00540418"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9E10C2"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La Universidad Tecnológica de Tlaxcala es un Organismo Público Descentralizado, dotado de personalidad jurídica y patrimonio propio, cuyo domicilio principal estará ubicado en el Municipio de Huamantla Tlaxcala.</w:t>
      </w:r>
    </w:p>
    <w:p w:rsidR="009E10C2" w:rsidRPr="00540418"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w:t>
      </w:r>
      <w:r>
        <w:rPr>
          <w:rFonts w:ascii="Soberana Sans Light" w:hAnsi="Soberana Sans Light"/>
          <w:sz w:val="22"/>
          <w:szCs w:val="22"/>
        </w:rPr>
        <w:t>te.</w:t>
      </w:r>
    </w:p>
    <w:p w:rsidR="009E10C2"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lastRenderedPageBreak/>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9E10C2" w:rsidRPr="00540418"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9E10C2"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spacing w:after="0" w:line="240" w:lineRule="exact"/>
        <w:ind w:left="720" w:firstLine="0"/>
        <w:rPr>
          <w:rFonts w:ascii="Soberana Sans Light" w:hAnsi="Soberana Sans Light"/>
          <w:sz w:val="22"/>
          <w:szCs w:val="22"/>
        </w:rPr>
      </w:pPr>
      <w:r>
        <w:rPr>
          <w:rFonts w:ascii="Soberana Sans Light" w:hAnsi="Soberana Sans Light"/>
          <w:sz w:val="22"/>
          <w:szCs w:val="22"/>
        </w:rPr>
        <w:t xml:space="preserve">De acuerdo </w:t>
      </w:r>
      <w:proofErr w:type="gramStart"/>
      <w:r>
        <w:rPr>
          <w:rFonts w:ascii="Soberana Sans Light" w:hAnsi="Soberana Sans Light"/>
          <w:sz w:val="22"/>
          <w:szCs w:val="22"/>
        </w:rPr>
        <w:t>al  nuevo</w:t>
      </w:r>
      <w:proofErr w:type="gramEnd"/>
      <w:r>
        <w:rPr>
          <w:rFonts w:ascii="Soberana Sans Light" w:hAnsi="Soberana Sans Light"/>
          <w:sz w:val="22"/>
          <w:szCs w:val="22"/>
        </w:rPr>
        <w:t xml:space="preserve"> Reglamento General de la Universidad, la Universidad contará con los Órganos de Gobierno, de Consulta, Apoyo Académico y Administrativo siguientes:</w:t>
      </w:r>
    </w:p>
    <w:p w:rsidR="009E10C2" w:rsidRDefault="009E10C2" w:rsidP="009E10C2">
      <w:pPr>
        <w:pStyle w:val="INCISO"/>
        <w:spacing w:after="0" w:line="240" w:lineRule="exact"/>
        <w:ind w:left="720" w:firstLine="0"/>
        <w:rPr>
          <w:rFonts w:ascii="Soberana Sans Light" w:hAnsi="Soberana Sans Light"/>
          <w:sz w:val="22"/>
          <w:szCs w:val="22"/>
        </w:rPr>
      </w:pPr>
    </w:p>
    <w:p w:rsidR="009E10C2" w:rsidRDefault="009E10C2" w:rsidP="009E10C2">
      <w:pPr>
        <w:pStyle w:val="INCISO"/>
        <w:numPr>
          <w:ilvl w:val="0"/>
          <w:numId w:val="16"/>
        </w:numPr>
        <w:spacing w:after="0" w:line="240" w:lineRule="exact"/>
        <w:rPr>
          <w:rFonts w:ascii="Soberana Sans Light" w:hAnsi="Soberana Sans Light"/>
          <w:sz w:val="22"/>
          <w:szCs w:val="22"/>
        </w:rPr>
      </w:pPr>
      <w:r>
        <w:rPr>
          <w:rFonts w:ascii="Soberana Sans Light" w:hAnsi="Soberana Sans Light"/>
          <w:sz w:val="22"/>
          <w:szCs w:val="22"/>
        </w:rPr>
        <w:t>- Consejo Directivo.</w:t>
      </w: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Rector.</w:t>
      </w: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 Académico.</w:t>
      </w: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Directores de Carrera.</w:t>
      </w: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 de Administración y Finanzas.</w:t>
      </w: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Director de Vinculación.</w:t>
      </w: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Abogado General.</w:t>
      </w:r>
    </w:p>
    <w:p w:rsidR="009E10C2" w:rsidRDefault="009E10C2" w:rsidP="009E10C2">
      <w:pPr>
        <w:pStyle w:val="INCISO"/>
        <w:spacing w:after="0" w:line="240" w:lineRule="exact"/>
        <w:rPr>
          <w:rFonts w:ascii="Soberana Sans Light" w:hAnsi="Soberana Sans Light"/>
          <w:sz w:val="22"/>
          <w:szCs w:val="22"/>
        </w:rPr>
      </w:pPr>
    </w:p>
    <w:p w:rsidR="009E10C2" w:rsidRDefault="009E10C2" w:rsidP="009E10C2">
      <w:pPr>
        <w:pStyle w:val="INCISO"/>
        <w:spacing w:after="0" w:line="240" w:lineRule="exact"/>
        <w:rPr>
          <w:rFonts w:ascii="Soberana Sans Light" w:hAnsi="Soberana Sans Light"/>
          <w:sz w:val="22"/>
          <w:szCs w:val="22"/>
        </w:rPr>
      </w:pPr>
      <w:r>
        <w:rPr>
          <w:rFonts w:ascii="Soberana Sans Light" w:hAnsi="Soberana Sans Light"/>
          <w:sz w:val="22"/>
          <w:szCs w:val="22"/>
        </w:rPr>
        <w:t>Además de lo anterior, cuenta con nueve Jefes de Departamento, un Patronato, un Consejo Académico y la Comisión de Pertinencia.</w:t>
      </w:r>
    </w:p>
    <w:p w:rsidR="009E10C2" w:rsidRDefault="009E10C2" w:rsidP="009E10C2">
      <w:pPr>
        <w:pStyle w:val="INCISO"/>
        <w:spacing w:after="0" w:line="240" w:lineRule="exact"/>
        <w:ind w:left="709" w:firstLine="0"/>
        <w:rPr>
          <w:rFonts w:ascii="Soberana Sans Light" w:hAnsi="Soberana Sans Light"/>
          <w:sz w:val="22"/>
          <w:szCs w:val="22"/>
        </w:rPr>
      </w:pPr>
      <w:r>
        <w:rPr>
          <w:rFonts w:ascii="Soberana Sans Light" w:hAnsi="Soberana Sans Light"/>
          <w:sz w:val="22"/>
          <w:szCs w:val="22"/>
        </w:rPr>
        <w:t>El Consejo Directivo es el Órgano Superior de Gobierno de la Universidad Tecnológica de Tlaxcala que contará con las facultades contenidas en el Decreto de Creación y en el Reglamento General.</w:t>
      </w:r>
    </w:p>
    <w:p w:rsidR="009E10C2" w:rsidRPr="008D2A78" w:rsidRDefault="009E10C2" w:rsidP="009E10C2">
      <w:pPr>
        <w:pStyle w:val="INCISO"/>
        <w:spacing w:after="0" w:line="240" w:lineRule="exact"/>
        <w:ind w:left="709" w:firstLine="0"/>
        <w:rPr>
          <w:rFonts w:ascii="Soberana Sans Light" w:hAnsi="Soberana Sans Light"/>
          <w:sz w:val="22"/>
          <w:szCs w:val="22"/>
        </w:rPr>
      </w:pPr>
    </w:p>
    <w:p w:rsidR="009E10C2" w:rsidRDefault="009E10C2" w:rsidP="009E10C2">
      <w:pPr>
        <w:pStyle w:val="Texto"/>
        <w:numPr>
          <w:ilvl w:val="0"/>
          <w:numId w:val="1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rsidR="009E10C2" w:rsidRDefault="009E10C2" w:rsidP="009E10C2">
      <w:pPr>
        <w:pStyle w:val="Texto"/>
        <w:spacing w:after="0" w:line="240" w:lineRule="exact"/>
        <w:rPr>
          <w:rFonts w:ascii="Soberana Sans Light" w:hAnsi="Soberana Sans Light"/>
          <w:b/>
          <w:sz w:val="22"/>
          <w:szCs w:val="22"/>
          <w:lang w:val="es-MX"/>
        </w:rPr>
      </w:pPr>
    </w:p>
    <w:p w:rsidR="009E10C2" w:rsidRPr="009F3541" w:rsidRDefault="009E10C2" w:rsidP="009E10C2">
      <w:pPr>
        <w:pStyle w:val="Texto"/>
        <w:spacing w:after="0" w:line="240" w:lineRule="exact"/>
        <w:rPr>
          <w:rFonts w:ascii="Soberana Sans Light" w:hAnsi="Soberana Sans Light"/>
          <w:sz w:val="22"/>
          <w:szCs w:val="22"/>
          <w:lang w:val="es-MX"/>
        </w:rPr>
      </w:pPr>
      <w:r w:rsidRPr="009F3541">
        <w:rPr>
          <w:rFonts w:ascii="Soberana Sans Light" w:hAnsi="Soberana Sans Light"/>
          <w:sz w:val="22"/>
          <w:szCs w:val="22"/>
          <w:lang w:val="es-MX"/>
        </w:rPr>
        <w:t>Las Bases de Preparación de los Estados Financieros han sido las siguientes:</w:t>
      </w:r>
    </w:p>
    <w:p w:rsidR="009E10C2" w:rsidRPr="009F3541" w:rsidRDefault="009E10C2" w:rsidP="009E10C2">
      <w:pPr>
        <w:pStyle w:val="Texto"/>
        <w:numPr>
          <w:ilvl w:val="0"/>
          <w:numId w:val="17"/>
        </w:numPr>
        <w:spacing w:after="0" w:line="240" w:lineRule="exact"/>
        <w:rPr>
          <w:rFonts w:ascii="Soberana Sans Light" w:hAnsi="Soberana Sans Light"/>
          <w:sz w:val="22"/>
          <w:szCs w:val="22"/>
          <w:lang w:val="es-MX"/>
        </w:rPr>
      </w:pPr>
      <w:r w:rsidRPr="009F3541">
        <w:rPr>
          <w:rFonts w:ascii="Soberana Sans Light" w:hAnsi="Soberana Sans Light"/>
          <w:sz w:val="22"/>
          <w:szCs w:val="22"/>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9E10C2" w:rsidRPr="009F3541" w:rsidRDefault="009E10C2" w:rsidP="009E10C2">
      <w:pPr>
        <w:pStyle w:val="Texto"/>
        <w:numPr>
          <w:ilvl w:val="0"/>
          <w:numId w:val="17"/>
        </w:numPr>
        <w:spacing w:after="0" w:line="240" w:lineRule="exact"/>
        <w:rPr>
          <w:rFonts w:ascii="Soberana Sans Light" w:hAnsi="Soberana Sans Light"/>
          <w:sz w:val="22"/>
          <w:szCs w:val="22"/>
          <w:lang w:val="es-MX"/>
        </w:rPr>
      </w:pPr>
      <w:r w:rsidRPr="009F3541">
        <w:rPr>
          <w:rFonts w:ascii="Soberana Sans Light" w:hAnsi="Soberana Sans Light"/>
          <w:sz w:val="22"/>
          <w:szCs w:val="22"/>
          <w:lang w:val="es-MX"/>
        </w:rPr>
        <w:t>La normatividad aplicada para el reconocimiento, valuación y revelación de los diferentes rubros han sido las autorizadas por el CONAC. En el caso de los Bienes Muebles e Inmuebles han sido presentados a su costo histórico, mientras que los Derechos a Recibir Efectivo han sido revelados a su valor de recuperación.</w:t>
      </w:r>
    </w:p>
    <w:p w:rsidR="009E10C2" w:rsidRPr="009F3541" w:rsidRDefault="009E10C2" w:rsidP="009E10C2">
      <w:pPr>
        <w:pStyle w:val="Texto"/>
        <w:numPr>
          <w:ilvl w:val="0"/>
          <w:numId w:val="17"/>
        </w:numPr>
        <w:spacing w:after="0" w:line="240" w:lineRule="exact"/>
        <w:rPr>
          <w:rFonts w:ascii="Soberana Sans Light" w:hAnsi="Soberana Sans Light"/>
          <w:sz w:val="22"/>
          <w:szCs w:val="22"/>
          <w:lang w:val="es-MX"/>
        </w:rPr>
      </w:pPr>
      <w:r w:rsidRPr="009F3541">
        <w:rPr>
          <w:rFonts w:ascii="Soberana Sans Light" w:hAnsi="Soberana Sans Light"/>
          <w:sz w:val="22"/>
          <w:szCs w:val="22"/>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9E10C2" w:rsidRPr="00540418" w:rsidRDefault="009E10C2" w:rsidP="009E10C2">
      <w:pPr>
        <w:pStyle w:val="Texto"/>
        <w:spacing w:after="0" w:line="240" w:lineRule="exact"/>
        <w:ind w:left="1440" w:hanging="360"/>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9E10C2" w:rsidRPr="00540418" w:rsidRDefault="009E10C2" w:rsidP="009E10C2">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9E10C2" w:rsidRPr="00540418" w:rsidRDefault="009E10C2" w:rsidP="009E10C2">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9E10C2" w:rsidRPr="00540418" w:rsidRDefault="009E10C2" w:rsidP="009E10C2">
      <w:pPr>
        <w:pStyle w:val="INCISO"/>
        <w:spacing w:after="0" w:line="240" w:lineRule="exact"/>
        <w:rPr>
          <w:rFonts w:ascii="Soberana Sans Light" w:hAnsi="Soberana Sans Light"/>
          <w:sz w:val="22"/>
          <w:szCs w:val="22"/>
        </w:rPr>
      </w:pPr>
      <w:r>
        <w:rPr>
          <w:rFonts w:ascii="Soberana Sans Light" w:hAnsi="Soberana Sans Light"/>
          <w:sz w:val="22"/>
          <w:szCs w:val="22"/>
        </w:rPr>
        <w:lastRenderedPageBreak/>
        <w:t>b</w:t>
      </w:r>
      <w:r w:rsidRPr="00540418">
        <w:rPr>
          <w:rFonts w:ascii="Soberana Sans Light" w:hAnsi="Soberana Sans Light"/>
          <w:sz w:val="22"/>
          <w:szCs w:val="22"/>
        </w:rPr>
        <w:t>)</w:t>
      </w:r>
      <w:r w:rsidRPr="00540418">
        <w:rPr>
          <w:rFonts w:ascii="Soberana Sans Light" w:hAnsi="Soberana Sans Light"/>
          <w:sz w:val="22"/>
          <w:szCs w:val="22"/>
        </w:rPr>
        <w:tab/>
      </w:r>
      <w:r>
        <w:rPr>
          <w:rFonts w:ascii="Soberana Sans Light" w:hAnsi="Soberana Sans Light"/>
          <w:sz w:val="22"/>
          <w:szCs w:val="22"/>
        </w:rPr>
        <w:t>La elaboración de un nuevo inventario de bienes muebles e inmuebles llevará a cabo la actualización de los valores de éstos, ajustando su valor histórico a su valor de realización, de ahí que se reevaluará este renglón a fin de mostrar importes que muestren de forma razonable la situación financiera de la Universidad.</w:t>
      </w:r>
    </w:p>
    <w:p w:rsidR="009E10C2" w:rsidRPr="00540418" w:rsidRDefault="009E10C2" w:rsidP="009E10C2">
      <w:pPr>
        <w:pStyle w:val="INCISO"/>
        <w:spacing w:after="0" w:line="240" w:lineRule="exact"/>
        <w:rPr>
          <w:rFonts w:ascii="Soberana Sans Light" w:hAnsi="Soberana Sans Light"/>
          <w:sz w:val="22"/>
          <w:szCs w:val="22"/>
        </w:rPr>
      </w:pPr>
    </w:p>
    <w:p w:rsidR="009E10C2" w:rsidRPr="00540418" w:rsidRDefault="009E10C2" w:rsidP="009E10C2">
      <w:pPr>
        <w:pStyle w:val="INCISO"/>
        <w:spacing w:after="0" w:line="240" w:lineRule="exact"/>
        <w:ind w:left="0" w:firstLine="0"/>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9E10C2" w:rsidRDefault="009E10C2" w:rsidP="009E10C2">
      <w:pPr>
        <w:pStyle w:val="Texto"/>
        <w:spacing w:after="0" w:line="240" w:lineRule="exact"/>
        <w:rPr>
          <w:rFonts w:ascii="Soberana Sans Light" w:hAnsi="Soberana Sans Light"/>
          <w:sz w:val="22"/>
          <w:szCs w:val="22"/>
        </w:rPr>
      </w:pPr>
    </w:p>
    <w:p w:rsidR="009E10C2" w:rsidRDefault="009E10C2" w:rsidP="009E10C2">
      <w:pPr>
        <w:pStyle w:val="Texto"/>
        <w:spacing w:after="0" w:line="240" w:lineRule="exact"/>
        <w:rPr>
          <w:rFonts w:ascii="Soberana Sans Light" w:hAnsi="Soberana Sans Light"/>
          <w:sz w:val="22"/>
          <w:szCs w:val="22"/>
        </w:rPr>
      </w:pPr>
      <w:r>
        <w:rPr>
          <w:rFonts w:ascii="Soberana Sans Light" w:hAnsi="Soberana Sans Light"/>
          <w:sz w:val="22"/>
          <w:szCs w:val="22"/>
        </w:rPr>
        <w:tab/>
        <w:t>No aplica.</w:t>
      </w:r>
    </w:p>
    <w:p w:rsidR="009E10C2" w:rsidRDefault="009E10C2" w:rsidP="009E10C2">
      <w:pPr>
        <w:pStyle w:val="Texto"/>
        <w:spacing w:after="0" w:line="240" w:lineRule="exact"/>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9E10C2" w:rsidRPr="00540418" w:rsidRDefault="009E10C2" w:rsidP="009E10C2">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9E10C2" w:rsidRPr="00540418" w:rsidRDefault="009E10C2" w:rsidP="009E10C2">
      <w:pPr>
        <w:pStyle w:val="INCISO"/>
        <w:spacing w:after="0" w:line="240" w:lineRule="auto"/>
        <w:ind w:left="1077" w:hanging="357"/>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A fin de cumplir con lo establecido en la normatividad, para presentar la información del activo será considerada la v</w:t>
      </w:r>
      <w:r w:rsidRPr="00540418">
        <w:rPr>
          <w:rFonts w:ascii="Soberana Sans Light" w:hAnsi="Soberana Sans Light"/>
          <w:sz w:val="22"/>
          <w:szCs w:val="22"/>
        </w:rPr>
        <w:t>ida útil o porcentajes de depreciación, deterioro o amortización utilizados en los diferentes tipos de activos.</w:t>
      </w:r>
    </w:p>
    <w:p w:rsidR="009E10C2" w:rsidRPr="00540418" w:rsidRDefault="009E10C2" w:rsidP="009E10C2">
      <w:pPr>
        <w:pStyle w:val="INCISO"/>
        <w:spacing w:after="0" w:line="240" w:lineRule="auto"/>
        <w:ind w:left="1077" w:hanging="357"/>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Los c</w:t>
      </w:r>
      <w:r w:rsidRPr="00540418">
        <w:rPr>
          <w:rFonts w:ascii="Soberana Sans Light" w:hAnsi="Soberana Sans Light"/>
          <w:sz w:val="22"/>
          <w:szCs w:val="22"/>
        </w:rPr>
        <w:t xml:space="preserve">ambios en el porcentaje de depreciación </w:t>
      </w:r>
      <w:r>
        <w:rPr>
          <w:rFonts w:ascii="Soberana Sans Light" w:hAnsi="Soberana Sans Light"/>
          <w:sz w:val="22"/>
          <w:szCs w:val="22"/>
        </w:rPr>
        <w:t>o valor residual de los activos se hará efectivo en el segundo semestre de 2015 a fin de cumplir con la normatividad correspondiente.</w:t>
      </w:r>
    </w:p>
    <w:p w:rsidR="009E10C2" w:rsidRPr="00540418" w:rsidRDefault="009E10C2" w:rsidP="009E10C2">
      <w:pPr>
        <w:pStyle w:val="INCISO"/>
        <w:spacing w:after="0" w:line="240" w:lineRule="exact"/>
        <w:ind w:left="0" w:firstLine="0"/>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9E10C2" w:rsidRDefault="009E10C2" w:rsidP="009E10C2">
      <w:pPr>
        <w:pStyle w:val="INCISO"/>
        <w:spacing w:after="0" w:line="240" w:lineRule="exact"/>
        <w:rPr>
          <w:rFonts w:ascii="Soberana Sans Light" w:hAnsi="Soberana Sans Light"/>
          <w:sz w:val="22"/>
          <w:szCs w:val="22"/>
        </w:rPr>
      </w:pPr>
      <w:r>
        <w:rPr>
          <w:rFonts w:ascii="Soberana Sans Light" w:hAnsi="Soberana Sans Light"/>
          <w:sz w:val="22"/>
          <w:szCs w:val="22"/>
        </w:rPr>
        <w:t>No aplica.</w:t>
      </w:r>
    </w:p>
    <w:p w:rsidR="009E10C2" w:rsidRPr="00540418" w:rsidRDefault="009E10C2" w:rsidP="009E10C2">
      <w:pPr>
        <w:pStyle w:val="INCISO"/>
        <w:spacing w:after="0" w:line="240" w:lineRule="exact"/>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9E10C2" w:rsidRDefault="009E10C2" w:rsidP="009E10C2">
      <w:pPr>
        <w:pStyle w:val="INCISO"/>
        <w:spacing w:after="0" w:line="240" w:lineRule="exact"/>
        <w:rPr>
          <w:rFonts w:ascii="Soberana Sans Light" w:hAnsi="Soberana Sans Light"/>
          <w:sz w:val="22"/>
          <w:szCs w:val="22"/>
        </w:rPr>
      </w:pPr>
      <w:r>
        <w:rPr>
          <w:rFonts w:ascii="Soberana Sans Light" w:hAnsi="Soberana Sans Light"/>
          <w:sz w:val="22"/>
          <w:szCs w:val="22"/>
        </w:rPr>
        <w:t>Los ingresos propios de la Universidad representan el 17.11% de los ingresos totales al 31 de marzo de 2015. Los ingresos propios obtenidos durante el ejercicio fiscal 2015 fueron los correspondientes a exámenes de admisión, cuotas de colegiaturas, pagos por inscripción y reinscripción y otros ingresos por servicios a la industria.</w:t>
      </w:r>
    </w:p>
    <w:p w:rsidR="009E10C2" w:rsidRDefault="009E10C2" w:rsidP="009E10C2">
      <w:pPr>
        <w:pStyle w:val="INCISO"/>
        <w:spacing w:after="0" w:line="240" w:lineRule="exact"/>
        <w:ind w:left="0" w:firstLine="0"/>
        <w:rPr>
          <w:rFonts w:ascii="Soberana Sans Light" w:hAnsi="Soberana Sans Light"/>
          <w:sz w:val="22"/>
          <w:szCs w:val="22"/>
        </w:rPr>
      </w:pPr>
    </w:p>
    <w:p w:rsidR="009E10C2" w:rsidRPr="00540418" w:rsidRDefault="009E10C2" w:rsidP="009E10C2">
      <w:pPr>
        <w:pStyle w:val="INCISO"/>
        <w:spacing w:after="0" w:line="240" w:lineRule="exact"/>
        <w:ind w:left="709" w:firstLine="0"/>
        <w:rPr>
          <w:rFonts w:ascii="Soberana Sans Light" w:hAnsi="Soberana Sans Light"/>
          <w:sz w:val="22"/>
          <w:szCs w:val="22"/>
        </w:rPr>
      </w:pPr>
      <w:r>
        <w:rPr>
          <w:rFonts w:ascii="Soberana Sans Light" w:hAnsi="Soberana Sans Light"/>
          <w:sz w:val="22"/>
          <w:szCs w:val="22"/>
        </w:rPr>
        <w:t>Las tablas de ingresos propios fueron incrementadas por Acuerdo del Consejo Directivo durante el ejercicio 2014, lo que provocó una mejor y mayor recaudación de Derechos para la Universidad. Por otra parte, las inversiones bancarias realizadas han generado productos que se ven reflejados en el rubro de intereses.</w:t>
      </w:r>
    </w:p>
    <w:p w:rsidR="009E10C2" w:rsidRPr="00540418" w:rsidRDefault="009E10C2" w:rsidP="009E10C2">
      <w:pPr>
        <w:pStyle w:val="INCISO"/>
        <w:spacing w:after="0" w:line="240" w:lineRule="exact"/>
        <w:ind w:left="0" w:firstLine="0"/>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9E10C2" w:rsidRPr="00540418" w:rsidRDefault="009E10C2" w:rsidP="009E10C2">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E10C2" w:rsidRPr="00540418" w:rsidRDefault="009E10C2" w:rsidP="009E10C2">
      <w:pPr>
        <w:pStyle w:val="INCISO"/>
        <w:spacing w:after="0" w:line="240" w:lineRule="exact"/>
        <w:rPr>
          <w:rFonts w:ascii="Soberana Sans Light" w:hAnsi="Soberana Sans Light"/>
          <w:sz w:val="22"/>
          <w:szCs w:val="22"/>
          <w:lang w:val="es-MX"/>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9E10C2" w:rsidRPr="00540418" w:rsidRDefault="009E10C2" w:rsidP="009E10C2">
      <w:pPr>
        <w:pStyle w:val="Texto"/>
        <w:spacing w:after="0" w:line="240" w:lineRule="exact"/>
        <w:rPr>
          <w:rFonts w:ascii="Soberana Sans Light" w:hAnsi="Soberana Sans Light"/>
          <w:sz w:val="22"/>
          <w:szCs w:val="22"/>
        </w:rPr>
      </w:pPr>
      <w:r>
        <w:rPr>
          <w:rFonts w:ascii="Soberana Sans Light" w:hAnsi="Soberana Sans Light"/>
          <w:sz w:val="22"/>
          <w:szCs w:val="22"/>
        </w:rPr>
        <w:t xml:space="preserve">        No aplica.</w:t>
      </w:r>
    </w:p>
    <w:p w:rsidR="009E10C2" w:rsidRPr="00540418" w:rsidRDefault="009E10C2" w:rsidP="009E10C2">
      <w:pPr>
        <w:pStyle w:val="Texto"/>
        <w:spacing w:after="0" w:line="240" w:lineRule="exact"/>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9E10C2" w:rsidRPr="00540418" w:rsidRDefault="009E10C2" w:rsidP="009E10C2">
      <w:pPr>
        <w:pStyle w:val="Texto"/>
        <w:spacing w:after="0" w:line="240" w:lineRule="exact"/>
        <w:rPr>
          <w:rFonts w:ascii="Soberana Sans Light" w:hAnsi="Soberana Sans Light"/>
          <w:sz w:val="22"/>
          <w:szCs w:val="22"/>
        </w:rPr>
      </w:pPr>
    </w:p>
    <w:p w:rsidR="009E10C2" w:rsidRDefault="009E10C2" w:rsidP="009E10C2">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r>
        <w:rPr>
          <w:rFonts w:ascii="Soberana Sans Light" w:hAnsi="Soberana Sans Light"/>
          <w:sz w:val="22"/>
          <w:szCs w:val="22"/>
        </w:rPr>
        <w:t>.</w:t>
      </w:r>
    </w:p>
    <w:p w:rsidR="009E10C2" w:rsidRDefault="009E10C2" w:rsidP="009E10C2">
      <w:pPr>
        <w:pStyle w:val="INCISO"/>
        <w:spacing w:after="0" w:line="240" w:lineRule="exact"/>
        <w:ind w:firstLine="0"/>
        <w:rPr>
          <w:rFonts w:ascii="Soberana Sans Light" w:hAnsi="Soberana Sans Light"/>
          <w:sz w:val="22"/>
          <w:szCs w:val="22"/>
        </w:rPr>
      </w:pP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Lineamientos de Racionalidad y Austeridad del ejercicio 2015 han servido de base a la Universidad Tecnológica de Tlaxcala para reducir el gasto público en materia de papelería, consumibles de equipo de cómputo, combustible y adquisiciones de mobiliario y equipos nuevos. Además de lo anterior se han tomado medidas para racionalizar el gasto en servicios generales.</w:t>
      </w:r>
    </w:p>
    <w:p w:rsidR="009E10C2"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Cabe destacar que no se han creado plazas nuevas más que las de los docentes contratados para cubrir con la demanda derivada del crecimiento de la matrícula.</w:t>
      </w:r>
    </w:p>
    <w:p w:rsidR="009E10C2" w:rsidRPr="00540418" w:rsidRDefault="009E10C2" w:rsidP="009E10C2">
      <w:pPr>
        <w:pStyle w:val="INCISO"/>
        <w:spacing w:after="0" w:line="240" w:lineRule="exact"/>
        <w:ind w:firstLine="0"/>
        <w:rPr>
          <w:rFonts w:ascii="Soberana Sans Light" w:hAnsi="Soberana Sans Light"/>
          <w:sz w:val="22"/>
          <w:szCs w:val="22"/>
        </w:rPr>
      </w:pPr>
    </w:p>
    <w:p w:rsidR="009E10C2" w:rsidRDefault="009E10C2" w:rsidP="009E10C2">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9E10C2" w:rsidRDefault="009E10C2" w:rsidP="009E10C2">
      <w:pPr>
        <w:pStyle w:val="INCISO"/>
        <w:spacing w:after="0" w:line="240" w:lineRule="exact"/>
        <w:ind w:firstLine="0"/>
        <w:rPr>
          <w:rFonts w:ascii="Soberana Sans Light" w:hAnsi="Soberana Sans Light"/>
          <w:sz w:val="22"/>
          <w:szCs w:val="22"/>
        </w:rPr>
      </w:pPr>
    </w:p>
    <w:p w:rsidR="009E10C2" w:rsidRPr="00540418" w:rsidRDefault="009E10C2" w:rsidP="009E10C2">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La Universidad Tecnológica de Tlaxcala cuenta con un sistema de indicadores del desempeño y reporta a la Secretaría de Planeación y Finanzas y al Congreso del Estado. Por otra parte se cuenta con un Sistema de Gestión de Calidad que cumple con lo establecido en las Normas Oficiales Mexicanas y con las certificaciones ISO correspondientes al sector educación.</w:t>
      </w:r>
    </w:p>
    <w:p w:rsidR="009E10C2" w:rsidRPr="00540418" w:rsidRDefault="009E10C2" w:rsidP="009E10C2">
      <w:pPr>
        <w:pStyle w:val="INCISO"/>
        <w:spacing w:after="0" w:line="240" w:lineRule="exact"/>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9E10C2" w:rsidRPr="00540418" w:rsidRDefault="009E10C2" w:rsidP="009E10C2">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9E10C2" w:rsidRPr="00540418" w:rsidRDefault="009E10C2" w:rsidP="009E10C2">
      <w:pPr>
        <w:pStyle w:val="Texto"/>
        <w:spacing w:after="0" w:line="240" w:lineRule="exact"/>
        <w:rPr>
          <w:rFonts w:ascii="Soberana Sans Light" w:hAnsi="Soberana Sans Light"/>
          <w:sz w:val="22"/>
          <w:szCs w:val="22"/>
          <w:lang w:val="es-MX"/>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9E10C2" w:rsidRPr="00540418" w:rsidRDefault="009E10C2" w:rsidP="009E10C2">
      <w:pPr>
        <w:pStyle w:val="Texto"/>
        <w:spacing w:after="0" w:line="240" w:lineRule="exact"/>
        <w:rPr>
          <w:rFonts w:ascii="Soberana Sans Light" w:hAnsi="Soberana Sans Light"/>
          <w:sz w:val="22"/>
          <w:szCs w:val="22"/>
        </w:rPr>
      </w:pPr>
      <w:r>
        <w:rPr>
          <w:rFonts w:ascii="Soberana Sans Light" w:hAnsi="Soberana Sans Light"/>
          <w:sz w:val="22"/>
          <w:szCs w:val="22"/>
        </w:rPr>
        <w:t>A la fecha de este documento no se han presentado Eventos Posteriores al cierre que cambien de manera significativa la información financiera presentada en este documento.</w:t>
      </w:r>
    </w:p>
    <w:p w:rsidR="009E10C2" w:rsidRPr="00540418" w:rsidRDefault="009E10C2" w:rsidP="009E10C2">
      <w:pPr>
        <w:pStyle w:val="Texto"/>
        <w:spacing w:after="0" w:line="240" w:lineRule="exact"/>
        <w:ind w:firstLine="0"/>
        <w:rPr>
          <w:rFonts w:ascii="Soberana Sans Light" w:hAnsi="Soberana Sans Light"/>
          <w:sz w:val="22"/>
          <w:szCs w:val="22"/>
        </w:rPr>
      </w:pPr>
    </w:p>
    <w:p w:rsidR="009E10C2" w:rsidRPr="00540418" w:rsidRDefault="009E10C2" w:rsidP="009E10C2">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9E10C2" w:rsidRDefault="009E10C2" w:rsidP="009E10C2">
      <w:pPr>
        <w:pStyle w:val="Texto"/>
        <w:spacing w:after="0" w:line="240" w:lineRule="exact"/>
        <w:rPr>
          <w:rFonts w:ascii="Soberana Sans Light" w:hAnsi="Soberana Sans Light"/>
          <w:sz w:val="22"/>
          <w:szCs w:val="22"/>
        </w:rPr>
      </w:pPr>
      <w:r>
        <w:rPr>
          <w:rFonts w:ascii="Soberana Sans Light" w:hAnsi="Soberana Sans Light"/>
          <w:sz w:val="22"/>
          <w:szCs w:val="22"/>
        </w:rPr>
        <w:t>No aplica.</w:t>
      </w:r>
    </w:p>
    <w:p w:rsidR="009E10C2" w:rsidRDefault="009E10C2" w:rsidP="009E10C2">
      <w:pPr>
        <w:pStyle w:val="Texto"/>
        <w:spacing w:after="0" w:line="240" w:lineRule="exact"/>
        <w:rPr>
          <w:rFonts w:ascii="Soberana Sans Light" w:hAnsi="Soberana Sans Light"/>
          <w:sz w:val="22"/>
          <w:szCs w:val="22"/>
        </w:rPr>
      </w:pPr>
    </w:p>
    <w:p w:rsidR="009E10C2" w:rsidRPr="00574266" w:rsidRDefault="009E10C2" w:rsidP="009E10C2">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9E10C2" w:rsidRPr="00574266" w:rsidRDefault="009E10C2" w:rsidP="009E10C2">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6F6E79" w:rsidRPr="000C4846" w:rsidRDefault="006F6E79" w:rsidP="00B12089">
      <w:pPr>
        <w:spacing w:after="0" w:line="240" w:lineRule="exact"/>
        <w:ind w:firstLine="288"/>
        <w:jc w:val="both"/>
        <w:rPr>
          <w:rFonts w:ascii="Arial" w:eastAsia="Times New Roman" w:hAnsi="Arial" w:cs="Arial"/>
          <w:sz w:val="18"/>
          <w:szCs w:val="18"/>
          <w:lang w:val="es-ES" w:eastAsia="es-ES"/>
        </w:rPr>
      </w:pPr>
    </w:p>
    <w:p w:rsidR="00B12089" w:rsidRPr="000C4846" w:rsidRDefault="001601BE" w:rsidP="00B12089">
      <w:pPr>
        <w:spacing w:after="0" w:line="240" w:lineRule="exact"/>
        <w:ind w:firstLine="288"/>
        <w:jc w:val="both"/>
        <w:rPr>
          <w:rFonts w:ascii="Arial" w:eastAsia="Times New Roman" w:hAnsi="Arial" w:cs="Arial"/>
          <w:sz w:val="18"/>
          <w:szCs w:val="18"/>
          <w:lang w:val="es-ES" w:eastAsia="es-ES"/>
        </w:rPr>
      </w:pPr>
      <w:r>
        <w:rPr>
          <w:rFonts w:ascii="Arial" w:eastAsia="Times New Roman" w:hAnsi="Arial" w:cs="Arial"/>
          <w:noProof/>
          <w:sz w:val="18"/>
          <w:szCs w:val="18"/>
          <w:lang w:val="es-ES" w:eastAsia="es-ES"/>
        </w:rPr>
        <w:object w:dxaOrig="1440" w:dyaOrig="1440">
          <v:shape id="_x0000_s1046" type="#_x0000_t75" style="position:absolute;left:0;text-align:left;margin-left:-21.35pt;margin-top:13.75pt;width:747.35pt;height:110.95pt;z-index:251664384">
            <v:imagedata r:id="rId28" o:title=""/>
            <w10:wrap type="topAndBottom"/>
          </v:shape>
          <o:OLEObject Type="Embed" ProgID="Excel.Sheet.12" ShapeID="_x0000_s1046" DrawAspect="Content" ObjectID="_1498664398" r:id="rId29"/>
        </w:object>
      </w:r>
      <w:bookmarkStart w:id="5" w:name="_GoBack"/>
      <w:bookmarkEnd w:id="5"/>
    </w:p>
    <w:sectPr w:rsidR="00B12089" w:rsidRPr="000C4846" w:rsidSect="008E3652">
      <w:headerReference w:type="even" r:id="rId30"/>
      <w:headerReference w:type="default" r:id="rId31"/>
      <w:footerReference w:type="even" r:id="rId32"/>
      <w:footerReference w:type="default" r:id="rId3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BE" w:rsidRDefault="001601BE" w:rsidP="00EA5418">
      <w:pPr>
        <w:spacing w:after="0" w:line="240" w:lineRule="auto"/>
      </w:pPr>
      <w:r>
        <w:separator/>
      </w:r>
    </w:p>
  </w:endnote>
  <w:endnote w:type="continuationSeparator" w:id="0">
    <w:p w:rsidR="001601BE" w:rsidRDefault="001601B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872" w:rsidRPr="0013011C" w:rsidRDefault="00D81C3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63177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8378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37872" w:rsidRPr="0013011C">
          <w:rPr>
            <w:rFonts w:ascii="Soberana Sans Light" w:hAnsi="Soberana Sans Light"/>
          </w:rPr>
          <w:fldChar w:fldCharType="begin"/>
        </w:r>
        <w:r w:rsidR="00837872" w:rsidRPr="0013011C">
          <w:rPr>
            <w:rFonts w:ascii="Soberana Sans Light" w:hAnsi="Soberana Sans Light"/>
          </w:rPr>
          <w:instrText>PAGE   \* MERGEFORMAT</w:instrText>
        </w:r>
        <w:r w:rsidR="00837872" w:rsidRPr="0013011C">
          <w:rPr>
            <w:rFonts w:ascii="Soberana Sans Light" w:hAnsi="Soberana Sans Light"/>
          </w:rPr>
          <w:fldChar w:fldCharType="separate"/>
        </w:r>
        <w:r w:rsidR="009E10C2" w:rsidRPr="009E10C2">
          <w:rPr>
            <w:rFonts w:ascii="Soberana Sans Light" w:hAnsi="Soberana Sans Light"/>
            <w:noProof/>
            <w:lang w:val="es-ES"/>
          </w:rPr>
          <w:t>20</w:t>
        </w:r>
        <w:r w:rsidR="00837872" w:rsidRPr="0013011C">
          <w:rPr>
            <w:rFonts w:ascii="Soberana Sans Light" w:hAnsi="Soberana Sans Light"/>
          </w:rPr>
          <w:fldChar w:fldCharType="end"/>
        </w:r>
      </w:sdtContent>
    </w:sdt>
  </w:p>
  <w:p w:rsidR="00837872" w:rsidRDefault="008378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872" w:rsidRPr="008E3652" w:rsidRDefault="00D81C3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2AFE3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837872" w:rsidRPr="008E3652">
          <w:rPr>
            <w:rFonts w:ascii="Soberana Sans Light" w:hAnsi="Soberana Sans Light"/>
          </w:rPr>
          <w:t xml:space="preserve">Contable / </w:t>
        </w:r>
        <w:r w:rsidR="00837872" w:rsidRPr="008E3652">
          <w:rPr>
            <w:rFonts w:ascii="Soberana Sans Light" w:hAnsi="Soberana Sans Light"/>
          </w:rPr>
          <w:fldChar w:fldCharType="begin"/>
        </w:r>
        <w:r w:rsidR="00837872" w:rsidRPr="008E3652">
          <w:rPr>
            <w:rFonts w:ascii="Soberana Sans Light" w:hAnsi="Soberana Sans Light"/>
          </w:rPr>
          <w:instrText>PAGE   \* MERGEFORMAT</w:instrText>
        </w:r>
        <w:r w:rsidR="00837872" w:rsidRPr="008E3652">
          <w:rPr>
            <w:rFonts w:ascii="Soberana Sans Light" w:hAnsi="Soberana Sans Light"/>
          </w:rPr>
          <w:fldChar w:fldCharType="separate"/>
        </w:r>
        <w:r w:rsidR="009E10C2" w:rsidRPr="009E10C2">
          <w:rPr>
            <w:rFonts w:ascii="Soberana Sans Light" w:hAnsi="Soberana Sans Light"/>
            <w:noProof/>
            <w:lang w:val="es-ES"/>
          </w:rPr>
          <w:t>19</w:t>
        </w:r>
        <w:r w:rsidR="0083787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BE" w:rsidRDefault="001601BE" w:rsidP="00EA5418">
      <w:pPr>
        <w:spacing w:after="0" w:line="240" w:lineRule="auto"/>
      </w:pPr>
      <w:r>
        <w:separator/>
      </w:r>
    </w:p>
  </w:footnote>
  <w:footnote w:type="continuationSeparator" w:id="0">
    <w:p w:rsidR="001601BE" w:rsidRDefault="001601B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872" w:rsidRDefault="00D81C3F">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872" w:rsidRDefault="008378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37872" w:rsidRDefault="008378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37872" w:rsidRPr="00275FC6" w:rsidRDefault="0083787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872" w:rsidRDefault="008378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37872" w:rsidRDefault="008378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37872" w:rsidRPr="00275FC6" w:rsidRDefault="0083787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37872" w:rsidRDefault="008378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37872" w:rsidRDefault="008378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37872" w:rsidRPr="00275FC6" w:rsidRDefault="0083787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37872" w:rsidRDefault="008378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37872" w:rsidRDefault="008378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37872" w:rsidRPr="00275FC6" w:rsidRDefault="0083787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67658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872" w:rsidRPr="0013011C" w:rsidRDefault="00D81C3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BB5AC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837872">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E3E77B4"/>
    <w:multiLevelType w:val="hybridMultilevel"/>
    <w:tmpl w:val="55C26B36"/>
    <w:lvl w:ilvl="0" w:tplc="4D0C3E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3"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7"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9"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1"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4"/>
  </w:num>
  <w:num w:numId="4">
    <w:abstractNumId w:val="11"/>
  </w:num>
  <w:num w:numId="5">
    <w:abstractNumId w:val="7"/>
  </w:num>
  <w:num w:numId="6">
    <w:abstractNumId w:val="20"/>
  </w:num>
  <w:num w:numId="7">
    <w:abstractNumId w:val="18"/>
  </w:num>
  <w:num w:numId="8">
    <w:abstractNumId w:val="21"/>
  </w:num>
  <w:num w:numId="9">
    <w:abstractNumId w:val="16"/>
  </w:num>
  <w:num w:numId="10">
    <w:abstractNumId w:val="3"/>
  </w:num>
  <w:num w:numId="11">
    <w:abstractNumId w:val="19"/>
  </w:num>
  <w:num w:numId="12">
    <w:abstractNumId w:val="17"/>
  </w:num>
  <w:num w:numId="13">
    <w:abstractNumId w:val="12"/>
  </w:num>
  <w:num w:numId="14">
    <w:abstractNumId w:val="10"/>
  </w:num>
  <w:num w:numId="15">
    <w:abstractNumId w:val="9"/>
  </w:num>
  <w:num w:numId="16">
    <w:abstractNumId w:val="2"/>
  </w:num>
  <w:num w:numId="17">
    <w:abstractNumId w:val="13"/>
  </w:num>
  <w:num w:numId="18">
    <w:abstractNumId w:val="4"/>
  </w:num>
  <w:num w:numId="19">
    <w:abstractNumId w:val="1"/>
  </w:num>
  <w:num w:numId="20">
    <w:abstractNumId w:val="15"/>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24CBB"/>
    <w:rsid w:val="00040466"/>
    <w:rsid w:val="00045A10"/>
    <w:rsid w:val="000843C6"/>
    <w:rsid w:val="0008724F"/>
    <w:rsid w:val="0009411B"/>
    <w:rsid w:val="000C4846"/>
    <w:rsid w:val="000E22CC"/>
    <w:rsid w:val="0013011C"/>
    <w:rsid w:val="00153CC0"/>
    <w:rsid w:val="001601BE"/>
    <w:rsid w:val="00165BB4"/>
    <w:rsid w:val="00185B23"/>
    <w:rsid w:val="001A7D8D"/>
    <w:rsid w:val="001B1B72"/>
    <w:rsid w:val="001C6FD8"/>
    <w:rsid w:val="001E7072"/>
    <w:rsid w:val="00203652"/>
    <w:rsid w:val="00204C86"/>
    <w:rsid w:val="00224722"/>
    <w:rsid w:val="00240980"/>
    <w:rsid w:val="00252B0A"/>
    <w:rsid w:val="00264426"/>
    <w:rsid w:val="00290C1E"/>
    <w:rsid w:val="00293D86"/>
    <w:rsid w:val="00297A0D"/>
    <w:rsid w:val="002A70B3"/>
    <w:rsid w:val="002C138C"/>
    <w:rsid w:val="002C5826"/>
    <w:rsid w:val="002F4C88"/>
    <w:rsid w:val="00346BB9"/>
    <w:rsid w:val="00372783"/>
    <w:rsid w:val="00372F40"/>
    <w:rsid w:val="003811B0"/>
    <w:rsid w:val="00395880"/>
    <w:rsid w:val="00396C2B"/>
    <w:rsid w:val="003A0303"/>
    <w:rsid w:val="003D5DBF"/>
    <w:rsid w:val="003E4679"/>
    <w:rsid w:val="003E7FD0"/>
    <w:rsid w:val="003F0EA4"/>
    <w:rsid w:val="0043110B"/>
    <w:rsid w:val="004311BE"/>
    <w:rsid w:val="0044253C"/>
    <w:rsid w:val="004714CF"/>
    <w:rsid w:val="00484C0D"/>
    <w:rsid w:val="00497D8B"/>
    <w:rsid w:val="004D41B8"/>
    <w:rsid w:val="004F5641"/>
    <w:rsid w:val="00521D5A"/>
    <w:rsid w:val="00522632"/>
    <w:rsid w:val="00522EF3"/>
    <w:rsid w:val="00540418"/>
    <w:rsid w:val="00574266"/>
    <w:rsid w:val="00576362"/>
    <w:rsid w:val="00585484"/>
    <w:rsid w:val="005873A2"/>
    <w:rsid w:val="0058780D"/>
    <w:rsid w:val="0059000C"/>
    <w:rsid w:val="00593904"/>
    <w:rsid w:val="005B0965"/>
    <w:rsid w:val="005C77BD"/>
    <w:rsid w:val="005D3D25"/>
    <w:rsid w:val="00605F31"/>
    <w:rsid w:val="0061362D"/>
    <w:rsid w:val="0063278E"/>
    <w:rsid w:val="00641122"/>
    <w:rsid w:val="006935D1"/>
    <w:rsid w:val="006A23BA"/>
    <w:rsid w:val="006A5F58"/>
    <w:rsid w:val="006B1FE7"/>
    <w:rsid w:val="006B2F84"/>
    <w:rsid w:val="006B5B41"/>
    <w:rsid w:val="006D622E"/>
    <w:rsid w:val="006E6487"/>
    <w:rsid w:val="006E77DD"/>
    <w:rsid w:val="006F6E79"/>
    <w:rsid w:val="0079582C"/>
    <w:rsid w:val="007D0C1C"/>
    <w:rsid w:val="007D6E9A"/>
    <w:rsid w:val="00811DAC"/>
    <w:rsid w:val="00837872"/>
    <w:rsid w:val="00863346"/>
    <w:rsid w:val="0089054E"/>
    <w:rsid w:val="008A6E4D"/>
    <w:rsid w:val="008A793D"/>
    <w:rsid w:val="008B0017"/>
    <w:rsid w:val="008E3652"/>
    <w:rsid w:val="008F43BD"/>
    <w:rsid w:val="008F6D58"/>
    <w:rsid w:val="0093492C"/>
    <w:rsid w:val="00957043"/>
    <w:rsid w:val="009A0655"/>
    <w:rsid w:val="009D5D4C"/>
    <w:rsid w:val="009E10C2"/>
    <w:rsid w:val="009E4328"/>
    <w:rsid w:val="009F23C4"/>
    <w:rsid w:val="009F2E87"/>
    <w:rsid w:val="00A173BD"/>
    <w:rsid w:val="00A363B6"/>
    <w:rsid w:val="00A46B4A"/>
    <w:rsid w:val="00A46BF5"/>
    <w:rsid w:val="00A478D1"/>
    <w:rsid w:val="00A57EC0"/>
    <w:rsid w:val="00A673F4"/>
    <w:rsid w:val="00AA238D"/>
    <w:rsid w:val="00AB1AC8"/>
    <w:rsid w:val="00AF574D"/>
    <w:rsid w:val="00B0510F"/>
    <w:rsid w:val="00B12089"/>
    <w:rsid w:val="00B146E2"/>
    <w:rsid w:val="00B33304"/>
    <w:rsid w:val="00B43B7C"/>
    <w:rsid w:val="00B62E98"/>
    <w:rsid w:val="00B67532"/>
    <w:rsid w:val="00B765BC"/>
    <w:rsid w:val="00B849EE"/>
    <w:rsid w:val="00B84D02"/>
    <w:rsid w:val="00BA2940"/>
    <w:rsid w:val="00BA2EEF"/>
    <w:rsid w:val="00BA6374"/>
    <w:rsid w:val="00BC72CB"/>
    <w:rsid w:val="00C16E53"/>
    <w:rsid w:val="00C376EB"/>
    <w:rsid w:val="00C431B4"/>
    <w:rsid w:val="00C4559E"/>
    <w:rsid w:val="00C568CC"/>
    <w:rsid w:val="00C63A0B"/>
    <w:rsid w:val="00C80BD4"/>
    <w:rsid w:val="00C86C59"/>
    <w:rsid w:val="00C91C5A"/>
    <w:rsid w:val="00CA760B"/>
    <w:rsid w:val="00CB0008"/>
    <w:rsid w:val="00CB299D"/>
    <w:rsid w:val="00CC6B94"/>
    <w:rsid w:val="00CD6D9A"/>
    <w:rsid w:val="00D00E92"/>
    <w:rsid w:val="00D055EC"/>
    <w:rsid w:val="00D30CF0"/>
    <w:rsid w:val="00D44728"/>
    <w:rsid w:val="00D44EB6"/>
    <w:rsid w:val="00D51975"/>
    <w:rsid w:val="00D562FF"/>
    <w:rsid w:val="00D81C3F"/>
    <w:rsid w:val="00D92E6C"/>
    <w:rsid w:val="00D933F7"/>
    <w:rsid w:val="00DA0F15"/>
    <w:rsid w:val="00DA508B"/>
    <w:rsid w:val="00DF56C9"/>
    <w:rsid w:val="00E0776C"/>
    <w:rsid w:val="00E13B23"/>
    <w:rsid w:val="00E20BAD"/>
    <w:rsid w:val="00E30318"/>
    <w:rsid w:val="00E32708"/>
    <w:rsid w:val="00E40D55"/>
    <w:rsid w:val="00E80608"/>
    <w:rsid w:val="00E94B92"/>
    <w:rsid w:val="00EA5119"/>
    <w:rsid w:val="00EA5418"/>
    <w:rsid w:val="00EB0F27"/>
    <w:rsid w:val="00EE46FB"/>
    <w:rsid w:val="00F119AA"/>
    <w:rsid w:val="00F14899"/>
    <w:rsid w:val="00F17C0D"/>
    <w:rsid w:val="00F755D0"/>
    <w:rsid w:val="00F82D11"/>
    <w:rsid w:val="00F86D4D"/>
    <w:rsid w:val="00FB1010"/>
    <w:rsid w:val="00FB56B7"/>
    <w:rsid w:val="00FB6645"/>
    <w:rsid w:val="00FC3583"/>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28CF8-E961-4EC2-A812-D052FE6F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E807-7B6B-4E14-AC8E-BCCB4FE7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3841</Words>
  <Characters>21129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Danae</cp:lastModifiedBy>
  <cp:revision>3</cp:revision>
  <cp:lastPrinted>2015-07-17T23:51:00Z</cp:lastPrinted>
  <dcterms:created xsi:type="dcterms:W3CDTF">2015-07-17T23:25:00Z</dcterms:created>
  <dcterms:modified xsi:type="dcterms:W3CDTF">2015-07-17T23:52:00Z</dcterms:modified>
</cp:coreProperties>
</file>