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06605"/>
    <w:bookmarkEnd w:id="0"/>
    <w:p w:rsidR="007D6E9A" w:rsidRDefault="00D0165E"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6.95pt" o:ole="">
            <v:imagedata r:id="rId8" o:title=""/>
          </v:shape>
          <o:OLEObject Type="Embed" ProgID="Excel.Sheet.12" ShapeID="_x0000_i1025" DrawAspect="Content" ObjectID="_1499246886" r:id="rId9"/>
        </w:object>
      </w:r>
    </w:p>
    <w:p w:rsidR="00EA5418" w:rsidRDefault="00EA5418" w:rsidP="00372F40">
      <w:pPr>
        <w:jc w:val="center"/>
      </w:pPr>
    </w:p>
    <w:bookmarkStart w:id="1" w:name="_MON_1470805999"/>
    <w:bookmarkEnd w:id="1"/>
    <w:p w:rsidR="00EA5418" w:rsidRDefault="009E426C" w:rsidP="0044253C">
      <w:pPr>
        <w:jc w:val="center"/>
      </w:pPr>
      <w:r>
        <w:object w:dxaOrig="25156" w:dyaOrig="18907">
          <v:shape id="_x0000_i1026" type="#_x0000_t75" style="width:585.15pt;height:438.45pt" o:ole="">
            <v:imagedata r:id="rId10" o:title=""/>
          </v:shape>
          <o:OLEObject Type="Embed" ProgID="Excel.Sheet.12" ShapeID="_x0000_i1026" DrawAspect="Content" ObjectID="_1499246887" r:id="rId11"/>
        </w:object>
      </w:r>
    </w:p>
    <w:bookmarkStart w:id="2" w:name="_MON_1470806992"/>
    <w:bookmarkEnd w:id="2"/>
    <w:p w:rsidR="00372F40" w:rsidRDefault="003D7D5D" w:rsidP="003E7FD0">
      <w:pPr>
        <w:jc w:val="center"/>
      </w:pPr>
      <w:r>
        <w:object w:dxaOrig="21997" w:dyaOrig="15462">
          <v:shape id="_x0000_i1027" type="#_x0000_t75" style="width:649.05pt;height:456.2pt" o:ole="">
            <v:imagedata r:id="rId12" o:title=""/>
          </v:shape>
          <o:OLEObject Type="Embed" ProgID="Excel.Sheet.12" ShapeID="_x0000_i1027" DrawAspect="Content" ObjectID="_1499246888" r:id="rId13"/>
        </w:object>
      </w:r>
    </w:p>
    <w:bookmarkStart w:id="3" w:name="_MON_1470807348"/>
    <w:bookmarkEnd w:id="3"/>
    <w:p w:rsidR="00372F40" w:rsidRDefault="00871A83" w:rsidP="008E3652">
      <w:pPr>
        <w:jc w:val="center"/>
      </w:pPr>
      <w:r>
        <w:object w:dxaOrig="17714" w:dyaOrig="12388">
          <v:shape id="_x0000_i1028" type="#_x0000_t75" style="width:644.8pt;height:450.8pt" o:ole="">
            <v:imagedata r:id="rId14" o:title=""/>
          </v:shape>
          <o:OLEObject Type="Embed" ProgID="Excel.Sheet.12" ShapeID="_x0000_i1028" DrawAspect="Content" ObjectID="_1499246889" r:id="rId15"/>
        </w:object>
      </w:r>
    </w:p>
    <w:bookmarkStart w:id="4" w:name="_MON_1470809138"/>
    <w:bookmarkEnd w:id="4"/>
    <w:p w:rsidR="00372F40" w:rsidRDefault="0088529A" w:rsidP="00522632">
      <w:pPr>
        <w:jc w:val="center"/>
      </w:pPr>
      <w:r>
        <w:object w:dxaOrig="17807" w:dyaOrig="12235">
          <v:shape id="_x0000_i1029" type="#_x0000_t75" style="width:631.9pt;height:432.55pt" o:ole="">
            <v:imagedata r:id="rId16" o:title=""/>
          </v:shape>
          <o:OLEObject Type="Embed" ProgID="Excel.Sheet.12" ShapeID="_x0000_i1029" DrawAspect="Content" ObjectID="_1499246890" r:id="rId17"/>
        </w:object>
      </w:r>
    </w:p>
    <w:p w:rsidR="00372F40" w:rsidRDefault="00372F40" w:rsidP="002A70B3">
      <w:pPr>
        <w:tabs>
          <w:tab w:val="left" w:pos="2430"/>
        </w:tabs>
      </w:pPr>
    </w:p>
    <w:bookmarkStart w:id="5" w:name="_MON_1470814596"/>
    <w:bookmarkEnd w:id="5"/>
    <w:p w:rsidR="00E32708" w:rsidRDefault="00900B27" w:rsidP="00E32708">
      <w:pPr>
        <w:tabs>
          <w:tab w:val="left" w:pos="2430"/>
        </w:tabs>
        <w:jc w:val="center"/>
      </w:pPr>
      <w:r>
        <w:object w:dxaOrig="18231" w:dyaOrig="11187">
          <v:shape id="_x0000_i1030" type="#_x0000_t75" style="width:635.1pt;height:389.55pt" o:ole="">
            <v:imagedata r:id="rId18" o:title=""/>
          </v:shape>
          <o:OLEObject Type="Embed" ProgID="Excel.Sheet.12" ShapeID="_x0000_i1030" DrawAspect="Content" ObjectID="_1499246891" r:id="rId19"/>
        </w:object>
      </w:r>
    </w:p>
    <w:bookmarkStart w:id="6" w:name="_MON_1470810366"/>
    <w:bookmarkEnd w:id="6"/>
    <w:p w:rsidR="00E32708" w:rsidRDefault="00274A1C" w:rsidP="00E32708">
      <w:pPr>
        <w:tabs>
          <w:tab w:val="left" w:pos="2430"/>
        </w:tabs>
        <w:jc w:val="center"/>
      </w:pPr>
      <w:r>
        <w:object w:dxaOrig="25925" w:dyaOrig="16749">
          <v:shape id="_x0000_i1031" type="#_x0000_t75" style="width:691pt;height:447.05pt" o:ole="">
            <v:imagedata r:id="rId20" o:title=""/>
          </v:shape>
          <o:OLEObject Type="Embed" ProgID="Excel.Sheet.12" ShapeID="_x0000_i1031" DrawAspect="Content" ObjectID="_1499246892" r:id="rId21"/>
        </w:object>
      </w:r>
    </w:p>
    <w:p w:rsidR="00372F40" w:rsidRDefault="00372F40"/>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AF6A66" w:rsidRDefault="00BE0605" w:rsidP="00BE0605">
      <w:pPr>
        <w:jc w:val="both"/>
        <w:rPr>
          <w:rFonts w:ascii="Arial" w:hAnsi="Arial" w:cs="Arial"/>
          <w:sz w:val="18"/>
          <w:szCs w:val="18"/>
        </w:rPr>
      </w:pPr>
      <w:r w:rsidRPr="00AF6A66">
        <w:rPr>
          <w:rFonts w:ascii="Arial" w:hAnsi="Arial" w:cs="Arial"/>
          <w:sz w:val="18"/>
          <w:szCs w:val="18"/>
        </w:rPr>
        <w:t xml:space="preserve">La Comisión Estatal de Derechos Humanos del Estado de Tlaxcala cuenta con Pasivos Contingentes </w:t>
      </w:r>
      <w:r w:rsidR="003B1216" w:rsidRPr="00AF6A66">
        <w:rPr>
          <w:rFonts w:ascii="Arial" w:hAnsi="Arial" w:cs="Arial"/>
          <w:sz w:val="18"/>
          <w:szCs w:val="18"/>
        </w:rPr>
        <w:t xml:space="preserve">que </w:t>
      </w:r>
      <w:r w:rsidR="004A2FBE" w:rsidRPr="00AF6A66">
        <w:rPr>
          <w:rFonts w:ascii="Arial" w:hAnsi="Arial" w:cs="Arial"/>
          <w:sz w:val="18"/>
          <w:szCs w:val="18"/>
        </w:rPr>
        <w:t xml:space="preserve">ascienden a $ </w:t>
      </w:r>
      <w:r w:rsidR="00AF6A66" w:rsidRPr="00AF6A66">
        <w:rPr>
          <w:rFonts w:ascii="Arial" w:hAnsi="Arial" w:cs="Arial"/>
          <w:sz w:val="18"/>
          <w:szCs w:val="18"/>
        </w:rPr>
        <w:t>1</w:t>
      </w:r>
      <w:r w:rsidR="009A1EA8">
        <w:rPr>
          <w:rFonts w:ascii="Arial" w:hAnsi="Arial" w:cs="Arial"/>
          <w:sz w:val="18"/>
          <w:szCs w:val="18"/>
        </w:rPr>
        <w:t>4</w:t>
      </w:r>
      <w:r w:rsidR="00AF6A66" w:rsidRPr="00AF6A66">
        <w:rPr>
          <w:rFonts w:ascii="Arial" w:hAnsi="Arial" w:cs="Arial"/>
          <w:sz w:val="18"/>
          <w:szCs w:val="18"/>
        </w:rPr>
        <w:t xml:space="preserve">, </w:t>
      </w:r>
      <w:r w:rsidR="009A1EA8">
        <w:rPr>
          <w:rFonts w:ascii="Arial" w:hAnsi="Arial" w:cs="Arial"/>
          <w:sz w:val="18"/>
          <w:szCs w:val="18"/>
        </w:rPr>
        <w:t>5</w:t>
      </w:r>
      <w:r w:rsidR="00AF6A66" w:rsidRPr="00AF6A66">
        <w:rPr>
          <w:rFonts w:ascii="Arial" w:hAnsi="Arial" w:cs="Arial"/>
          <w:sz w:val="18"/>
          <w:szCs w:val="18"/>
        </w:rPr>
        <w:t>00,000</w:t>
      </w:r>
      <w:r w:rsidR="00343189" w:rsidRPr="00AF6A66">
        <w:rPr>
          <w:rFonts w:ascii="Arial" w:hAnsi="Arial" w:cs="Arial"/>
          <w:sz w:val="18"/>
          <w:szCs w:val="18"/>
        </w:rPr>
        <w:t xml:space="preserve"> </w:t>
      </w:r>
      <w:r w:rsidRPr="00AF6A66">
        <w:rPr>
          <w:rFonts w:ascii="Arial" w:hAnsi="Arial" w:cs="Arial"/>
          <w:sz w:val="18"/>
          <w:szCs w:val="18"/>
        </w:rPr>
        <w:t>debido</w:t>
      </w:r>
      <w:r w:rsidR="00343189" w:rsidRPr="00AF6A66">
        <w:rPr>
          <w:rFonts w:ascii="Arial" w:hAnsi="Arial" w:cs="Arial"/>
          <w:sz w:val="18"/>
          <w:szCs w:val="18"/>
        </w:rPr>
        <w:t xml:space="preserve"> a condenas por</w:t>
      </w:r>
      <w:r w:rsidRPr="00AF6A66">
        <w:rPr>
          <w:rFonts w:ascii="Arial" w:hAnsi="Arial" w:cs="Arial"/>
          <w:sz w:val="18"/>
          <w:szCs w:val="18"/>
        </w:rPr>
        <w:t xml:space="preserve"> </w:t>
      </w:r>
      <w:r w:rsidR="003B1216" w:rsidRPr="00AF6A66">
        <w:rPr>
          <w:rFonts w:ascii="Arial" w:hAnsi="Arial" w:cs="Arial"/>
          <w:sz w:val="18"/>
          <w:szCs w:val="18"/>
        </w:rPr>
        <w:t>laudos laborales en contra de esta Comisión</w:t>
      </w:r>
      <w:r w:rsidR="00343189" w:rsidRPr="00AF6A66">
        <w:rPr>
          <w:rFonts w:ascii="Arial" w:hAnsi="Arial" w:cs="Arial"/>
          <w:sz w:val="18"/>
          <w:szCs w:val="18"/>
        </w:rPr>
        <w:t>, cuyos conflictos fueron heredados por</w:t>
      </w:r>
      <w:r w:rsidR="004A2FBE" w:rsidRPr="00AF6A66">
        <w:rPr>
          <w:rFonts w:ascii="Arial" w:hAnsi="Arial" w:cs="Arial"/>
          <w:sz w:val="18"/>
          <w:szCs w:val="18"/>
        </w:rPr>
        <w:t xml:space="preserve"> </w:t>
      </w:r>
      <w:r w:rsidR="003B1216" w:rsidRPr="00AF6A66">
        <w:rPr>
          <w:rFonts w:ascii="Arial" w:hAnsi="Arial" w:cs="Arial"/>
          <w:sz w:val="18"/>
          <w:szCs w:val="18"/>
        </w:rPr>
        <w:t xml:space="preserve">administraciones pasadas, </w:t>
      </w:r>
      <w:r w:rsidR="00343189" w:rsidRPr="00AF6A66">
        <w:rPr>
          <w:rFonts w:ascii="Arial" w:hAnsi="Arial" w:cs="Arial"/>
          <w:sz w:val="18"/>
          <w:szCs w:val="18"/>
        </w:rPr>
        <w:t>sin omitir mencionar que la cantidad aludida no es exacta, toda vez que se actualiza día a día, en razón del tiempo que transcurre</w:t>
      </w:r>
      <w:r w:rsidR="004A2FBE" w:rsidRPr="00AF6A66">
        <w:rPr>
          <w:rFonts w:ascii="Arial" w:hAnsi="Arial" w:cs="Arial"/>
          <w:sz w:val="18"/>
          <w:szCs w:val="18"/>
        </w:rPr>
        <w:t>,</w:t>
      </w:r>
      <w:r w:rsidR="00343189" w:rsidRPr="00AF6A66">
        <w:rPr>
          <w:rFonts w:ascii="Arial" w:hAnsi="Arial" w:cs="Arial"/>
          <w:sz w:val="18"/>
          <w:szCs w:val="18"/>
        </w:rPr>
        <w:t xml:space="preserve"> </w:t>
      </w:r>
      <w:r w:rsidR="004A2FBE" w:rsidRPr="00AF6A66">
        <w:rPr>
          <w:rFonts w:ascii="Arial" w:hAnsi="Arial" w:cs="Arial"/>
          <w:sz w:val="18"/>
          <w:szCs w:val="18"/>
        </w:rPr>
        <w:t xml:space="preserve"> sin embargo se debe contemplar dicho monto para efectos de registrar el valo</w:t>
      </w:r>
      <w:r w:rsidR="00C76D92">
        <w:rPr>
          <w:rFonts w:ascii="Arial" w:hAnsi="Arial" w:cs="Arial"/>
          <w:sz w:val="18"/>
          <w:szCs w:val="18"/>
        </w:rPr>
        <w:t xml:space="preserve">r estimado y provisionarlo </w:t>
      </w:r>
      <w:r w:rsidR="004A2FBE" w:rsidRPr="00AF6A66">
        <w:rPr>
          <w:rFonts w:ascii="Arial" w:hAnsi="Arial" w:cs="Arial"/>
          <w:sz w:val="18"/>
          <w:szCs w:val="18"/>
        </w:rPr>
        <w:t>para a</w:t>
      </w:r>
      <w:r w:rsidR="003B1216" w:rsidRPr="00AF6A66">
        <w:rPr>
          <w:rFonts w:ascii="Arial" w:hAnsi="Arial" w:cs="Arial"/>
          <w:sz w:val="18"/>
          <w:szCs w:val="18"/>
        </w:rPr>
        <w:t>tender dichos pasivos porque</w:t>
      </w:r>
      <w:r w:rsidR="004A2FBE" w:rsidRPr="00AF6A66">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CE5E29" w:rsidP="00AF6A66">
      <w:pPr>
        <w:spacing w:line="240" w:lineRule="auto"/>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51" type="#_x0000_t32" style="position:absolute;left:0;text-align:left;margin-left:445.5pt;margin-top:16.35pt;width:194.25pt;height:0;z-index:251659264" o:connectortype="straight"/>
        </w:pict>
      </w:r>
      <w:r>
        <w:rPr>
          <w:rFonts w:ascii="Arial" w:hAnsi="Arial" w:cs="Arial"/>
          <w:noProof/>
          <w:sz w:val="18"/>
          <w:szCs w:val="18"/>
          <w:lang w:eastAsia="es-MX"/>
        </w:rPr>
        <w:pict>
          <v:shape id="_x0000_s1050" type="#_x0000_t32" style="position:absolute;left:0;text-align:left;margin-left:45.75pt;margin-top:15.6pt;width:194.25pt;height:0;z-index:251658240" o:connectortype="straight"/>
        </w:pict>
      </w:r>
    </w:p>
    <w:p w:rsidR="00540418" w:rsidRPr="00AF6A66" w:rsidRDefault="0030166A" w:rsidP="00AF6A66">
      <w:pPr>
        <w:spacing w:line="240" w:lineRule="auto"/>
        <w:jc w:val="center"/>
        <w:rPr>
          <w:rFonts w:ascii="Arial" w:hAnsi="Arial" w:cs="Arial"/>
          <w:sz w:val="18"/>
          <w:szCs w:val="18"/>
        </w:rPr>
      </w:pPr>
      <w:r w:rsidRPr="00AF6A66">
        <w:rPr>
          <w:rFonts w:ascii="Arial" w:hAnsi="Arial" w:cs="Arial"/>
          <w:sz w:val="18"/>
          <w:szCs w:val="18"/>
        </w:rPr>
        <w:t xml:space="preserve">Mtro. Francisco </w:t>
      </w:r>
      <w:proofErr w:type="spellStart"/>
      <w:r w:rsidRPr="00AF6A66">
        <w:rPr>
          <w:rFonts w:ascii="Arial" w:hAnsi="Arial" w:cs="Arial"/>
          <w:sz w:val="18"/>
          <w:szCs w:val="18"/>
        </w:rPr>
        <w:t>Mixcoatl</w:t>
      </w:r>
      <w:proofErr w:type="spellEnd"/>
      <w:r w:rsidRPr="00AF6A66">
        <w:rPr>
          <w:rFonts w:ascii="Arial" w:hAnsi="Arial" w:cs="Arial"/>
          <w:sz w:val="18"/>
          <w:szCs w:val="18"/>
        </w:rPr>
        <w:t xml:space="preserve"> Antonio                             </w:t>
      </w:r>
      <w:r w:rsidR="00AF6A66">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9A1EA8">
        <w:rPr>
          <w:rFonts w:ascii="Arial" w:hAnsi="Arial" w:cs="Arial"/>
          <w:sz w:val="18"/>
          <w:szCs w:val="18"/>
        </w:rPr>
        <w:t xml:space="preserve">C.P. Martín Sánchez </w:t>
      </w:r>
      <w:proofErr w:type="spellStart"/>
      <w:r w:rsidR="009A1EA8">
        <w:rPr>
          <w:rFonts w:ascii="Arial" w:hAnsi="Arial" w:cs="Arial"/>
          <w:sz w:val="18"/>
          <w:szCs w:val="18"/>
        </w:rPr>
        <w:t>Haro</w:t>
      </w:r>
      <w:proofErr w:type="spellEnd"/>
      <w:r w:rsidRPr="00AF6A66">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sidRPr="00AF6A66">
        <w:rPr>
          <w:rFonts w:ascii="Arial" w:hAnsi="Arial" w:cs="Arial"/>
          <w:sz w:val="18"/>
          <w:szCs w:val="18"/>
        </w:rPr>
        <w:t>Presidente de la C</w:t>
      </w:r>
      <w:r w:rsidR="00AF6A66" w:rsidRPr="00AF6A66">
        <w:rPr>
          <w:rFonts w:ascii="Arial" w:hAnsi="Arial" w:cs="Arial"/>
          <w:sz w:val="18"/>
          <w:szCs w:val="18"/>
        </w:rPr>
        <w:t>.</w:t>
      </w:r>
      <w:r w:rsidRPr="00AF6A66">
        <w:rPr>
          <w:rFonts w:ascii="Arial" w:hAnsi="Arial" w:cs="Arial"/>
          <w:sz w:val="18"/>
          <w:szCs w:val="18"/>
        </w:rPr>
        <w:t>E</w:t>
      </w:r>
      <w:r w:rsidR="00AF6A66" w:rsidRPr="00AF6A66">
        <w:rPr>
          <w:rFonts w:ascii="Arial" w:hAnsi="Arial" w:cs="Arial"/>
          <w:sz w:val="18"/>
          <w:szCs w:val="18"/>
        </w:rPr>
        <w:t>.</w:t>
      </w:r>
      <w:r w:rsidRPr="00AF6A66">
        <w:rPr>
          <w:rFonts w:ascii="Arial" w:hAnsi="Arial" w:cs="Arial"/>
          <w:sz w:val="18"/>
          <w:szCs w:val="18"/>
        </w:rPr>
        <w:t>D</w:t>
      </w:r>
      <w:r w:rsidR="00AF6A66" w:rsidRPr="00AF6A66">
        <w:rPr>
          <w:rFonts w:ascii="Arial" w:hAnsi="Arial" w:cs="Arial"/>
          <w:sz w:val="18"/>
          <w:szCs w:val="18"/>
        </w:rPr>
        <w:t>.</w:t>
      </w:r>
      <w:r w:rsidRPr="00AF6A66">
        <w:rPr>
          <w:rFonts w:ascii="Arial" w:hAnsi="Arial" w:cs="Arial"/>
          <w:sz w:val="18"/>
          <w:szCs w:val="18"/>
        </w:rPr>
        <w:t>H</w:t>
      </w:r>
      <w:r w:rsidR="00AF6A66" w:rsidRPr="00AF6A66">
        <w:rPr>
          <w:rFonts w:ascii="Arial" w:hAnsi="Arial" w:cs="Arial"/>
          <w:sz w:val="18"/>
          <w:szCs w:val="18"/>
        </w:rPr>
        <w:t>.</w:t>
      </w:r>
      <w:r w:rsidRPr="00AF6A66">
        <w:rPr>
          <w:rFonts w:ascii="Arial" w:hAnsi="Arial" w:cs="Arial"/>
          <w:sz w:val="18"/>
          <w:szCs w:val="18"/>
        </w:rPr>
        <w:t>T</w:t>
      </w:r>
      <w:r w:rsidR="00AF6A66" w:rsidRPr="00AF6A66">
        <w:rPr>
          <w:rFonts w:ascii="Arial" w:hAnsi="Arial" w:cs="Arial"/>
          <w:sz w:val="18"/>
          <w:szCs w:val="18"/>
        </w:rPr>
        <w:t>.</w:t>
      </w:r>
      <w:r w:rsidRPr="00AF6A66">
        <w:rPr>
          <w:rFonts w:ascii="Arial" w:hAnsi="Arial" w:cs="Arial"/>
          <w:sz w:val="18"/>
          <w:szCs w:val="18"/>
        </w:rPr>
        <w:t xml:space="preserve">    </w:t>
      </w:r>
      <w:r w:rsidR="009A1EA8">
        <w:rPr>
          <w:rFonts w:ascii="Arial" w:hAnsi="Arial" w:cs="Arial"/>
          <w:sz w:val="18"/>
          <w:szCs w:val="18"/>
        </w:rPr>
        <w:t xml:space="preserve">        </w:t>
      </w:r>
      <w:r w:rsidRPr="00AF6A66">
        <w:rPr>
          <w:rFonts w:ascii="Arial" w:hAnsi="Arial" w:cs="Arial"/>
          <w:sz w:val="18"/>
          <w:szCs w:val="18"/>
        </w:rPr>
        <w:t xml:space="preserve">    </w:t>
      </w:r>
      <w:r w:rsidR="009A1EA8">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Encargado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520523" w:rsidRDefault="00520523" w:rsidP="00520523">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520523" w:rsidRPr="00AF6A66" w:rsidRDefault="00520523" w:rsidP="00520523">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 (Enero-Junio) 2015</w:t>
      </w:r>
    </w:p>
    <w:p w:rsidR="00520523" w:rsidRPr="002F31D1" w:rsidRDefault="00520523" w:rsidP="00520523">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520523" w:rsidRPr="002F31D1" w:rsidRDefault="00520523" w:rsidP="00520523">
      <w:pPr>
        <w:pStyle w:val="Prrafodelista"/>
        <w:autoSpaceDE w:val="0"/>
        <w:autoSpaceDN w:val="0"/>
        <w:adjustRightInd w:val="0"/>
        <w:spacing w:before="240" w:after="120"/>
        <w:jc w:val="both"/>
        <w:rPr>
          <w:rFonts w:ascii="Arial" w:hAnsi="Arial" w:cs="Arial"/>
          <w:b/>
          <w:sz w:val="18"/>
          <w:szCs w:val="18"/>
        </w:rPr>
      </w:pPr>
    </w:p>
    <w:p w:rsidR="00520523" w:rsidRPr="002F31D1" w:rsidRDefault="00520523" w:rsidP="00520523">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520523" w:rsidRPr="002F31D1" w:rsidRDefault="00520523" w:rsidP="00520523">
      <w:pPr>
        <w:pStyle w:val="Prrafodelista"/>
        <w:autoSpaceDE w:val="0"/>
        <w:autoSpaceDN w:val="0"/>
        <w:adjustRightInd w:val="0"/>
        <w:spacing w:before="240" w:after="120"/>
        <w:ind w:left="1069"/>
        <w:jc w:val="both"/>
        <w:rPr>
          <w:rFonts w:ascii="Arial" w:hAnsi="Arial" w:cs="Arial"/>
          <w:b/>
          <w:sz w:val="18"/>
          <w:szCs w:val="18"/>
        </w:rPr>
      </w:pPr>
    </w:p>
    <w:p w:rsidR="00520523" w:rsidRPr="00AF6A66" w:rsidRDefault="00520523" w:rsidP="00520523">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520523" w:rsidRPr="002F31D1" w:rsidRDefault="00520523" w:rsidP="00520523">
      <w:pPr>
        <w:pStyle w:val="Prrafodelista"/>
        <w:autoSpaceDE w:val="0"/>
        <w:autoSpaceDN w:val="0"/>
        <w:adjustRightInd w:val="0"/>
        <w:spacing w:before="80"/>
        <w:ind w:left="1418"/>
        <w:jc w:val="both"/>
        <w:rPr>
          <w:rFonts w:ascii="Arial" w:hAnsi="Arial" w:cs="Arial"/>
          <w:b/>
          <w:sz w:val="18"/>
          <w:szCs w:val="18"/>
        </w:rPr>
      </w:pPr>
    </w:p>
    <w:tbl>
      <w:tblPr>
        <w:tblW w:w="4733" w:type="dxa"/>
        <w:jc w:val="center"/>
        <w:tblCellMar>
          <w:left w:w="70" w:type="dxa"/>
          <w:right w:w="70" w:type="dxa"/>
        </w:tblCellMar>
        <w:tblLook w:val="04A0"/>
      </w:tblPr>
      <w:tblGrid>
        <w:gridCol w:w="1687"/>
        <w:gridCol w:w="148"/>
        <w:gridCol w:w="1789"/>
        <w:gridCol w:w="148"/>
        <w:gridCol w:w="961"/>
      </w:tblGrid>
      <w:tr w:rsidR="00520523" w:rsidRPr="002F31D1" w:rsidTr="006B1D3E">
        <w:trPr>
          <w:trHeight w:val="232"/>
          <w:jc w:val="center"/>
        </w:trPr>
        <w:tc>
          <w:tcPr>
            <w:tcW w:w="0" w:type="auto"/>
            <w:shd w:val="clear" w:color="auto" w:fill="00B050"/>
            <w:noWrap/>
            <w:vAlign w:val="center"/>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shd w:val="clear" w:color="auto" w:fill="00B050"/>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p>
        </w:tc>
        <w:tc>
          <w:tcPr>
            <w:tcW w:w="0" w:type="auto"/>
            <w:shd w:val="clear" w:color="auto" w:fill="00B050"/>
            <w:noWrap/>
            <w:vAlign w:val="center"/>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(Enero-Junio) 2015</w:t>
            </w:r>
          </w:p>
        </w:tc>
        <w:tc>
          <w:tcPr>
            <w:tcW w:w="0" w:type="auto"/>
            <w:shd w:val="clear" w:color="auto" w:fill="00B050"/>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p>
        </w:tc>
        <w:tc>
          <w:tcPr>
            <w:tcW w:w="961" w:type="dxa"/>
            <w:shd w:val="clear" w:color="auto" w:fill="00B050"/>
            <w:noWrap/>
            <w:vAlign w:val="center"/>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520523" w:rsidRPr="002F31D1" w:rsidTr="006B1D3E">
        <w:trPr>
          <w:trHeight w:val="428"/>
          <w:jc w:val="center"/>
        </w:trPr>
        <w:tc>
          <w:tcPr>
            <w:tcW w:w="0" w:type="auto"/>
            <w:shd w:val="clear" w:color="auto" w:fill="auto"/>
            <w:noWrap/>
            <w:vAlign w:val="center"/>
            <w:hideMark/>
          </w:tcPr>
          <w:p w:rsidR="00520523" w:rsidRPr="002F31D1" w:rsidRDefault="00520523" w:rsidP="006B1D3E">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0" w:type="auto"/>
            <w:shd w:val="clear" w:color="auto" w:fill="auto"/>
          </w:tcPr>
          <w:p w:rsidR="00520523" w:rsidRPr="002F31D1" w:rsidRDefault="00520523" w:rsidP="006B1D3E">
            <w:pPr>
              <w:autoSpaceDE w:val="0"/>
              <w:autoSpaceDN w:val="0"/>
              <w:adjustRightInd w:val="0"/>
              <w:spacing w:before="80"/>
              <w:jc w:val="both"/>
              <w:rPr>
                <w:rFonts w:ascii="Arial" w:hAnsi="Arial" w:cs="Arial"/>
                <w:sz w:val="18"/>
                <w:szCs w:val="18"/>
              </w:rPr>
            </w:pPr>
          </w:p>
        </w:tc>
        <w:tc>
          <w:tcPr>
            <w:tcW w:w="0" w:type="auto"/>
            <w:shd w:val="clear" w:color="auto" w:fill="auto"/>
            <w:noWrap/>
            <w:hideMark/>
          </w:tcPr>
          <w:p w:rsidR="00520523" w:rsidRPr="002F31D1" w:rsidRDefault="00520523" w:rsidP="006B1D3E">
            <w:pPr>
              <w:autoSpaceDE w:val="0"/>
              <w:autoSpaceDN w:val="0"/>
              <w:adjustRightInd w:val="0"/>
              <w:spacing w:before="80"/>
              <w:jc w:val="right"/>
              <w:rPr>
                <w:rFonts w:ascii="Arial" w:hAnsi="Arial" w:cs="Arial"/>
                <w:sz w:val="18"/>
                <w:szCs w:val="18"/>
              </w:rPr>
            </w:pPr>
            <w:r>
              <w:rPr>
                <w:rFonts w:ascii="Arial" w:hAnsi="Arial" w:cs="Arial"/>
                <w:sz w:val="18"/>
                <w:szCs w:val="18"/>
              </w:rPr>
              <w:t>50,607</w:t>
            </w:r>
          </w:p>
        </w:tc>
        <w:tc>
          <w:tcPr>
            <w:tcW w:w="0" w:type="auto"/>
            <w:shd w:val="clear" w:color="auto" w:fill="auto"/>
          </w:tcPr>
          <w:p w:rsidR="00520523" w:rsidRPr="002F31D1" w:rsidRDefault="00520523" w:rsidP="006B1D3E">
            <w:pPr>
              <w:autoSpaceDE w:val="0"/>
              <w:autoSpaceDN w:val="0"/>
              <w:adjustRightInd w:val="0"/>
              <w:spacing w:before="80"/>
              <w:jc w:val="both"/>
              <w:rPr>
                <w:rFonts w:ascii="Arial" w:hAnsi="Arial" w:cs="Arial"/>
                <w:sz w:val="18"/>
                <w:szCs w:val="18"/>
              </w:rPr>
            </w:pPr>
          </w:p>
        </w:tc>
        <w:tc>
          <w:tcPr>
            <w:tcW w:w="961" w:type="dxa"/>
            <w:shd w:val="clear" w:color="auto" w:fill="auto"/>
            <w:noWrap/>
            <w:vAlign w:val="center"/>
            <w:hideMark/>
          </w:tcPr>
          <w:p w:rsidR="00520523" w:rsidRPr="002F31D1" w:rsidRDefault="00520523" w:rsidP="006B1D3E">
            <w:pPr>
              <w:autoSpaceDE w:val="0"/>
              <w:autoSpaceDN w:val="0"/>
              <w:adjustRightInd w:val="0"/>
              <w:spacing w:before="80"/>
              <w:jc w:val="right"/>
              <w:rPr>
                <w:rFonts w:ascii="Arial" w:hAnsi="Arial" w:cs="Arial"/>
                <w:sz w:val="18"/>
                <w:szCs w:val="18"/>
              </w:rPr>
            </w:pPr>
            <w:r>
              <w:rPr>
                <w:rFonts w:ascii="Arial" w:hAnsi="Arial" w:cs="Arial"/>
                <w:sz w:val="18"/>
                <w:szCs w:val="18"/>
              </w:rPr>
              <w:t xml:space="preserve"> 479,047</w:t>
            </w:r>
          </w:p>
        </w:tc>
      </w:tr>
      <w:tr w:rsidR="00520523" w:rsidRPr="002F31D1" w:rsidTr="006B1D3E">
        <w:trPr>
          <w:trHeight w:val="232"/>
          <w:jc w:val="center"/>
        </w:trPr>
        <w:tc>
          <w:tcPr>
            <w:tcW w:w="0" w:type="auto"/>
            <w:shd w:val="clear" w:color="auto" w:fill="auto"/>
            <w:noWrap/>
            <w:vAlign w:val="center"/>
            <w:hideMark/>
          </w:tcPr>
          <w:p w:rsidR="00520523" w:rsidRPr="002F31D1" w:rsidRDefault="00520523" w:rsidP="006B1D3E">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0" w:type="auto"/>
            <w:shd w:val="clear" w:color="auto" w:fill="auto"/>
          </w:tcPr>
          <w:p w:rsidR="00520523" w:rsidRPr="002F31D1" w:rsidRDefault="00520523" w:rsidP="006B1D3E">
            <w:pPr>
              <w:autoSpaceDE w:val="0"/>
              <w:autoSpaceDN w:val="0"/>
              <w:adjustRightInd w:val="0"/>
              <w:spacing w:before="80"/>
              <w:jc w:val="both"/>
              <w:rPr>
                <w:rFonts w:ascii="Arial" w:hAnsi="Arial" w:cs="Arial"/>
                <w:b/>
                <w:sz w:val="18"/>
                <w:szCs w:val="18"/>
              </w:rPr>
            </w:pPr>
          </w:p>
        </w:tc>
        <w:tc>
          <w:tcPr>
            <w:tcW w:w="0" w:type="auto"/>
            <w:shd w:val="clear" w:color="auto" w:fill="auto"/>
            <w:noWrap/>
            <w:hideMark/>
          </w:tcPr>
          <w:p w:rsidR="00520523" w:rsidRPr="002F31D1" w:rsidRDefault="00520523" w:rsidP="006B1D3E">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50,607</w:t>
            </w:r>
          </w:p>
        </w:tc>
        <w:tc>
          <w:tcPr>
            <w:tcW w:w="0" w:type="auto"/>
            <w:shd w:val="clear" w:color="auto" w:fill="auto"/>
          </w:tcPr>
          <w:p w:rsidR="00520523" w:rsidRPr="002F31D1" w:rsidRDefault="00520523" w:rsidP="006B1D3E">
            <w:pPr>
              <w:autoSpaceDE w:val="0"/>
              <w:autoSpaceDN w:val="0"/>
              <w:adjustRightInd w:val="0"/>
              <w:spacing w:before="80"/>
              <w:jc w:val="both"/>
              <w:rPr>
                <w:rFonts w:ascii="Arial" w:hAnsi="Arial" w:cs="Arial"/>
                <w:b/>
                <w:sz w:val="18"/>
                <w:szCs w:val="18"/>
                <w:u w:val="double"/>
              </w:rPr>
            </w:pPr>
          </w:p>
        </w:tc>
        <w:tc>
          <w:tcPr>
            <w:tcW w:w="961" w:type="dxa"/>
            <w:shd w:val="clear" w:color="auto" w:fill="auto"/>
            <w:noWrap/>
            <w:hideMark/>
          </w:tcPr>
          <w:p w:rsidR="00520523" w:rsidRPr="002F31D1" w:rsidRDefault="00520523" w:rsidP="006B1D3E">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479,047</w:t>
            </w:r>
            <w:r w:rsidRPr="002F31D1">
              <w:rPr>
                <w:rFonts w:ascii="Arial" w:hAnsi="Arial" w:cs="Arial"/>
                <w:b/>
                <w:sz w:val="18"/>
                <w:szCs w:val="18"/>
                <w:u w:val="double"/>
              </w:rPr>
              <w:t xml:space="preserve"> </w:t>
            </w:r>
          </w:p>
        </w:tc>
      </w:tr>
    </w:tbl>
    <w:p w:rsidR="00520523" w:rsidRPr="00AF6A66" w:rsidRDefault="00520523" w:rsidP="00520523">
      <w:pPr>
        <w:autoSpaceDE w:val="0"/>
        <w:autoSpaceDN w:val="0"/>
        <w:adjustRightInd w:val="0"/>
        <w:spacing w:before="80"/>
        <w:jc w:val="both"/>
        <w:rPr>
          <w:rFonts w:ascii="Arial" w:hAnsi="Arial" w:cs="Arial"/>
          <w:sz w:val="18"/>
          <w:szCs w:val="18"/>
        </w:rPr>
      </w:pPr>
    </w:p>
    <w:p w:rsidR="00520523" w:rsidRPr="00AF6A66" w:rsidRDefault="00520523" w:rsidP="00520523">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520523" w:rsidRPr="002F31D1" w:rsidRDefault="00520523" w:rsidP="00520523">
      <w:pPr>
        <w:pStyle w:val="Prrafodelista"/>
        <w:autoSpaceDE w:val="0"/>
        <w:autoSpaceDN w:val="0"/>
        <w:adjustRightInd w:val="0"/>
        <w:spacing w:before="80"/>
        <w:ind w:left="1418"/>
        <w:jc w:val="both"/>
        <w:rPr>
          <w:rFonts w:ascii="Arial" w:hAnsi="Arial" w:cs="Arial"/>
          <w:b/>
          <w:sz w:val="18"/>
          <w:szCs w:val="18"/>
        </w:rPr>
      </w:pPr>
    </w:p>
    <w:tbl>
      <w:tblPr>
        <w:tblW w:w="0" w:type="auto"/>
        <w:jc w:val="center"/>
        <w:tblCellMar>
          <w:left w:w="70" w:type="dxa"/>
          <w:right w:w="70" w:type="dxa"/>
        </w:tblCellMar>
        <w:tblLook w:val="04A0"/>
      </w:tblPr>
      <w:tblGrid>
        <w:gridCol w:w="7184"/>
        <w:gridCol w:w="191"/>
        <w:gridCol w:w="1670"/>
        <w:gridCol w:w="191"/>
        <w:gridCol w:w="1041"/>
      </w:tblGrid>
      <w:tr w:rsidR="00520523" w:rsidRPr="002F31D1" w:rsidTr="006B1D3E">
        <w:trPr>
          <w:trHeight w:val="257"/>
          <w:jc w:val="center"/>
        </w:trPr>
        <w:tc>
          <w:tcPr>
            <w:tcW w:w="0" w:type="auto"/>
            <w:shd w:val="clear" w:color="auto" w:fill="00B050"/>
            <w:noWrap/>
            <w:vAlign w:val="center"/>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2" w:type="dxa"/>
            <w:shd w:val="clear" w:color="auto" w:fill="00B050"/>
            <w:noWrap/>
            <w:vAlign w:val="center"/>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 </w:t>
            </w:r>
          </w:p>
        </w:tc>
        <w:tc>
          <w:tcPr>
            <w:tcW w:w="1670" w:type="dxa"/>
            <w:shd w:val="clear" w:color="auto" w:fill="00B050"/>
            <w:noWrap/>
            <w:vAlign w:val="center"/>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(Enero-Junio) 2015</w:t>
            </w:r>
          </w:p>
        </w:tc>
        <w:tc>
          <w:tcPr>
            <w:tcW w:w="0" w:type="auto"/>
            <w:shd w:val="clear" w:color="auto" w:fill="00B050"/>
            <w:noWrap/>
            <w:vAlign w:val="center"/>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 </w:t>
            </w:r>
          </w:p>
        </w:tc>
        <w:tc>
          <w:tcPr>
            <w:tcW w:w="0" w:type="auto"/>
            <w:shd w:val="clear" w:color="auto" w:fill="00B050"/>
            <w:noWrap/>
            <w:vAlign w:val="center"/>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520523" w:rsidRPr="002F31D1" w:rsidTr="006B1D3E">
        <w:trPr>
          <w:trHeight w:val="257"/>
          <w:jc w:val="center"/>
        </w:trPr>
        <w:tc>
          <w:tcPr>
            <w:tcW w:w="0" w:type="auto"/>
            <w:shd w:val="clear" w:color="auto" w:fill="auto"/>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Deudores por anticipo de la tesorería a Corto Plazo</w:t>
            </w:r>
          </w:p>
        </w:tc>
        <w:tc>
          <w:tcPr>
            <w:tcW w:w="182" w:type="dxa"/>
            <w:shd w:val="clear" w:color="auto" w:fill="auto"/>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 </w:t>
            </w:r>
          </w:p>
        </w:tc>
        <w:tc>
          <w:tcPr>
            <w:tcW w:w="1670" w:type="dxa"/>
            <w:shd w:val="clear" w:color="auto" w:fill="auto"/>
            <w:noWrap/>
            <w:vAlign w:val="bottom"/>
            <w:hideMark/>
          </w:tcPr>
          <w:p w:rsidR="00520523" w:rsidRPr="002F31D1" w:rsidRDefault="00520523" w:rsidP="006B1D3E">
            <w:pPr>
              <w:jc w:val="right"/>
              <w:rPr>
                <w:rFonts w:ascii="Arial" w:hAnsi="Arial" w:cs="Arial"/>
                <w:sz w:val="18"/>
                <w:szCs w:val="18"/>
              </w:rPr>
            </w:pPr>
          </w:p>
        </w:tc>
        <w:tc>
          <w:tcPr>
            <w:tcW w:w="0" w:type="auto"/>
            <w:shd w:val="clear" w:color="auto" w:fill="auto"/>
            <w:noWrap/>
            <w:vAlign w:val="bottom"/>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520523" w:rsidRPr="002F31D1" w:rsidRDefault="00520523" w:rsidP="006B1D3E">
            <w:pPr>
              <w:jc w:val="right"/>
              <w:rPr>
                <w:rFonts w:ascii="Arial" w:hAnsi="Arial" w:cs="Arial"/>
                <w:sz w:val="18"/>
                <w:szCs w:val="18"/>
              </w:rPr>
            </w:pPr>
          </w:p>
        </w:tc>
      </w:tr>
      <w:tr w:rsidR="00520523" w:rsidRPr="002F31D1" w:rsidTr="006B1D3E">
        <w:trPr>
          <w:trHeight w:val="257"/>
          <w:jc w:val="center"/>
        </w:trPr>
        <w:tc>
          <w:tcPr>
            <w:tcW w:w="0" w:type="auto"/>
            <w:shd w:val="clear" w:color="auto" w:fill="auto"/>
            <w:noWrap/>
            <w:vAlign w:val="bottom"/>
          </w:tcPr>
          <w:p w:rsidR="00520523" w:rsidRPr="002F31D1" w:rsidRDefault="00520523" w:rsidP="006B1D3E">
            <w:pPr>
              <w:rPr>
                <w:rFonts w:ascii="Arial" w:hAnsi="Arial" w:cs="Arial"/>
                <w:sz w:val="18"/>
                <w:szCs w:val="18"/>
              </w:rPr>
            </w:pPr>
            <w:r w:rsidRPr="002F31D1">
              <w:rPr>
                <w:rFonts w:ascii="Arial" w:hAnsi="Arial" w:cs="Arial"/>
                <w:sz w:val="18"/>
                <w:szCs w:val="18"/>
              </w:rPr>
              <w:t>Deudores diversos por cobrar a Corto Plazo (Gastos a Comprobar )</w:t>
            </w:r>
          </w:p>
        </w:tc>
        <w:tc>
          <w:tcPr>
            <w:tcW w:w="182" w:type="dxa"/>
            <w:shd w:val="clear" w:color="auto" w:fill="auto"/>
            <w:noWrap/>
            <w:vAlign w:val="bottom"/>
          </w:tcPr>
          <w:p w:rsidR="00520523" w:rsidRPr="002F31D1" w:rsidRDefault="00520523" w:rsidP="006B1D3E">
            <w:pPr>
              <w:rPr>
                <w:rFonts w:ascii="Arial" w:hAnsi="Arial" w:cs="Arial"/>
                <w:sz w:val="18"/>
                <w:szCs w:val="18"/>
              </w:rPr>
            </w:pPr>
          </w:p>
        </w:tc>
        <w:tc>
          <w:tcPr>
            <w:tcW w:w="1670" w:type="dxa"/>
            <w:shd w:val="clear" w:color="auto" w:fill="auto"/>
            <w:noWrap/>
            <w:vAlign w:val="bottom"/>
          </w:tcPr>
          <w:p w:rsidR="00520523" w:rsidRPr="002F31D1" w:rsidRDefault="00520523" w:rsidP="006B1D3E">
            <w:pPr>
              <w:jc w:val="right"/>
              <w:rPr>
                <w:rFonts w:ascii="Arial" w:hAnsi="Arial" w:cs="Arial"/>
                <w:sz w:val="18"/>
                <w:szCs w:val="18"/>
              </w:rPr>
            </w:pPr>
            <w:r>
              <w:rPr>
                <w:rFonts w:ascii="Arial" w:hAnsi="Arial" w:cs="Arial"/>
                <w:sz w:val="18"/>
                <w:szCs w:val="18"/>
              </w:rPr>
              <w:t>30,000</w:t>
            </w:r>
          </w:p>
        </w:tc>
        <w:tc>
          <w:tcPr>
            <w:tcW w:w="0" w:type="auto"/>
            <w:shd w:val="clear" w:color="auto" w:fill="auto"/>
            <w:noWrap/>
            <w:vAlign w:val="bottom"/>
          </w:tcPr>
          <w:p w:rsidR="00520523" w:rsidRPr="002F31D1" w:rsidRDefault="00520523" w:rsidP="006B1D3E">
            <w:pPr>
              <w:jc w:val="right"/>
              <w:rPr>
                <w:rFonts w:ascii="Arial" w:hAnsi="Arial" w:cs="Arial"/>
                <w:sz w:val="18"/>
                <w:szCs w:val="18"/>
              </w:rPr>
            </w:pPr>
          </w:p>
        </w:tc>
        <w:tc>
          <w:tcPr>
            <w:tcW w:w="0" w:type="auto"/>
            <w:shd w:val="clear" w:color="auto" w:fill="auto"/>
            <w:noWrap/>
            <w:vAlign w:val="bottom"/>
          </w:tcPr>
          <w:p w:rsidR="00520523" w:rsidRPr="002F31D1" w:rsidRDefault="00520523" w:rsidP="006B1D3E">
            <w:pPr>
              <w:jc w:val="right"/>
              <w:rPr>
                <w:rFonts w:ascii="Arial" w:hAnsi="Arial" w:cs="Arial"/>
                <w:sz w:val="18"/>
                <w:szCs w:val="18"/>
              </w:rPr>
            </w:pPr>
          </w:p>
        </w:tc>
      </w:tr>
      <w:tr w:rsidR="00520523" w:rsidRPr="002F31D1" w:rsidTr="006B1D3E">
        <w:trPr>
          <w:trHeight w:val="257"/>
          <w:jc w:val="center"/>
        </w:trPr>
        <w:tc>
          <w:tcPr>
            <w:tcW w:w="0" w:type="auto"/>
            <w:shd w:val="clear" w:color="auto" w:fill="auto"/>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Préstamos otorgados a Corto Plazo (Préstamos Personales)</w:t>
            </w:r>
          </w:p>
        </w:tc>
        <w:tc>
          <w:tcPr>
            <w:tcW w:w="182" w:type="dxa"/>
            <w:shd w:val="clear" w:color="auto" w:fill="auto"/>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 </w:t>
            </w:r>
          </w:p>
        </w:tc>
        <w:tc>
          <w:tcPr>
            <w:tcW w:w="1670" w:type="dxa"/>
            <w:shd w:val="clear" w:color="auto" w:fill="auto"/>
            <w:noWrap/>
            <w:vAlign w:val="bottom"/>
            <w:hideMark/>
          </w:tcPr>
          <w:p w:rsidR="00520523" w:rsidRPr="002F31D1" w:rsidRDefault="00520523" w:rsidP="006B1D3E">
            <w:pPr>
              <w:jc w:val="right"/>
              <w:rPr>
                <w:rFonts w:ascii="Arial" w:hAnsi="Arial" w:cs="Arial"/>
                <w:sz w:val="18"/>
                <w:szCs w:val="18"/>
              </w:rPr>
            </w:pPr>
            <w:r>
              <w:rPr>
                <w:rFonts w:ascii="Arial" w:hAnsi="Arial" w:cs="Arial"/>
                <w:sz w:val="18"/>
                <w:szCs w:val="18"/>
              </w:rPr>
              <w:t>68,300</w:t>
            </w:r>
          </w:p>
        </w:tc>
        <w:tc>
          <w:tcPr>
            <w:tcW w:w="0" w:type="auto"/>
            <w:shd w:val="clear" w:color="auto" w:fill="auto"/>
            <w:noWrap/>
            <w:vAlign w:val="bottom"/>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520523" w:rsidRPr="002F31D1" w:rsidRDefault="00520523" w:rsidP="006B1D3E">
            <w:pPr>
              <w:jc w:val="right"/>
              <w:rPr>
                <w:rFonts w:ascii="Arial" w:hAnsi="Arial" w:cs="Arial"/>
                <w:sz w:val="18"/>
                <w:szCs w:val="18"/>
              </w:rPr>
            </w:pPr>
            <w:r>
              <w:rPr>
                <w:rFonts w:ascii="Arial" w:hAnsi="Arial" w:cs="Arial"/>
                <w:sz w:val="18"/>
                <w:szCs w:val="18"/>
              </w:rPr>
              <w:t>28,000</w:t>
            </w:r>
          </w:p>
        </w:tc>
      </w:tr>
      <w:tr w:rsidR="00520523" w:rsidRPr="002F31D1" w:rsidTr="006B1D3E">
        <w:trPr>
          <w:trHeight w:val="257"/>
          <w:jc w:val="center"/>
        </w:trPr>
        <w:tc>
          <w:tcPr>
            <w:tcW w:w="0" w:type="auto"/>
            <w:shd w:val="clear" w:color="auto" w:fill="auto"/>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Otros derechos a recibir efectivo o equivalentes a Corto Plazo (Subsidio para el empleo)</w:t>
            </w:r>
          </w:p>
        </w:tc>
        <w:tc>
          <w:tcPr>
            <w:tcW w:w="182" w:type="dxa"/>
            <w:shd w:val="clear" w:color="auto" w:fill="auto"/>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 </w:t>
            </w:r>
          </w:p>
        </w:tc>
        <w:tc>
          <w:tcPr>
            <w:tcW w:w="1670" w:type="dxa"/>
            <w:shd w:val="clear" w:color="auto" w:fill="auto"/>
            <w:noWrap/>
            <w:vAlign w:val="bottom"/>
            <w:hideMark/>
          </w:tcPr>
          <w:p w:rsidR="00520523" w:rsidRPr="002F31D1" w:rsidRDefault="00520523" w:rsidP="006B1D3E">
            <w:pPr>
              <w:jc w:val="right"/>
              <w:rPr>
                <w:rFonts w:ascii="Arial" w:hAnsi="Arial" w:cs="Arial"/>
                <w:sz w:val="18"/>
                <w:szCs w:val="18"/>
              </w:rPr>
            </w:pPr>
            <w:r>
              <w:rPr>
                <w:rFonts w:ascii="Arial" w:hAnsi="Arial" w:cs="Arial"/>
                <w:sz w:val="18"/>
                <w:szCs w:val="18"/>
              </w:rPr>
              <w:t>840.43</w:t>
            </w:r>
          </w:p>
        </w:tc>
        <w:tc>
          <w:tcPr>
            <w:tcW w:w="0" w:type="auto"/>
            <w:shd w:val="clear" w:color="auto" w:fill="auto"/>
            <w:noWrap/>
            <w:vAlign w:val="bottom"/>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520523" w:rsidRPr="002F31D1" w:rsidRDefault="00520523" w:rsidP="006B1D3E">
            <w:pPr>
              <w:jc w:val="right"/>
              <w:rPr>
                <w:rFonts w:ascii="Arial" w:hAnsi="Arial" w:cs="Arial"/>
                <w:sz w:val="18"/>
                <w:szCs w:val="18"/>
              </w:rPr>
            </w:pPr>
            <w:r>
              <w:rPr>
                <w:rFonts w:ascii="Arial" w:hAnsi="Arial" w:cs="Arial"/>
                <w:sz w:val="18"/>
                <w:szCs w:val="18"/>
              </w:rPr>
              <w:t xml:space="preserve">      1,864</w:t>
            </w:r>
          </w:p>
        </w:tc>
      </w:tr>
      <w:tr w:rsidR="00520523" w:rsidRPr="002F31D1" w:rsidTr="006B1D3E">
        <w:trPr>
          <w:trHeight w:val="257"/>
          <w:jc w:val="center"/>
        </w:trPr>
        <w:tc>
          <w:tcPr>
            <w:tcW w:w="0" w:type="auto"/>
            <w:shd w:val="clear" w:color="auto" w:fill="auto"/>
            <w:noWrap/>
            <w:vAlign w:val="bottom"/>
            <w:hideMark/>
          </w:tcPr>
          <w:p w:rsidR="00520523" w:rsidRPr="002F31D1" w:rsidRDefault="00520523" w:rsidP="006B1D3E">
            <w:pPr>
              <w:rPr>
                <w:rFonts w:ascii="Arial" w:hAnsi="Arial" w:cs="Arial"/>
                <w:b/>
                <w:sz w:val="18"/>
                <w:szCs w:val="18"/>
              </w:rPr>
            </w:pPr>
            <w:r w:rsidRPr="002F31D1">
              <w:rPr>
                <w:rFonts w:ascii="Arial" w:hAnsi="Arial" w:cs="Arial"/>
                <w:b/>
                <w:sz w:val="18"/>
                <w:szCs w:val="18"/>
              </w:rPr>
              <w:t xml:space="preserve"> Total </w:t>
            </w:r>
          </w:p>
        </w:tc>
        <w:tc>
          <w:tcPr>
            <w:tcW w:w="182" w:type="dxa"/>
            <w:shd w:val="clear" w:color="auto" w:fill="auto"/>
            <w:noWrap/>
            <w:vAlign w:val="bottom"/>
            <w:hideMark/>
          </w:tcPr>
          <w:p w:rsidR="00520523" w:rsidRPr="002F31D1" w:rsidRDefault="00520523" w:rsidP="006B1D3E">
            <w:pPr>
              <w:rPr>
                <w:rFonts w:ascii="Arial" w:hAnsi="Arial" w:cs="Arial"/>
                <w:b/>
                <w:sz w:val="18"/>
                <w:szCs w:val="18"/>
              </w:rPr>
            </w:pPr>
            <w:r w:rsidRPr="002F31D1">
              <w:rPr>
                <w:rFonts w:ascii="Arial" w:hAnsi="Arial" w:cs="Arial"/>
                <w:b/>
                <w:sz w:val="18"/>
                <w:szCs w:val="18"/>
              </w:rPr>
              <w:t> </w:t>
            </w:r>
          </w:p>
        </w:tc>
        <w:tc>
          <w:tcPr>
            <w:tcW w:w="1670" w:type="dxa"/>
            <w:shd w:val="clear" w:color="auto" w:fill="auto"/>
            <w:noWrap/>
            <w:vAlign w:val="bottom"/>
            <w:hideMark/>
          </w:tcPr>
          <w:p w:rsidR="00520523" w:rsidRPr="002F31D1" w:rsidRDefault="00520523" w:rsidP="006B1D3E">
            <w:pPr>
              <w:jc w:val="right"/>
              <w:rPr>
                <w:rFonts w:ascii="Arial" w:hAnsi="Arial" w:cs="Arial"/>
                <w:b/>
                <w:bCs/>
                <w:sz w:val="18"/>
                <w:szCs w:val="18"/>
                <w:u w:val="double"/>
              </w:rPr>
            </w:pPr>
            <w:r w:rsidRPr="002F31D1">
              <w:rPr>
                <w:rFonts w:ascii="Arial" w:hAnsi="Arial" w:cs="Arial"/>
                <w:b/>
                <w:bCs/>
                <w:sz w:val="18"/>
                <w:szCs w:val="18"/>
              </w:rPr>
              <w:t xml:space="preserve">    </w:t>
            </w:r>
            <w:r>
              <w:rPr>
                <w:rFonts w:ascii="Arial" w:hAnsi="Arial" w:cs="Arial"/>
                <w:b/>
                <w:bCs/>
                <w:sz w:val="18"/>
                <w:szCs w:val="18"/>
                <w:u w:val="double"/>
              </w:rPr>
              <w:t>99,140</w:t>
            </w:r>
          </w:p>
        </w:tc>
        <w:tc>
          <w:tcPr>
            <w:tcW w:w="0" w:type="auto"/>
            <w:shd w:val="clear" w:color="auto" w:fill="auto"/>
            <w:noWrap/>
            <w:vAlign w:val="bottom"/>
            <w:hideMark/>
          </w:tcPr>
          <w:p w:rsidR="00520523" w:rsidRPr="002F31D1" w:rsidRDefault="00520523" w:rsidP="006B1D3E">
            <w:pPr>
              <w:jc w:val="right"/>
              <w:rPr>
                <w:rFonts w:ascii="Arial" w:hAnsi="Arial" w:cs="Arial"/>
                <w:b/>
                <w:bCs/>
                <w:sz w:val="18"/>
                <w:szCs w:val="18"/>
              </w:rPr>
            </w:pPr>
            <w:r w:rsidRPr="002F31D1">
              <w:rPr>
                <w:rFonts w:ascii="Arial" w:hAnsi="Arial" w:cs="Arial"/>
                <w:b/>
                <w:bCs/>
                <w:sz w:val="18"/>
                <w:szCs w:val="18"/>
              </w:rPr>
              <w:t> </w:t>
            </w:r>
          </w:p>
        </w:tc>
        <w:tc>
          <w:tcPr>
            <w:tcW w:w="0" w:type="auto"/>
            <w:shd w:val="clear" w:color="auto" w:fill="auto"/>
            <w:noWrap/>
            <w:vAlign w:val="bottom"/>
            <w:hideMark/>
          </w:tcPr>
          <w:p w:rsidR="00520523" w:rsidRPr="002F31D1" w:rsidRDefault="00520523" w:rsidP="006B1D3E">
            <w:pPr>
              <w:jc w:val="right"/>
              <w:rPr>
                <w:rFonts w:ascii="Arial" w:hAnsi="Arial" w:cs="Arial"/>
                <w:b/>
                <w:bCs/>
                <w:sz w:val="18"/>
                <w:szCs w:val="18"/>
                <w:u w:val="double"/>
              </w:rPr>
            </w:pPr>
            <w:r w:rsidRPr="002F31D1">
              <w:rPr>
                <w:rFonts w:ascii="Arial" w:hAnsi="Arial" w:cs="Arial"/>
                <w:b/>
                <w:bCs/>
                <w:sz w:val="18"/>
                <w:szCs w:val="18"/>
              </w:rPr>
              <w:t xml:space="preserve">       </w:t>
            </w:r>
            <w:r>
              <w:rPr>
                <w:rFonts w:ascii="Arial" w:hAnsi="Arial" w:cs="Arial"/>
                <w:b/>
                <w:bCs/>
                <w:sz w:val="18"/>
                <w:szCs w:val="18"/>
                <w:u w:val="double"/>
              </w:rPr>
              <w:t>29,864</w:t>
            </w:r>
          </w:p>
        </w:tc>
      </w:tr>
      <w:tr w:rsidR="00520523" w:rsidRPr="002F31D1" w:rsidTr="006B1D3E">
        <w:trPr>
          <w:trHeight w:val="257"/>
          <w:jc w:val="center"/>
        </w:trPr>
        <w:tc>
          <w:tcPr>
            <w:tcW w:w="0" w:type="auto"/>
            <w:shd w:val="clear" w:color="auto" w:fill="auto"/>
            <w:noWrap/>
            <w:vAlign w:val="bottom"/>
          </w:tcPr>
          <w:p w:rsidR="00520523" w:rsidRDefault="00520523" w:rsidP="006B1D3E">
            <w:pPr>
              <w:rPr>
                <w:rFonts w:ascii="Arial" w:hAnsi="Arial" w:cs="Arial"/>
                <w:b/>
                <w:sz w:val="18"/>
                <w:szCs w:val="18"/>
              </w:rPr>
            </w:pPr>
          </w:p>
          <w:p w:rsidR="00520523" w:rsidRDefault="00520523" w:rsidP="006B1D3E">
            <w:pPr>
              <w:rPr>
                <w:rFonts w:ascii="Arial" w:hAnsi="Arial" w:cs="Arial"/>
                <w:b/>
                <w:sz w:val="18"/>
                <w:szCs w:val="18"/>
              </w:rPr>
            </w:pPr>
          </w:p>
          <w:p w:rsidR="00520523" w:rsidRPr="002F31D1" w:rsidRDefault="00520523" w:rsidP="006B1D3E">
            <w:pPr>
              <w:rPr>
                <w:rFonts w:ascii="Arial" w:hAnsi="Arial" w:cs="Arial"/>
                <w:b/>
                <w:sz w:val="18"/>
                <w:szCs w:val="18"/>
              </w:rPr>
            </w:pPr>
          </w:p>
        </w:tc>
        <w:tc>
          <w:tcPr>
            <w:tcW w:w="182" w:type="dxa"/>
            <w:shd w:val="clear" w:color="auto" w:fill="auto"/>
            <w:noWrap/>
            <w:vAlign w:val="bottom"/>
          </w:tcPr>
          <w:p w:rsidR="00520523" w:rsidRPr="002F31D1" w:rsidRDefault="00520523" w:rsidP="006B1D3E">
            <w:pPr>
              <w:rPr>
                <w:rFonts w:ascii="Arial" w:hAnsi="Arial" w:cs="Arial"/>
                <w:b/>
                <w:sz w:val="18"/>
                <w:szCs w:val="18"/>
              </w:rPr>
            </w:pPr>
          </w:p>
        </w:tc>
        <w:tc>
          <w:tcPr>
            <w:tcW w:w="1670" w:type="dxa"/>
            <w:shd w:val="clear" w:color="auto" w:fill="auto"/>
            <w:noWrap/>
            <w:vAlign w:val="bottom"/>
          </w:tcPr>
          <w:p w:rsidR="00520523" w:rsidRPr="002F31D1" w:rsidRDefault="00520523" w:rsidP="006B1D3E">
            <w:pPr>
              <w:jc w:val="right"/>
              <w:rPr>
                <w:rFonts w:ascii="Arial" w:hAnsi="Arial" w:cs="Arial"/>
                <w:b/>
                <w:bCs/>
                <w:sz w:val="18"/>
                <w:szCs w:val="18"/>
              </w:rPr>
            </w:pPr>
          </w:p>
        </w:tc>
        <w:tc>
          <w:tcPr>
            <w:tcW w:w="0" w:type="auto"/>
            <w:shd w:val="clear" w:color="auto" w:fill="auto"/>
            <w:noWrap/>
            <w:vAlign w:val="bottom"/>
          </w:tcPr>
          <w:p w:rsidR="00520523" w:rsidRPr="002F31D1" w:rsidRDefault="00520523" w:rsidP="006B1D3E">
            <w:pPr>
              <w:jc w:val="right"/>
              <w:rPr>
                <w:rFonts w:ascii="Arial" w:hAnsi="Arial" w:cs="Arial"/>
                <w:b/>
                <w:bCs/>
                <w:sz w:val="18"/>
                <w:szCs w:val="18"/>
              </w:rPr>
            </w:pPr>
          </w:p>
        </w:tc>
        <w:tc>
          <w:tcPr>
            <w:tcW w:w="0" w:type="auto"/>
            <w:shd w:val="clear" w:color="auto" w:fill="auto"/>
            <w:noWrap/>
            <w:vAlign w:val="bottom"/>
          </w:tcPr>
          <w:p w:rsidR="00520523" w:rsidRPr="002F31D1" w:rsidRDefault="00520523" w:rsidP="006B1D3E">
            <w:pPr>
              <w:jc w:val="right"/>
              <w:rPr>
                <w:rFonts w:ascii="Arial" w:hAnsi="Arial" w:cs="Arial"/>
                <w:b/>
                <w:bCs/>
                <w:sz w:val="18"/>
                <w:szCs w:val="18"/>
              </w:rPr>
            </w:pPr>
          </w:p>
        </w:tc>
      </w:tr>
    </w:tbl>
    <w:p w:rsidR="00520523" w:rsidRPr="00AF6A66" w:rsidRDefault="00520523" w:rsidP="00520523">
      <w:pPr>
        <w:pStyle w:val="Prrafodelista"/>
        <w:autoSpaceDE w:val="0"/>
        <w:autoSpaceDN w:val="0"/>
        <w:adjustRightInd w:val="0"/>
        <w:spacing w:before="80"/>
        <w:ind w:left="0"/>
        <w:jc w:val="both"/>
        <w:rPr>
          <w:rFonts w:ascii="Arial" w:hAnsi="Arial" w:cs="Arial"/>
          <w:sz w:val="18"/>
          <w:szCs w:val="18"/>
        </w:rPr>
      </w:pPr>
    </w:p>
    <w:p w:rsidR="00520523" w:rsidRPr="00AF6A66" w:rsidRDefault="00520523" w:rsidP="00520523">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rsidR="00520523" w:rsidRPr="00396B1A" w:rsidRDefault="00520523" w:rsidP="00520523">
      <w:pPr>
        <w:pStyle w:val="Prrafodelista"/>
        <w:autoSpaceDE w:val="0"/>
        <w:autoSpaceDN w:val="0"/>
        <w:adjustRightInd w:val="0"/>
        <w:spacing w:before="80"/>
        <w:ind w:left="1418"/>
        <w:jc w:val="both"/>
        <w:rPr>
          <w:rFonts w:ascii="Arial" w:hAnsi="Arial" w:cs="Arial"/>
          <w:b/>
          <w:sz w:val="12"/>
          <w:szCs w:val="12"/>
        </w:rPr>
      </w:pPr>
    </w:p>
    <w:tbl>
      <w:tblPr>
        <w:tblW w:w="6924" w:type="dxa"/>
        <w:jc w:val="center"/>
        <w:tblCellMar>
          <w:left w:w="70" w:type="dxa"/>
          <w:right w:w="70" w:type="dxa"/>
        </w:tblCellMar>
        <w:tblLook w:val="04A0"/>
      </w:tblPr>
      <w:tblGrid>
        <w:gridCol w:w="3905"/>
        <w:gridCol w:w="1771"/>
        <w:gridCol w:w="1248"/>
      </w:tblGrid>
      <w:tr w:rsidR="00520523" w:rsidRPr="002F31D1" w:rsidTr="006B1D3E">
        <w:trPr>
          <w:trHeight w:val="214"/>
          <w:jc w:val="center"/>
        </w:trPr>
        <w:tc>
          <w:tcPr>
            <w:tcW w:w="0" w:type="auto"/>
            <w:shd w:val="clear" w:color="auto" w:fill="00B050"/>
            <w:noWrap/>
            <w:vAlign w:val="center"/>
            <w:hideMark/>
          </w:tcPr>
          <w:p w:rsidR="00520523" w:rsidRPr="002F31D1" w:rsidRDefault="00520523" w:rsidP="006B1D3E">
            <w:pPr>
              <w:rPr>
                <w:rFonts w:ascii="Arial" w:hAnsi="Arial" w:cs="Arial"/>
                <w:b/>
                <w:bCs/>
                <w:color w:val="FFFFFF"/>
                <w:sz w:val="18"/>
                <w:szCs w:val="18"/>
              </w:rPr>
            </w:pPr>
            <w:r w:rsidRPr="002F31D1">
              <w:rPr>
                <w:rFonts w:ascii="Arial" w:hAnsi="Arial" w:cs="Arial"/>
                <w:b/>
                <w:bCs/>
                <w:color w:val="FFFFFF"/>
                <w:sz w:val="18"/>
                <w:szCs w:val="18"/>
              </w:rPr>
              <w:t>Bienes Muebles</w:t>
            </w:r>
          </w:p>
        </w:tc>
        <w:tc>
          <w:tcPr>
            <w:tcW w:w="0" w:type="auto"/>
            <w:shd w:val="clear" w:color="auto" w:fill="00B050"/>
            <w:noWrap/>
            <w:vAlign w:val="center"/>
            <w:hideMark/>
          </w:tcPr>
          <w:p w:rsidR="00520523" w:rsidRPr="002F31D1" w:rsidRDefault="00520523" w:rsidP="006B1D3E">
            <w:pPr>
              <w:jc w:val="center"/>
              <w:rPr>
                <w:rFonts w:ascii="Arial" w:hAnsi="Arial" w:cs="Arial"/>
                <w:b/>
                <w:bCs/>
                <w:color w:val="FFFFFF"/>
                <w:sz w:val="18"/>
                <w:szCs w:val="18"/>
              </w:rPr>
            </w:pPr>
            <w:r>
              <w:rPr>
                <w:rFonts w:ascii="Arial" w:hAnsi="Arial" w:cs="Arial"/>
                <w:b/>
                <w:bCs/>
                <w:color w:val="FFFFFF"/>
                <w:sz w:val="18"/>
                <w:szCs w:val="18"/>
              </w:rPr>
              <w:t>(Enero-Junio) 2015</w:t>
            </w:r>
          </w:p>
        </w:tc>
        <w:tc>
          <w:tcPr>
            <w:tcW w:w="0" w:type="auto"/>
            <w:shd w:val="clear" w:color="auto" w:fill="00B050"/>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201</w:t>
            </w:r>
            <w:r>
              <w:rPr>
                <w:rFonts w:ascii="Arial" w:hAnsi="Arial" w:cs="Arial"/>
                <w:b/>
                <w:bCs/>
                <w:color w:val="FFFFFF"/>
                <w:sz w:val="18"/>
                <w:szCs w:val="18"/>
              </w:rPr>
              <w:t>4</w:t>
            </w:r>
          </w:p>
        </w:tc>
      </w:tr>
      <w:tr w:rsidR="00520523" w:rsidRPr="002F31D1" w:rsidTr="006B1D3E">
        <w:trPr>
          <w:trHeight w:val="214"/>
          <w:jc w:val="center"/>
        </w:trPr>
        <w:tc>
          <w:tcPr>
            <w:tcW w:w="0" w:type="auto"/>
            <w:shd w:val="clear" w:color="auto" w:fill="auto"/>
            <w:noWrap/>
            <w:vAlign w:val="bottom"/>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0" w:type="auto"/>
            <w:shd w:val="clear" w:color="auto" w:fill="auto"/>
            <w:noWrap/>
            <w:vAlign w:val="bottom"/>
            <w:hideMark/>
          </w:tcPr>
          <w:p w:rsidR="00520523" w:rsidRPr="002F31D1" w:rsidRDefault="00520523" w:rsidP="006B1D3E">
            <w:pPr>
              <w:jc w:val="right"/>
              <w:rPr>
                <w:rFonts w:ascii="Arial" w:hAnsi="Arial" w:cs="Arial"/>
                <w:color w:val="000000"/>
                <w:sz w:val="18"/>
                <w:szCs w:val="18"/>
              </w:rPr>
            </w:pPr>
            <w:r>
              <w:rPr>
                <w:rFonts w:ascii="Arial" w:hAnsi="Arial" w:cs="Arial"/>
                <w:color w:val="000000"/>
                <w:sz w:val="18"/>
                <w:szCs w:val="18"/>
              </w:rPr>
              <w:t>701,874</w:t>
            </w:r>
          </w:p>
        </w:tc>
        <w:tc>
          <w:tcPr>
            <w:tcW w:w="0" w:type="auto"/>
            <w:shd w:val="clear" w:color="auto" w:fill="auto"/>
            <w:noWrap/>
            <w:vAlign w:val="bottom"/>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670,761</w:t>
            </w:r>
          </w:p>
        </w:tc>
      </w:tr>
      <w:tr w:rsidR="00520523" w:rsidRPr="002F31D1" w:rsidTr="006B1D3E">
        <w:trPr>
          <w:trHeight w:val="214"/>
          <w:jc w:val="center"/>
        </w:trPr>
        <w:tc>
          <w:tcPr>
            <w:tcW w:w="0" w:type="auto"/>
            <w:shd w:val="clear" w:color="auto" w:fill="auto"/>
            <w:noWrap/>
            <w:vAlign w:val="bottom"/>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0" w:type="auto"/>
            <w:shd w:val="clear" w:color="auto" w:fill="auto"/>
            <w:noWrap/>
            <w:vAlign w:val="bottom"/>
            <w:hideMark/>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27,158 </w:t>
            </w:r>
          </w:p>
        </w:tc>
        <w:tc>
          <w:tcPr>
            <w:tcW w:w="0" w:type="auto"/>
            <w:shd w:val="clear" w:color="auto" w:fill="auto"/>
            <w:noWrap/>
            <w:vAlign w:val="bottom"/>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27,158 </w:t>
            </w:r>
          </w:p>
        </w:tc>
      </w:tr>
      <w:tr w:rsidR="00520523" w:rsidRPr="002F31D1" w:rsidTr="006B1D3E">
        <w:trPr>
          <w:trHeight w:val="214"/>
          <w:jc w:val="center"/>
        </w:trPr>
        <w:tc>
          <w:tcPr>
            <w:tcW w:w="0" w:type="auto"/>
            <w:shd w:val="clear" w:color="auto" w:fill="auto"/>
            <w:noWrap/>
            <w:vAlign w:val="bottom"/>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0" w:type="auto"/>
            <w:shd w:val="clear" w:color="auto" w:fill="auto"/>
            <w:noWrap/>
            <w:vAlign w:val="bottom"/>
            <w:hideMark/>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5,900 </w:t>
            </w:r>
          </w:p>
        </w:tc>
        <w:tc>
          <w:tcPr>
            <w:tcW w:w="0" w:type="auto"/>
            <w:shd w:val="clear" w:color="auto" w:fill="auto"/>
            <w:noWrap/>
            <w:vAlign w:val="bottom"/>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520523" w:rsidRPr="002F31D1" w:rsidTr="006B1D3E">
        <w:trPr>
          <w:trHeight w:val="214"/>
          <w:jc w:val="center"/>
        </w:trPr>
        <w:tc>
          <w:tcPr>
            <w:tcW w:w="0" w:type="auto"/>
            <w:shd w:val="clear" w:color="auto" w:fill="auto"/>
            <w:noWrap/>
            <w:vAlign w:val="bottom"/>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Equipo de Transporte</w:t>
            </w:r>
          </w:p>
        </w:tc>
        <w:tc>
          <w:tcPr>
            <w:tcW w:w="0" w:type="auto"/>
            <w:shd w:val="clear" w:color="auto" w:fill="auto"/>
            <w:noWrap/>
            <w:vAlign w:val="bottom"/>
            <w:hideMark/>
          </w:tcPr>
          <w:p w:rsidR="00520523" w:rsidRPr="002F31D1" w:rsidRDefault="00520523" w:rsidP="006B1D3E">
            <w:pPr>
              <w:jc w:val="right"/>
              <w:rPr>
                <w:rFonts w:ascii="Arial" w:hAnsi="Arial" w:cs="Arial"/>
                <w:color w:val="000000"/>
                <w:sz w:val="18"/>
                <w:szCs w:val="18"/>
              </w:rPr>
            </w:pPr>
            <w:r>
              <w:rPr>
                <w:rFonts w:ascii="Arial" w:hAnsi="Arial" w:cs="Arial"/>
                <w:color w:val="000000"/>
                <w:sz w:val="18"/>
                <w:szCs w:val="18"/>
              </w:rPr>
              <w:t xml:space="preserve">      1,967,098</w:t>
            </w:r>
            <w:r w:rsidRPr="002F31D1">
              <w:rPr>
                <w:rFonts w:ascii="Arial" w:hAnsi="Arial" w:cs="Arial"/>
                <w:color w:val="000000"/>
                <w:sz w:val="18"/>
                <w:szCs w:val="18"/>
              </w:rPr>
              <w:t xml:space="preserve"> </w:t>
            </w:r>
          </w:p>
        </w:tc>
        <w:tc>
          <w:tcPr>
            <w:tcW w:w="0" w:type="auto"/>
            <w:shd w:val="clear" w:color="auto" w:fill="auto"/>
            <w:noWrap/>
            <w:vAlign w:val="bottom"/>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1,614,998 </w:t>
            </w:r>
          </w:p>
        </w:tc>
      </w:tr>
      <w:tr w:rsidR="00520523" w:rsidRPr="002F31D1" w:rsidTr="006B1D3E">
        <w:trPr>
          <w:trHeight w:val="214"/>
          <w:jc w:val="center"/>
        </w:trPr>
        <w:tc>
          <w:tcPr>
            <w:tcW w:w="0" w:type="auto"/>
            <w:shd w:val="clear" w:color="auto" w:fill="auto"/>
            <w:noWrap/>
            <w:vAlign w:val="bottom"/>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0" w:type="auto"/>
            <w:shd w:val="clear" w:color="auto" w:fill="auto"/>
            <w:noWrap/>
            <w:vAlign w:val="bottom"/>
            <w:hideMark/>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43,623 </w:t>
            </w:r>
          </w:p>
        </w:tc>
        <w:tc>
          <w:tcPr>
            <w:tcW w:w="0" w:type="auto"/>
            <w:shd w:val="clear" w:color="auto" w:fill="auto"/>
            <w:noWrap/>
            <w:vAlign w:val="bottom"/>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43,623 </w:t>
            </w:r>
          </w:p>
        </w:tc>
      </w:tr>
      <w:tr w:rsidR="00520523" w:rsidRPr="002F31D1" w:rsidTr="006B1D3E">
        <w:trPr>
          <w:trHeight w:val="214"/>
          <w:jc w:val="center"/>
        </w:trPr>
        <w:tc>
          <w:tcPr>
            <w:tcW w:w="0" w:type="auto"/>
            <w:shd w:val="clear" w:color="auto" w:fill="auto"/>
            <w:noWrap/>
            <w:vAlign w:val="bottom"/>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Colecciones, Obras de Arte y Objetos Valiosos</w:t>
            </w:r>
          </w:p>
        </w:tc>
        <w:tc>
          <w:tcPr>
            <w:tcW w:w="0" w:type="auto"/>
            <w:shd w:val="clear" w:color="auto" w:fill="auto"/>
            <w:noWrap/>
            <w:vAlign w:val="bottom"/>
            <w:hideMark/>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w:t>
            </w:r>
          </w:p>
        </w:tc>
        <w:tc>
          <w:tcPr>
            <w:tcW w:w="0" w:type="auto"/>
            <w:shd w:val="clear" w:color="auto" w:fill="auto"/>
            <w:noWrap/>
            <w:vAlign w:val="bottom"/>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 xml:space="preserve">              </w:t>
            </w:r>
          </w:p>
        </w:tc>
      </w:tr>
      <w:tr w:rsidR="00520523" w:rsidRPr="002F31D1" w:rsidTr="006B1D3E">
        <w:trPr>
          <w:trHeight w:val="214"/>
          <w:jc w:val="center"/>
        </w:trPr>
        <w:tc>
          <w:tcPr>
            <w:tcW w:w="0" w:type="auto"/>
            <w:shd w:val="clear" w:color="auto" w:fill="auto"/>
            <w:noWrap/>
            <w:vAlign w:val="bottom"/>
            <w:hideMark/>
          </w:tcPr>
          <w:p w:rsidR="00520523" w:rsidRPr="002F31D1" w:rsidRDefault="00520523" w:rsidP="006B1D3E">
            <w:pPr>
              <w:rPr>
                <w:rFonts w:ascii="Arial" w:hAnsi="Arial" w:cs="Arial"/>
                <w:sz w:val="18"/>
                <w:szCs w:val="18"/>
              </w:rPr>
            </w:pPr>
            <w:r w:rsidRPr="002F31D1">
              <w:rPr>
                <w:rFonts w:ascii="Arial" w:hAnsi="Arial" w:cs="Arial"/>
                <w:b/>
                <w:sz w:val="18"/>
                <w:szCs w:val="18"/>
              </w:rPr>
              <w:t>Total</w:t>
            </w:r>
          </w:p>
        </w:tc>
        <w:tc>
          <w:tcPr>
            <w:tcW w:w="0" w:type="auto"/>
            <w:shd w:val="clear" w:color="auto" w:fill="auto"/>
            <w:noWrap/>
            <w:vAlign w:val="center"/>
            <w:hideMark/>
          </w:tcPr>
          <w:p w:rsidR="00520523" w:rsidRPr="002F31D1" w:rsidRDefault="00520523" w:rsidP="006B1D3E">
            <w:pPr>
              <w:jc w:val="right"/>
              <w:rPr>
                <w:rFonts w:ascii="Arial" w:hAnsi="Arial" w:cs="Arial"/>
                <w:b/>
                <w:bCs/>
                <w:sz w:val="18"/>
                <w:szCs w:val="18"/>
                <w:u w:val="double"/>
              </w:rPr>
            </w:pPr>
            <w:r>
              <w:rPr>
                <w:rFonts w:ascii="Arial" w:hAnsi="Arial" w:cs="Arial"/>
                <w:b/>
                <w:bCs/>
                <w:sz w:val="18"/>
                <w:szCs w:val="18"/>
                <w:u w:val="double"/>
              </w:rPr>
              <w:t xml:space="preserve">  2,745,653</w:t>
            </w:r>
            <w:r w:rsidRPr="002F31D1">
              <w:rPr>
                <w:rFonts w:ascii="Arial" w:hAnsi="Arial" w:cs="Arial"/>
                <w:b/>
                <w:bCs/>
                <w:sz w:val="18"/>
                <w:szCs w:val="18"/>
                <w:u w:val="double"/>
              </w:rPr>
              <w:t xml:space="preserve"> </w:t>
            </w:r>
          </w:p>
        </w:tc>
        <w:tc>
          <w:tcPr>
            <w:tcW w:w="0" w:type="auto"/>
            <w:shd w:val="clear" w:color="auto" w:fill="auto"/>
            <w:noWrap/>
            <w:vAlign w:val="center"/>
            <w:hideMark/>
          </w:tcPr>
          <w:p w:rsidR="00520523" w:rsidRPr="002F31D1" w:rsidRDefault="00520523" w:rsidP="006B1D3E">
            <w:pPr>
              <w:jc w:val="right"/>
              <w:rPr>
                <w:rFonts w:ascii="Arial" w:hAnsi="Arial" w:cs="Arial"/>
                <w:b/>
                <w:bCs/>
                <w:sz w:val="18"/>
                <w:szCs w:val="18"/>
                <w:u w:val="double"/>
              </w:rPr>
            </w:pPr>
            <w:r w:rsidRPr="002F31D1">
              <w:rPr>
                <w:rFonts w:ascii="Arial" w:hAnsi="Arial" w:cs="Arial"/>
                <w:b/>
                <w:bCs/>
                <w:sz w:val="18"/>
                <w:szCs w:val="18"/>
                <w:u w:val="double"/>
              </w:rPr>
              <w:t xml:space="preserve">  2,362,439 </w:t>
            </w:r>
          </w:p>
        </w:tc>
      </w:tr>
    </w:tbl>
    <w:p w:rsidR="00520523" w:rsidRDefault="00520523" w:rsidP="00520523">
      <w:pPr>
        <w:autoSpaceDE w:val="0"/>
        <w:autoSpaceDN w:val="0"/>
        <w:adjustRightInd w:val="0"/>
        <w:spacing w:before="80"/>
        <w:jc w:val="both"/>
        <w:rPr>
          <w:rFonts w:ascii="Arial" w:hAnsi="Arial" w:cs="Arial"/>
          <w:b/>
          <w:sz w:val="18"/>
          <w:szCs w:val="18"/>
        </w:rPr>
      </w:pPr>
    </w:p>
    <w:p w:rsidR="00520523" w:rsidRPr="009F72AC" w:rsidRDefault="00520523" w:rsidP="00520523">
      <w:pPr>
        <w:autoSpaceDE w:val="0"/>
        <w:autoSpaceDN w:val="0"/>
        <w:adjustRightInd w:val="0"/>
        <w:spacing w:before="80"/>
        <w:jc w:val="both"/>
        <w:rPr>
          <w:rFonts w:ascii="Arial" w:hAnsi="Arial" w:cs="Arial"/>
          <w:b/>
          <w:sz w:val="18"/>
          <w:szCs w:val="18"/>
        </w:rPr>
      </w:pPr>
    </w:p>
    <w:tbl>
      <w:tblPr>
        <w:tblW w:w="5854" w:type="dxa"/>
        <w:jc w:val="center"/>
        <w:tblCellMar>
          <w:left w:w="70" w:type="dxa"/>
          <w:right w:w="70" w:type="dxa"/>
        </w:tblCellMar>
        <w:tblLook w:val="04A0"/>
      </w:tblPr>
      <w:tblGrid>
        <w:gridCol w:w="2174"/>
        <w:gridCol w:w="2291"/>
        <w:gridCol w:w="1389"/>
      </w:tblGrid>
      <w:tr w:rsidR="00520523" w:rsidRPr="002F31D1" w:rsidTr="006B1D3E">
        <w:trPr>
          <w:trHeight w:val="202"/>
          <w:jc w:val="center"/>
        </w:trPr>
        <w:tc>
          <w:tcPr>
            <w:tcW w:w="0" w:type="auto"/>
            <w:shd w:val="clear" w:color="auto" w:fill="00B050"/>
            <w:noWrap/>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0" w:type="auto"/>
            <w:shd w:val="clear" w:color="auto" w:fill="00B050"/>
            <w:noWrap/>
            <w:vAlign w:val="center"/>
            <w:hideMark/>
          </w:tcPr>
          <w:p w:rsidR="00520523" w:rsidRPr="002F31D1" w:rsidRDefault="00520523" w:rsidP="006B1D3E">
            <w:pPr>
              <w:jc w:val="center"/>
              <w:rPr>
                <w:rFonts w:ascii="Arial" w:hAnsi="Arial" w:cs="Arial"/>
                <w:b/>
                <w:bCs/>
                <w:color w:val="FFFFFF"/>
                <w:sz w:val="18"/>
                <w:szCs w:val="18"/>
              </w:rPr>
            </w:pPr>
            <w:r>
              <w:rPr>
                <w:rFonts w:ascii="Arial" w:hAnsi="Arial" w:cs="Arial"/>
                <w:b/>
                <w:bCs/>
                <w:color w:val="FFFFFF"/>
                <w:sz w:val="18"/>
                <w:szCs w:val="18"/>
              </w:rPr>
              <w:t>(Enero-Junio) 2015</w:t>
            </w:r>
          </w:p>
        </w:tc>
        <w:tc>
          <w:tcPr>
            <w:tcW w:w="1389" w:type="dxa"/>
            <w:shd w:val="clear" w:color="auto" w:fill="00B050"/>
            <w:vAlign w:val="center"/>
          </w:tcPr>
          <w:p w:rsidR="00520523" w:rsidRPr="002F31D1" w:rsidRDefault="00520523" w:rsidP="006B1D3E">
            <w:pPr>
              <w:jc w:val="center"/>
              <w:rPr>
                <w:rFonts w:ascii="Arial" w:hAnsi="Arial" w:cs="Arial"/>
                <w:b/>
                <w:bCs/>
                <w:color w:val="FFFFFF"/>
                <w:sz w:val="18"/>
                <w:szCs w:val="18"/>
              </w:rPr>
            </w:pPr>
            <w:r>
              <w:rPr>
                <w:rFonts w:ascii="Arial" w:hAnsi="Arial" w:cs="Arial"/>
                <w:b/>
                <w:bCs/>
                <w:color w:val="FFFFFF"/>
                <w:sz w:val="18"/>
                <w:szCs w:val="18"/>
              </w:rPr>
              <w:t>2014</w:t>
            </w:r>
          </w:p>
        </w:tc>
      </w:tr>
      <w:tr w:rsidR="00520523" w:rsidRPr="002F31D1" w:rsidTr="006B1D3E">
        <w:trPr>
          <w:trHeight w:val="202"/>
          <w:jc w:val="center"/>
        </w:trPr>
        <w:tc>
          <w:tcPr>
            <w:tcW w:w="0" w:type="auto"/>
            <w:shd w:val="clear" w:color="auto" w:fill="auto"/>
            <w:noWrap/>
            <w:vAlign w:val="center"/>
            <w:hideMark/>
          </w:tcPr>
          <w:p w:rsidR="00520523" w:rsidRPr="002F31D1" w:rsidRDefault="00520523" w:rsidP="006B1D3E">
            <w:pPr>
              <w:rPr>
                <w:rFonts w:ascii="Arial" w:hAnsi="Arial" w:cs="Arial"/>
                <w:sz w:val="18"/>
                <w:szCs w:val="18"/>
              </w:rPr>
            </w:pPr>
            <w:r w:rsidRPr="002F31D1">
              <w:rPr>
                <w:rFonts w:ascii="Arial" w:hAnsi="Arial" w:cs="Arial"/>
                <w:sz w:val="18"/>
                <w:szCs w:val="18"/>
              </w:rPr>
              <w:t>Terrenos</w:t>
            </w:r>
          </w:p>
        </w:tc>
        <w:tc>
          <w:tcPr>
            <w:tcW w:w="0" w:type="auto"/>
            <w:shd w:val="clear" w:color="auto" w:fill="auto"/>
            <w:noWrap/>
            <w:vAlign w:val="center"/>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 xml:space="preserve">              1,140,000 </w:t>
            </w:r>
          </w:p>
        </w:tc>
        <w:tc>
          <w:tcPr>
            <w:tcW w:w="1389" w:type="dxa"/>
            <w:vAlign w:val="center"/>
          </w:tcPr>
          <w:p w:rsidR="00520523" w:rsidRPr="002F31D1" w:rsidRDefault="00520523" w:rsidP="006B1D3E">
            <w:pPr>
              <w:jc w:val="right"/>
              <w:rPr>
                <w:rFonts w:ascii="Arial" w:hAnsi="Arial" w:cs="Arial"/>
                <w:sz w:val="18"/>
                <w:szCs w:val="18"/>
              </w:rPr>
            </w:pPr>
            <w:r w:rsidRPr="002F31D1">
              <w:rPr>
                <w:rFonts w:ascii="Arial" w:hAnsi="Arial" w:cs="Arial"/>
                <w:sz w:val="18"/>
                <w:szCs w:val="18"/>
              </w:rPr>
              <w:t>1,140,000</w:t>
            </w:r>
          </w:p>
        </w:tc>
      </w:tr>
      <w:tr w:rsidR="00520523" w:rsidRPr="00AF6A66" w:rsidTr="006B1D3E">
        <w:trPr>
          <w:trHeight w:val="238"/>
          <w:jc w:val="center"/>
        </w:trPr>
        <w:tc>
          <w:tcPr>
            <w:tcW w:w="0" w:type="auto"/>
            <w:shd w:val="clear" w:color="auto" w:fill="auto"/>
            <w:noWrap/>
            <w:vAlign w:val="bottom"/>
            <w:hideMark/>
          </w:tcPr>
          <w:p w:rsidR="00520523" w:rsidRPr="00AF6A66" w:rsidRDefault="00520523" w:rsidP="006B1D3E">
            <w:pPr>
              <w:rPr>
                <w:rFonts w:ascii="Arial" w:hAnsi="Arial" w:cs="Arial"/>
                <w:sz w:val="18"/>
                <w:szCs w:val="18"/>
              </w:rPr>
            </w:pPr>
            <w:r w:rsidRPr="00AF6A66">
              <w:rPr>
                <w:rFonts w:ascii="Arial" w:hAnsi="Arial" w:cs="Arial"/>
                <w:sz w:val="18"/>
                <w:szCs w:val="18"/>
              </w:rPr>
              <w:t>Total</w:t>
            </w:r>
          </w:p>
        </w:tc>
        <w:tc>
          <w:tcPr>
            <w:tcW w:w="0" w:type="auto"/>
            <w:shd w:val="clear" w:color="auto" w:fill="auto"/>
            <w:noWrap/>
            <w:vAlign w:val="center"/>
            <w:hideMark/>
          </w:tcPr>
          <w:p w:rsidR="00520523" w:rsidRPr="00AF6A66" w:rsidRDefault="00520523" w:rsidP="006B1D3E">
            <w:pPr>
              <w:jc w:val="right"/>
              <w:rPr>
                <w:rFonts w:ascii="Arial" w:hAnsi="Arial" w:cs="Arial"/>
                <w:bCs/>
                <w:sz w:val="18"/>
                <w:szCs w:val="18"/>
                <w:u w:val="double"/>
              </w:rPr>
            </w:pPr>
            <w:r w:rsidRPr="00AF6A66">
              <w:rPr>
                <w:rFonts w:ascii="Arial" w:hAnsi="Arial" w:cs="Arial"/>
                <w:bCs/>
                <w:sz w:val="18"/>
                <w:szCs w:val="18"/>
                <w:u w:val="double"/>
              </w:rPr>
              <w:t xml:space="preserve">  </w:t>
            </w:r>
            <w:r w:rsidRPr="00AF6A66">
              <w:rPr>
                <w:rFonts w:ascii="Arial" w:hAnsi="Arial" w:cs="Arial"/>
                <w:sz w:val="18"/>
                <w:szCs w:val="18"/>
                <w:u w:val="double"/>
              </w:rPr>
              <w:t>1,140,000</w:t>
            </w:r>
          </w:p>
        </w:tc>
        <w:tc>
          <w:tcPr>
            <w:tcW w:w="1389" w:type="dxa"/>
            <w:vAlign w:val="center"/>
          </w:tcPr>
          <w:p w:rsidR="00520523" w:rsidRPr="00AF6A66" w:rsidRDefault="00520523" w:rsidP="006B1D3E">
            <w:pPr>
              <w:jc w:val="right"/>
              <w:rPr>
                <w:rFonts w:ascii="Arial" w:hAnsi="Arial" w:cs="Arial"/>
                <w:bCs/>
                <w:sz w:val="18"/>
                <w:szCs w:val="18"/>
                <w:u w:val="double"/>
              </w:rPr>
            </w:pPr>
            <w:r w:rsidRPr="00AF6A66">
              <w:rPr>
                <w:rFonts w:ascii="Arial" w:hAnsi="Arial" w:cs="Arial"/>
                <w:sz w:val="18"/>
                <w:szCs w:val="18"/>
                <w:u w:val="double"/>
              </w:rPr>
              <w:t>1,140,000</w:t>
            </w:r>
          </w:p>
        </w:tc>
      </w:tr>
    </w:tbl>
    <w:p w:rsidR="00520523" w:rsidRPr="00D80AB5" w:rsidRDefault="00520523" w:rsidP="00520523">
      <w:pPr>
        <w:pStyle w:val="Prrafodelista"/>
        <w:autoSpaceDE w:val="0"/>
        <w:autoSpaceDN w:val="0"/>
        <w:adjustRightInd w:val="0"/>
        <w:spacing w:before="80" w:after="0"/>
        <w:ind w:left="2138"/>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hanging="425"/>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hanging="425"/>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hanging="425"/>
        <w:jc w:val="both"/>
        <w:rPr>
          <w:rFonts w:ascii="Arial" w:hAnsi="Arial" w:cs="Arial"/>
          <w:sz w:val="18"/>
          <w:szCs w:val="18"/>
        </w:rPr>
      </w:pPr>
    </w:p>
    <w:p w:rsidR="00520523" w:rsidRDefault="00520523" w:rsidP="00520523">
      <w:pPr>
        <w:pStyle w:val="Prrafodelista"/>
        <w:autoSpaceDE w:val="0"/>
        <w:autoSpaceDN w:val="0"/>
        <w:adjustRightInd w:val="0"/>
        <w:spacing w:before="80" w:after="0"/>
        <w:ind w:left="851" w:hanging="425"/>
        <w:jc w:val="both"/>
        <w:rPr>
          <w:rFonts w:ascii="Arial" w:hAnsi="Arial" w:cs="Arial"/>
          <w:sz w:val="18"/>
          <w:szCs w:val="18"/>
        </w:rPr>
      </w:pPr>
    </w:p>
    <w:p w:rsidR="00520523" w:rsidRPr="00AF6A66" w:rsidRDefault="00520523" w:rsidP="00520523">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lastRenderedPageBreak/>
        <w:t>Pasivos</w:t>
      </w:r>
    </w:p>
    <w:tbl>
      <w:tblPr>
        <w:tblW w:w="9477" w:type="dxa"/>
        <w:jc w:val="center"/>
        <w:tblCellMar>
          <w:left w:w="70" w:type="dxa"/>
          <w:right w:w="70" w:type="dxa"/>
        </w:tblCellMar>
        <w:tblLook w:val="04A0"/>
      </w:tblPr>
      <w:tblGrid>
        <w:gridCol w:w="5047"/>
        <w:gridCol w:w="1342"/>
        <w:gridCol w:w="1817"/>
        <w:gridCol w:w="197"/>
        <w:gridCol w:w="1074"/>
      </w:tblGrid>
      <w:tr w:rsidR="00520523" w:rsidRPr="002F31D1" w:rsidTr="006B1D3E">
        <w:trPr>
          <w:trHeight w:val="461"/>
          <w:jc w:val="center"/>
        </w:trPr>
        <w:tc>
          <w:tcPr>
            <w:tcW w:w="0" w:type="auto"/>
            <w:shd w:val="clear" w:color="000000" w:fill="FFFFFF"/>
            <w:noWrap/>
            <w:vAlign w:val="bottom"/>
          </w:tcPr>
          <w:p w:rsidR="00520523" w:rsidRPr="002F31D1" w:rsidRDefault="00520523" w:rsidP="006B1D3E">
            <w:pPr>
              <w:rPr>
                <w:rFonts w:ascii="Arial" w:hAnsi="Arial" w:cs="Arial"/>
                <w:sz w:val="18"/>
                <w:szCs w:val="18"/>
              </w:rPr>
            </w:pPr>
          </w:p>
        </w:tc>
        <w:tc>
          <w:tcPr>
            <w:tcW w:w="0" w:type="auto"/>
            <w:shd w:val="clear" w:color="000000" w:fill="FFFFFF"/>
            <w:noWrap/>
            <w:vAlign w:val="bottom"/>
          </w:tcPr>
          <w:p w:rsidR="00520523" w:rsidRPr="002F31D1" w:rsidRDefault="00520523" w:rsidP="006B1D3E">
            <w:pPr>
              <w:rPr>
                <w:rFonts w:ascii="Arial" w:hAnsi="Arial" w:cs="Arial"/>
                <w:sz w:val="18"/>
                <w:szCs w:val="18"/>
              </w:rPr>
            </w:pPr>
          </w:p>
        </w:tc>
        <w:tc>
          <w:tcPr>
            <w:tcW w:w="0" w:type="auto"/>
            <w:shd w:val="clear" w:color="000000" w:fill="FFFFFF"/>
            <w:noWrap/>
            <w:vAlign w:val="bottom"/>
          </w:tcPr>
          <w:p w:rsidR="00520523" w:rsidRPr="002F31D1" w:rsidRDefault="00520523" w:rsidP="006B1D3E">
            <w:pPr>
              <w:rPr>
                <w:rFonts w:ascii="Arial" w:hAnsi="Arial" w:cs="Arial"/>
                <w:sz w:val="18"/>
                <w:szCs w:val="18"/>
              </w:rPr>
            </w:pPr>
          </w:p>
        </w:tc>
        <w:tc>
          <w:tcPr>
            <w:tcW w:w="0" w:type="auto"/>
            <w:shd w:val="clear" w:color="000000" w:fill="FFFFFF"/>
            <w:noWrap/>
            <w:vAlign w:val="bottom"/>
          </w:tcPr>
          <w:p w:rsidR="00520523" w:rsidRPr="002F31D1" w:rsidRDefault="00520523" w:rsidP="006B1D3E">
            <w:pPr>
              <w:rPr>
                <w:rFonts w:ascii="Arial" w:hAnsi="Arial" w:cs="Arial"/>
                <w:sz w:val="18"/>
                <w:szCs w:val="18"/>
              </w:rPr>
            </w:pPr>
          </w:p>
        </w:tc>
        <w:tc>
          <w:tcPr>
            <w:tcW w:w="0" w:type="auto"/>
            <w:shd w:val="clear" w:color="000000" w:fill="FFFFFF"/>
            <w:noWrap/>
            <w:vAlign w:val="bottom"/>
          </w:tcPr>
          <w:p w:rsidR="00520523" w:rsidRPr="002F31D1" w:rsidRDefault="00520523" w:rsidP="006B1D3E">
            <w:pPr>
              <w:rPr>
                <w:rFonts w:ascii="Arial" w:hAnsi="Arial" w:cs="Arial"/>
                <w:sz w:val="18"/>
                <w:szCs w:val="18"/>
              </w:rPr>
            </w:pPr>
          </w:p>
        </w:tc>
      </w:tr>
      <w:tr w:rsidR="00520523" w:rsidRPr="002F31D1" w:rsidTr="006B1D3E">
        <w:trPr>
          <w:trHeight w:val="461"/>
          <w:jc w:val="center"/>
        </w:trPr>
        <w:tc>
          <w:tcPr>
            <w:tcW w:w="0" w:type="auto"/>
            <w:shd w:val="clear" w:color="000000" w:fill="00B050"/>
            <w:noWrap/>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000000" w:fill="00B050"/>
            <w:noWrap/>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0" w:type="auto"/>
            <w:shd w:val="clear" w:color="000000" w:fill="00B050"/>
            <w:noWrap/>
            <w:vAlign w:val="center"/>
            <w:hideMark/>
          </w:tcPr>
          <w:p w:rsidR="00520523" w:rsidRPr="002F31D1" w:rsidRDefault="00520523" w:rsidP="006B1D3E">
            <w:pPr>
              <w:jc w:val="center"/>
              <w:rPr>
                <w:rFonts w:ascii="Arial" w:hAnsi="Arial" w:cs="Arial"/>
                <w:b/>
                <w:bCs/>
                <w:color w:val="FFFFFF"/>
                <w:sz w:val="18"/>
                <w:szCs w:val="18"/>
              </w:rPr>
            </w:pPr>
            <w:r>
              <w:rPr>
                <w:rFonts w:ascii="Arial" w:hAnsi="Arial" w:cs="Arial"/>
                <w:b/>
                <w:bCs/>
                <w:color w:val="FFFFFF"/>
                <w:sz w:val="18"/>
                <w:szCs w:val="18"/>
              </w:rPr>
              <w:t>(Enero-Junio) 2015</w:t>
            </w:r>
          </w:p>
        </w:tc>
        <w:tc>
          <w:tcPr>
            <w:tcW w:w="0" w:type="auto"/>
            <w:shd w:val="clear" w:color="000000" w:fill="00B050"/>
            <w:noWrap/>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 </w:t>
            </w:r>
          </w:p>
        </w:tc>
        <w:tc>
          <w:tcPr>
            <w:tcW w:w="0" w:type="auto"/>
            <w:shd w:val="clear" w:color="000000" w:fill="00B050"/>
            <w:noWrap/>
            <w:vAlign w:val="center"/>
            <w:hideMark/>
          </w:tcPr>
          <w:p w:rsidR="00520523" w:rsidRPr="002F31D1" w:rsidRDefault="00520523" w:rsidP="006B1D3E">
            <w:pPr>
              <w:jc w:val="center"/>
              <w:rPr>
                <w:rFonts w:ascii="Arial" w:hAnsi="Arial" w:cs="Arial"/>
                <w:b/>
                <w:bCs/>
                <w:color w:val="FFFFFF"/>
                <w:sz w:val="18"/>
                <w:szCs w:val="18"/>
              </w:rPr>
            </w:pPr>
            <w:r>
              <w:rPr>
                <w:rFonts w:ascii="Arial" w:hAnsi="Arial" w:cs="Arial"/>
                <w:b/>
                <w:bCs/>
                <w:color w:val="FFFFFF"/>
                <w:sz w:val="18"/>
                <w:szCs w:val="18"/>
              </w:rPr>
              <w:t>2014</w:t>
            </w:r>
            <w:r w:rsidRPr="002F31D1">
              <w:rPr>
                <w:rFonts w:ascii="Arial" w:hAnsi="Arial" w:cs="Arial"/>
                <w:b/>
                <w:bCs/>
                <w:color w:val="FFFFFF"/>
                <w:sz w:val="18"/>
                <w:szCs w:val="18"/>
              </w:rPr>
              <w:t xml:space="preserve"> </w:t>
            </w:r>
          </w:p>
        </w:tc>
      </w:tr>
      <w:tr w:rsidR="00520523" w:rsidRPr="002F31D1" w:rsidTr="006B1D3E">
        <w:trPr>
          <w:trHeight w:val="461"/>
          <w:jc w:val="center"/>
        </w:trPr>
        <w:tc>
          <w:tcPr>
            <w:tcW w:w="0" w:type="auto"/>
            <w:shd w:val="clear" w:color="000000" w:fill="FFFFFF"/>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 xml:space="preserve">Retenciones De ISR por salarios </w:t>
            </w:r>
          </w:p>
        </w:tc>
        <w:tc>
          <w:tcPr>
            <w:tcW w:w="0" w:type="auto"/>
            <w:shd w:val="clear" w:color="000000" w:fill="FFFFFF"/>
            <w:noWrap/>
            <w:vAlign w:val="bottom"/>
            <w:hideMark/>
          </w:tcPr>
          <w:p w:rsidR="00520523" w:rsidRPr="00343189" w:rsidRDefault="00520523" w:rsidP="006B1D3E">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520523" w:rsidRPr="002F31D1" w:rsidRDefault="00520523" w:rsidP="006B1D3E">
            <w:pPr>
              <w:jc w:val="right"/>
              <w:rPr>
                <w:rFonts w:ascii="Arial" w:hAnsi="Arial" w:cs="Arial"/>
                <w:sz w:val="18"/>
                <w:szCs w:val="18"/>
              </w:rPr>
            </w:pPr>
            <w:r>
              <w:rPr>
                <w:rFonts w:ascii="Arial" w:hAnsi="Arial" w:cs="Arial"/>
                <w:sz w:val="18"/>
                <w:szCs w:val="18"/>
              </w:rPr>
              <w:t>89,232.55</w:t>
            </w:r>
          </w:p>
        </w:tc>
        <w:tc>
          <w:tcPr>
            <w:tcW w:w="0" w:type="auto"/>
            <w:shd w:val="clear" w:color="000000" w:fill="FFFFFF"/>
            <w:noWrap/>
            <w:vAlign w:val="bottom"/>
          </w:tcPr>
          <w:p w:rsidR="00520523" w:rsidRPr="002F31D1" w:rsidRDefault="00520523" w:rsidP="006B1D3E">
            <w:pPr>
              <w:rPr>
                <w:rFonts w:ascii="Arial" w:hAnsi="Arial" w:cs="Arial"/>
                <w:sz w:val="18"/>
                <w:szCs w:val="18"/>
              </w:rPr>
            </w:pPr>
          </w:p>
        </w:tc>
        <w:tc>
          <w:tcPr>
            <w:tcW w:w="0" w:type="auto"/>
            <w:shd w:val="clear" w:color="000000" w:fill="FFFFFF"/>
            <w:noWrap/>
            <w:vAlign w:val="bottom"/>
          </w:tcPr>
          <w:p w:rsidR="00520523" w:rsidRPr="002F31D1" w:rsidRDefault="00520523" w:rsidP="006B1D3E">
            <w:pPr>
              <w:jc w:val="right"/>
              <w:rPr>
                <w:rFonts w:ascii="Arial" w:hAnsi="Arial" w:cs="Arial"/>
                <w:sz w:val="18"/>
                <w:szCs w:val="18"/>
              </w:rPr>
            </w:pPr>
            <w:r w:rsidRPr="002F31D1">
              <w:rPr>
                <w:rFonts w:ascii="Arial" w:hAnsi="Arial" w:cs="Arial"/>
                <w:sz w:val="18"/>
                <w:szCs w:val="18"/>
              </w:rPr>
              <w:t>514,750.15</w:t>
            </w:r>
          </w:p>
        </w:tc>
      </w:tr>
      <w:tr w:rsidR="00520523" w:rsidRPr="002F31D1" w:rsidTr="006B1D3E">
        <w:trPr>
          <w:trHeight w:val="461"/>
          <w:jc w:val="center"/>
        </w:trPr>
        <w:tc>
          <w:tcPr>
            <w:tcW w:w="0" w:type="auto"/>
            <w:shd w:val="clear" w:color="000000" w:fill="FFFFFF"/>
            <w:noWrap/>
            <w:vAlign w:val="bottom"/>
          </w:tcPr>
          <w:p w:rsidR="00520523" w:rsidRPr="002F31D1" w:rsidRDefault="00520523" w:rsidP="006B1D3E">
            <w:pPr>
              <w:rPr>
                <w:rFonts w:ascii="Arial" w:hAnsi="Arial" w:cs="Arial"/>
                <w:sz w:val="18"/>
                <w:szCs w:val="18"/>
              </w:rPr>
            </w:pPr>
            <w:r w:rsidRPr="002F31D1">
              <w:rPr>
                <w:rFonts w:ascii="Arial" w:hAnsi="Arial" w:cs="Arial"/>
                <w:sz w:val="18"/>
                <w:szCs w:val="18"/>
              </w:rPr>
              <w:t>Retenciones De ISR por honorarios profesionales</w:t>
            </w:r>
          </w:p>
        </w:tc>
        <w:tc>
          <w:tcPr>
            <w:tcW w:w="0" w:type="auto"/>
            <w:shd w:val="clear" w:color="000000" w:fill="FFFFFF"/>
            <w:noWrap/>
            <w:vAlign w:val="bottom"/>
          </w:tcPr>
          <w:p w:rsidR="00520523" w:rsidRPr="00343189" w:rsidRDefault="00520523" w:rsidP="006B1D3E">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520523" w:rsidRPr="002F31D1" w:rsidRDefault="00520523" w:rsidP="006B1D3E">
            <w:pPr>
              <w:jc w:val="right"/>
              <w:rPr>
                <w:rFonts w:ascii="Arial" w:hAnsi="Arial" w:cs="Arial"/>
                <w:sz w:val="18"/>
                <w:szCs w:val="18"/>
              </w:rPr>
            </w:pPr>
            <w:r>
              <w:rPr>
                <w:rFonts w:ascii="Arial" w:hAnsi="Arial" w:cs="Arial"/>
                <w:sz w:val="18"/>
                <w:szCs w:val="18"/>
              </w:rPr>
              <w:t>1,886.23</w:t>
            </w:r>
          </w:p>
        </w:tc>
        <w:tc>
          <w:tcPr>
            <w:tcW w:w="0" w:type="auto"/>
            <w:shd w:val="clear" w:color="000000" w:fill="FFFFFF"/>
            <w:noWrap/>
            <w:vAlign w:val="bottom"/>
          </w:tcPr>
          <w:p w:rsidR="00520523" w:rsidRPr="002F31D1" w:rsidRDefault="00520523" w:rsidP="006B1D3E">
            <w:pPr>
              <w:rPr>
                <w:rFonts w:ascii="Arial" w:hAnsi="Arial" w:cs="Arial"/>
                <w:sz w:val="18"/>
                <w:szCs w:val="18"/>
              </w:rPr>
            </w:pPr>
          </w:p>
        </w:tc>
        <w:tc>
          <w:tcPr>
            <w:tcW w:w="0" w:type="auto"/>
            <w:shd w:val="clear" w:color="000000" w:fill="FFFFFF"/>
            <w:noWrap/>
            <w:vAlign w:val="bottom"/>
          </w:tcPr>
          <w:p w:rsidR="00520523" w:rsidRPr="002F31D1" w:rsidRDefault="00520523" w:rsidP="006B1D3E">
            <w:pPr>
              <w:jc w:val="right"/>
              <w:rPr>
                <w:rFonts w:ascii="Arial" w:hAnsi="Arial" w:cs="Arial"/>
                <w:sz w:val="18"/>
                <w:szCs w:val="18"/>
              </w:rPr>
            </w:pPr>
            <w:r w:rsidRPr="002F31D1">
              <w:rPr>
                <w:rFonts w:ascii="Arial" w:hAnsi="Arial" w:cs="Arial"/>
                <w:sz w:val="18"/>
                <w:szCs w:val="18"/>
              </w:rPr>
              <w:t>0.35</w:t>
            </w:r>
          </w:p>
        </w:tc>
      </w:tr>
      <w:tr w:rsidR="00520523" w:rsidRPr="002F31D1" w:rsidTr="006B1D3E">
        <w:trPr>
          <w:trHeight w:val="461"/>
          <w:jc w:val="center"/>
        </w:trPr>
        <w:tc>
          <w:tcPr>
            <w:tcW w:w="0" w:type="auto"/>
            <w:shd w:val="clear" w:color="000000" w:fill="FFFFFF"/>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520523" w:rsidRPr="00343189" w:rsidRDefault="00520523" w:rsidP="006B1D3E">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520523" w:rsidRPr="002F31D1" w:rsidRDefault="00520523" w:rsidP="006B1D3E">
            <w:pPr>
              <w:jc w:val="right"/>
              <w:rPr>
                <w:rFonts w:ascii="Arial" w:hAnsi="Arial" w:cs="Arial"/>
                <w:sz w:val="18"/>
                <w:szCs w:val="18"/>
              </w:rPr>
            </w:pPr>
            <w:r>
              <w:rPr>
                <w:rFonts w:ascii="Arial" w:hAnsi="Arial" w:cs="Arial"/>
                <w:sz w:val="18"/>
                <w:szCs w:val="18"/>
              </w:rPr>
              <w:t>1,463.22</w:t>
            </w:r>
          </w:p>
        </w:tc>
        <w:tc>
          <w:tcPr>
            <w:tcW w:w="0" w:type="auto"/>
            <w:shd w:val="clear" w:color="000000" w:fill="FFFFFF"/>
            <w:noWrap/>
            <w:vAlign w:val="bottom"/>
          </w:tcPr>
          <w:p w:rsidR="00520523" w:rsidRPr="002F31D1" w:rsidRDefault="00520523" w:rsidP="006B1D3E">
            <w:pPr>
              <w:rPr>
                <w:rFonts w:ascii="Arial" w:hAnsi="Arial" w:cs="Arial"/>
                <w:sz w:val="18"/>
                <w:szCs w:val="18"/>
              </w:rPr>
            </w:pPr>
          </w:p>
        </w:tc>
        <w:tc>
          <w:tcPr>
            <w:tcW w:w="0" w:type="auto"/>
            <w:shd w:val="clear" w:color="000000" w:fill="FFFFFF"/>
            <w:noWrap/>
            <w:vAlign w:val="bottom"/>
          </w:tcPr>
          <w:p w:rsidR="00520523" w:rsidRPr="002F31D1" w:rsidRDefault="00520523" w:rsidP="006B1D3E">
            <w:pPr>
              <w:jc w:val="right"/>
              <w:rPr>
                <w:rFonts w:ascii="Arial" w:hAnsi="Arial" w:cs="Arial"/>
                <w:sz w:val="18"/>
                <w:szCs w:val="18"/>
              </w:rPr>
            </w:pPr>
            <w:r w:rsidRPr="002F31D1">
              <w:rPr>
                <w:rFonts w:ascii="Arial" w:hAnsi="Arial" w:cs="Arial"/>
                <w:sz w:val="18"/>
                <w:szCs w:val="18"/>
              </w:rPr>
              <w:t>519.30</w:t>
            </w:r>
          </w:p>
        </w:tc>
      </w:tr>
      <w:tr w:rsidR="00520523" w:rsidRPr="002F31D1" w:rsidTr="006B1D3E">
        <w:trPr>
          <w:trHeight w:val="461"/>
          <w:jc w:val="center"/>
        </w:trPr>
        <w:tc>
          <w:tcPr>
            <w:tcW w:w="0" w:type="auto"/>
            <w:shd w:val="clear" w:color="000000" w:fill="FFFFFF"/>
            <w:noWrap/>
            <w:vAlign w:val="bottom"/>
            <w:hideMark/>
          </w:tcPr>
          <w:p w:rsidR="00520523" w:rsidRPr="002F31D1" w:rsidRDefault="00520523" w:rsidP="006B1D3E">
            <w:pPr>
              <w:rPr>
                <w:rFonts w:ascii="Arial" w:hAnsi="Arial" w:cs="Arial"/>
                <w:sz w:val="18"/>
                <w:szCs w:val="18"/>
              </w:rPr>
            </w:pPr>
            <w:r w:rsidRPr="002F31D1">
              <w:rPr>
                <w:rFonts w:ascii="Arial" w:hAnsi="Arial" w:cs="Arial"/>
                <w:sz w:val="18"/>
                <w:szCs w:val="18"/>
              </w:rPr>
              <w:t>Contribuciones por Pagar (Imp. S/Nóminas e IVA Causado)</w:t>
            </w:r>
          </w:p>
        </w:tc>
        <w:tc>
          <w:tcPr>
            <w:tcW w:w="0" w:type="auto"/>
            <w:shd w:val="clear" w:color="000000" w:fill="FFFFFF"/>
            <w:noWrap/>
            <w:vAlign w:val="bottom"/>
            <w:hideMark/>
          </w:tcPr>
          <w:p w:rsidR="00520523" w:rsidRPr="00343189" w:rsidRDefault="00520523" w:rsidP="006B1D3E">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center"/>
          </w:tcPr>
          <w:p w:rsidR="00520523" w:rsidRPr="002F31D1" w:rsidRDefault="00520523" w:rsidP="006B1D3E">
            <w:pPr>
              <w:jc w:val="right"/>
              <w:rPr>
                <w:rFonts w:ascii="Arial" w:hAnsi="Arial" w:cs="Arial"/>
                <w:sz w:val="18"/>
                <w:szCs w:val="18"/>
              </w:rPr>
            </w:pPr>
            <w:r>
              <w:rPr>
                <w:rFonts w:ascii="Arial" w:hAnsi="Arial" w:cs="Arial"/>
                <w:sz w:val="18"/>
                <w:szCs w:val="18"/>
              </w:rPr>
              <w:t>17,973.00</w:t>
            </w:r>
          </w:p>
        </w:tc>
        <w:tc>
          <w:tcPr>
            <w:tcW w:w="0" w:type="auto"/>
            <w:shd w:val="clear" w:color="000000" w:fill="FFFFFF"/>
            <w:noWrap/>
            <w:vAlign w:val="bottom"/>
          </w:tcPr>
          <w:p w:rsidR="00520523" w:rsidRPr="002F31D1" w:rsidRDefault="00520523" w:rsidP="006B1D3E">
            <w:pPr>
              <w:rPr>
                <w:rFonts w:ascii="Arial" w:hAnsi="Arial" w:cs="Arial"/>
                <w:sz w:val="18"/>
                <w:szCs w:val="18"/>
              </w:rPr>
            </w:pPr>
          </w:p>
        </w:tc>
        <w:tc>
          <w:tcPr>
            <w:tcW w:w="0" w:type="auto"/>
            <w:shd w:val="clear" w:color="000000" w:fill="FFFFFF"/>
            <w:noWrap/>
            <w:vAlign w:val="center"/>
          </w:tcPr>
          <w:p w:rsidR="00520523" w:rsidRPr="002F31D1" w:rsidRDefault="00520523" w:rsidP="006B1D3E">
            <w:pPr>
              <w:jc w:val="right"/>
              <w:rPr>
                <w:rFonts w:ascii="Arial" w:hAnsi="Arial" w:cs="Arial"/>
                <w:sz w:val="18"/>
                <w:szCs w:val="18"/>
              </w:rPr>
            </w:pPr>
            <w:r w:rsidRPr="002F31D1">
              <w:rPr>
                <w:rFonts w:ascii="Arial" w:hAnsi="Arial" w:cs="Arial"/>
                <w:sz w:val="18"/>
                <w:szCs w:val="18"/>
              </w:rPr>
              <w:t>62,884.00</w:t>
            </w:r>
          </w:p>
        </w:tc>
      </w:tr>
      <w:tr w:rsidR="00520523" w:rsidRPr="002F31D1" w:rsidTr="006B1D3E">
        <w:trPr>
          <w:trHeight w:val="461"/>
          <w:jc w:val="center"/>
        </w:trPr>
        <w:tc>
          <w:tcPr>
            <w:tcW w:w="0" w:type="auto"/>
            <w:shd w:val="clear" w:color="000000" w:fill="FFFFFF"/>
            <w:noWrap/>
            <w:hideMark/>
          </w:tcPr>
          <w:p w:rsidR="00520523" w:rsidRPr="002F31D1" w:rsidRDefault="00520523" w:rsidP="006B1D3E">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520523" w:rsidRPr="002F31D1" w:rsidRDefault="00520523" w:rsidP="006B1D3E">
            <w:pPr>
              <w:rPr>
                <w:rFonts w:ascii="Arial" w:hAnsi="Arial" w:cs="Arial"/>
                <w:b/>
                <w:bCs/>
                <w:sz w:val="18"/>
                <w:szCs w:val="18"/>
              </w:rPr>
            </w:pPr>
            <w:r w:rsidRPr="002F31D1">
              <w:rPr>
                <w:rFonts w:ascii="Arial" w:hAnsi="Arial" w:cs="Arial"/>
                <w:b/>
                <w:bCs/>
                <w:sz w:val="18"/>
                <w:szCs w:val="18"/>
              </w:rPr>
              <w:t> </w:t>
            </w:r>
          </w:p>
        </w:tc>
        <w:tc>
          <w:tcPr>
            <w:tcW w:w="0" w:type="auto"/>
            <w:shd w:val="clear" w:color="000000" w:fill="FFFFFF"/>
            <w:noWrap/>
            <w:hideMark/>
          </w:tcPr>
          <w:p w:rsidR="00520523" w:rsidRPr="002F31D1" w:rsidRDefault="00520523" w:rsidP="006B1D3E">
            <w:pPr>
              <w:jc w:val="right"/>
              <w:rPr>
                <w:rFonts w:ascii="Arial" w:hAnsi="Arial" w:cs="Arial"/>
                <w:b/>
                <w:bCs/>
                <w:sz w:val="18"/>
                <w:szCs w:val="18"/>
              </w:rPr>
            </w:pPr>
            <w:r>
              <w:rPr>
                <w:rFonts w:ascii="Arial" w:hAnsi="Arial" w:cs="Arial"/>
                <w:b/>
                <w:bCs/>
                <w:sz w:val="18"/>
                <w:szCs w:val="18"/>
              </w:rPr>
              <w:t>110,554.80</w:t>
            </w:r>
          </w:p>
        </w:tc>
        <w:tc>
          <w:tcPr>
            <w:tcW w:w="0" w:type="auto"/>
            <w:shd w:val="clear" w:color="000000" w:fill="FFFFFF"/>
            <w:noWrap/>
            <w:hideMark/>
          </w:tcPr>
          <w:p w:rsidR="00520523" w:rsidRPr="002F31D1" w:rsidRDefault="00520523" w:rsidP="006B1D3E">
            <w:pPr>
              <w:rPr>
                <w:rFonts w:ascii="Arial" w:hAnsi="Arial" w:cs="Arial"/>
                <w:b/>
                <w:bCs/>
                <w:sz w:val="18"/>
                <w:szCs w:val="18"/>
              </w:rPr>
            </w:pPr>
            <w:r w:rsidRPr="002F31D1">
              <w:rPr>
                <w:rFonts w:ascii="Arial" w:hAnsi="Arial" w:cs="Arial"/>
                <w:b/>
                <w:bCs/>
                <w:sz w:val="18"/>
                <w:szCs w:val="18"/>
              </w:rPr>
              <w:t> </w:t>
            </w:r>
          </w:p>
        </w:tc>
        <w:tc>
          <w:tcPr>
            <w:tcW w:w="0" w:type="auto"/>
            <w:shd w:val="clear" w:color="000000" w:fill="FFFFFF"/>
            <w:noWrap/>
            <w:hideMark/>
          </w:tcPr>
          <w:p w:rsidR="00520523" w:rsidRPr="002F31D1" w:rsidRDefault="00520523" w:rsidP="006B1D3E">
            <w:pPr>
              <w:jc w:val="right"/>
              <w:rPr>
                <w:rFonts w:ascii="Arial" w:hAnsi="Arial" w:cs="Arial"/>
                <w:b/>
                <w:bCs/>
                <w:sz w:val="18"/>
                <w:szCs w:val="18"/>
              </w:rPr>
            </w:pPr>
            <w:r w:rsidRPr="002F31D1">
              <w:rPr>
                <w:rFonts w:ascii="Arial" w:hAnsi="Arial" w:cs="Arial"/>
                <w:b/>
                <w:bCs/>
                <w:sz w:val="18"/>
                <w:szCs w:val="18"/>
              </w:rPr>
              <w:t>578,154</w:t>
            </w:r>
          </w:p>
        </w:tc>
      </w:tr>
    </w:tbl>
    <w:p w:rsidR="00520523" w:rsidRDefault="00520523" w:rsidP="00520523">
      <w:pPr>
        <w:pStyle w:val="Prrafodelista"/>
        <w:numPr>
          <w:ilvl w:val="1"/>
          <w:numId w:val="20"/>
        </w:numPr>
        <w:autoSpaceDE w:val="0"/>
        <w:autoSpaceDN w:val="0"/>
        <w:adjustRightInd w:val="0"/>
        <w:spacing w:before="80" w:after="0"/>
        <w:ind w:left="1418" w:firstLine="709"/>
        <w:jc w:val="both"/>
        <w:rPr>
          <w:rFonts w:ascii="Arial" w:hAnsi="Arial" w:cs="Arial"/>
          <w:color w:val="000000"/>
          <w:sz w:val="18"/>
          <w:szCs w:val="18"/>
        </w:rPr>
      </w:pPr>
      <w:r>
        <w:rPr>
          <w:rFonts w:ascii="Arial" w:hAnsi="Arial" w:cs="Arial"/>
          <w:sz w:val="18"/>
          <w:szCs w:val="18"/>
        </w:rPr>
        <w:t xml:space="preserve">Depreciación de los activos </w:t>
      </w:r>
    </w:p>
    <w:p w:rsidR="00520523" w:rsidRDefault="00520523" w:rsidP="00520523">
      <w:pPr>
        <w:autoSpaceDE w:val="0"/>
        <w:autoSpaceDN w:val="0"/>
        <w:adjustRightInd w:val="0"/>
        <w:spacing w:before="80" w:after="0"/>
        <w:jc w:val="both"/>
        <w:rPr>
          <w:rFonts w:ascii="Arial" w:hAnsi="Arial" w:cs="Arial"/>
          <w:color w:val="000000"/>
          <w:sz w:val="18"/>
          <w:szCs w:val="18"/>
        </w:rPr>
      </w:pPr>
    </w:p>
    <w:p w:rsidR="00520523" w:rsidRDefault="00520523" w:rsidP="00520523">
      <w:pPr>
        <w:autoSpaceDE w:val="0"/>
        <w:autoSpaceDN w:val="0"/>
        <w:adjustRightInd w:val="0"/>
        <w:spacing w:before="80" w:after="0"/>
        <w:jc w:val="both"/>
        <w:rPr>
          <w:rFonts w:ascii="Arial" w:hAnsi="Arial" w:cs="Arial"/>
          <w:color w:val="000000"/>
          <w:sz w:val="18"/>
          <w:szCs w:val="18"/>
        </w:rPr>
      </w:pPr>
      <w:r>
        <w:rPr>
          <w:rFonts w:ascii="Arial" w:hAnsi="Arial" w:cs="Arial"/>
          <w:color w:val="000000"/>
          <w:sz w:val="18"/>
          <w:szCs w:val="18"/>
        </w:rPr>
        <w:t>Referente  a la depreciación de los activos propiedad de la Comisión de Derechos Humanos de Tlaxcala, podemos mencionar que esta se llevara a cabo de manera anual al final del ejercicio 2015, esta se realizara en base a la tabla de depreciación de la Ley del Impuesto Sobre la Renta.</w:t>
      </w:r>
    </w:p>
    <w:p w:rsidR="00520523" w:rsidRPr="002F31D1" w:rsidRDefault="00520523" w:rsidP="00520523">
      <w:pPr>
        <w:autoSpaceDE w:val="0"/>
        <w:autoSpaceDN w:val="0"/>
        <w:adjustRightInd w:val="0"/>
        <w:spacing w:before="80"/>
        <w:jc w:val="both"/>
        <w:rPr>
          <w:rFonts w:ascii="Arial" w:hAnsi="Arial" w:cs="Arial"/>
          <w:color w:val="000000"/>
          <w:sz w:val="18"/>
          <w:szCs w:val="18"/>
        </w:rPr>
      </w:pPr>
    </w:p>
    <w:p w:rsidR="00520523" w:rsidRDefault="00520523" w:rsidP="00520523">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520523" w:rsidRPr="002F31D1" w:rsidRDefault="00520523" w:rsidP="00520523">
      <w:pPr>
        <w:pStyle w:val="Prrafodelista"/>
        <w:autoSpaceDE w:val="0"/>
        <w:autoSpaceDN w:val="0"/>
        <w:adjustRightInd w:val="0"/>
        <w:spacing w:before="80" w:after="0"/>
        <w:ind w:left="1069"/>
        <w:jc w:val="both"/>
        <w:rPr>
          <w:rFonts w:ascii="Arial" w:hAnsi="Arial" w:cs="Arial"/>
          <w:b/>
          <w:sz w:val="18"/>
          <w:szCs w:val="18"/>
        </w:rPr>
      </w:pPr>
    </w:p>
    <w:p w:rsidR="00520523" w:rsidRDefault="00520523" w:rsidP="00520523">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520523" w:rsidRPr="00C76D92" w:rsidRDefault="00520523" w:rsidP="00520523">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tblPr>
      <w:tblGrid>
        <w:gridCol w:w="7376"/>
        <w:gridCol w:w="1856"/>
        <w:gridCol w:w="2128"/>
      </w:tblGrid>
      <w:tr w:rsidR="00520523" w:rsidRPr="002F31D1" w:rsidTr="006B1D3E">
        <w:trPr>
          <w:trHeight w:val="255"/>
        </w:trPr>
        <w:tc>
          <w:tcPr>
            <w:tcW w:w="7376" w:type="dxa"/>
            <w:tcBorders>
              <w:top w:val="nil"/>
              <w:left w:val="nil"/>
              <w:bottom w:val="nil"/>
              <w:right w:val="nil"/>
            </w:tcBorders>
            <w:shd w:val="clear" w:color="000000" w:fill="00B050"/>
            <w:noWrap/>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000000" w:fill="00B050"/>
            <w:noWrap/>
            <w:vAlign w:val="center"/>
            <w:hideMark/>
          </w:tcPr>
          <w:p w:rsidR="00520523" w:rsidRPr="002F31D1" w:rsidRDefault="00520523" w:rsidP="006B1D3E">
            <w:pPr>
              <w:jc w:val="center"/>
              <w:rPr>
                <w:rFonts w:ascii="Arial" w:hAnsi="Arial" w:cs="Arial"/>
                <w:b/>
                <w:bCs/>
                <w:color w:val="FFFFFF"/>
                <w:sz w:val="18"/>
                <w:szCs w:val="18"/>
              </w:rPr>
            </w:pPr>
            <w:r>
              <w:rPr>
                <w:rFonts w:ascii="Arial" w:hAnsi="Arial" w:cs="Arial"/>
                <w:b/>
                <w:bCs/>
                <w:color w:val="FFFFFF"/>
                <w:sz w:val="18"/>
                <w:szCs w:val="18"/>
              </w:rPr>
              <w:t>(Enero-Junio) 2015</w:t>
            </w:r>
          </w:p>
        </w:tc>
        <w:tc>
          <w:tcPr>
            <w:tcW w:w="2128" w:type="dxa"/>
            <w:tcBorders>
              <w:top w:val="nil"/>
              <w:left w:val="nil"/>
              <w:bottom w:val="nil"/>
              <w:right w:val="nil"/>
            </w:tcBorders>
            <w:shd w:val="clear" w:color="000000" w:fill="00B050"/>
            <w:vAlign w:val="center"/>
            <w:hideMark/>
          </w:tcPr>
          <w:p w:rsidR="00520523" w:rsidRPr="002F31D1" w:rsidRDefault="00520523" w:rsidP="006B1D3E">
            <w:pPr>
              <w:jc w:val="center"/>
              <w:rPr>
                <w:rFonts w:ascii="Arial" w:hAnsi="Arial" w:cs="Arial"/>
                <w:b/>
                <w:bCs/>
                <w:color w:val="FFFFFF"/>
                <w:sz w:val="18"/>
                <w:szCs w:val="18"/>
              </w:rPr>
            </w:pPr>
            <w:r>
              <w:rPr>
                <w:rFonts w:ascii="Arial" w:hAnsi="Arial" w:cs="Arial"/>
                <w:b/>
                <w:bCs/>
                <w:color w:val="FFFFFF"/>
                <w:sz w:val="18"/>
                <w:szCs w:val="18"/>
              </w:rPr>
              <w:t>2014</w:t>
            </w:r>
          </w:p>
        </w:tc>
      </w:tr>
      <w:tr w:rsidR="00520523" w:rsidRPr="002F31D1" w:rsidTr="006B1D3E">
        <w:trPr>
          <w:trHeight w:val="255"/>
        </w:trPr>
        <w:tc>
          <w:tcPr>
            <w:tcW w:w="7376" w:type="dxa"/>
            <w:tcBorders>
              <w:top w:val="nil"/>
              <w:left w:val="nil"/>
              <w:bottom w:val="nil"/>
              <w:right w:val="nil"/>
            </w:tcBorders>
            <w:shd w:val="clear" w:color="000000" w:fill="FFFFFF"/>
            <w:noWrap/>
            <w:vAlign w:val="center"/>
            <w:hideMark/>
          </w:tcPr>
          <w:p w:rsidR="00520523" w:rsidRPr="002F31D1" w:rsidRDefault="00520523" w:rsidP="006B1D3E">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520523" w:rsidRPr="002F31D1" w:rsidRDefault="00520523" w:rsidP="006B1D3E">
            <w:pPr>
              <w:jc w:val="right"/>
              <w:rPr>
                <w:rFonts w:ascii="Arial" w:hAnsi="Arial" w:cs="Arial"/>
                <w:color w:val="000000"/>
                <w:sz w:val="18"/>
                <w:szCs w:val="18"/>
              </w:rPr>
            </w:pPr>
            <w:r>
              <w:rPr>
                <w:rFonts w:ascii="Arial" w:hAnsi="Arial" w:cs="Arial"/>
                <w:color w:val="000000"/>
                <w:sz w:val="18"/>
                <w:szCs w:val="18"/>
              </w:rPr>
              <w:t>8,841,078</w:t>
            </w:r>
          </w:p>
        </w:tc>
        <w:tc>
          <w:tcPr>
            <w:tcW w:w="2128" w:type="dxa"/>
            <w:tcBorders>
              <w:top w:val="nil"/>
              <w:left w:val="nil"/>
              <w:bottom w:val="nil"/>
              <w:right w:val="nil"/>
            </w:tcBorders>
            <w:shd w:val="clear" w:color="000000" w:fill="FFFFFF"/>
            <w:noWrap/>
            <w:vAlign w:val="center"/>
            <w:hideMark/>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17,816,219</w:t>
            </w:r>
          </w:p>
        </w:tc>
      </w:tr>
      <w:tr w:rsidR="00520523" w:rsidRPr="002F31D1" w:rsidTr="006B1D3E">
        <w:trPr>
          <w:trHeight w:val="255"/>
        </w:trPr>
        <w:tc>
          <w:tcPr>
            <w:tcW w:w="7376" w:type="dxa"/>
            <w:tcBorders>
              <w:top w:val="nil"/>
              <w:left w:val="nil"/>
              <w:bottom w:val="nil"/>
              <w:right w:val="nil"/>
            </w:tcBorders>
            <w:shd w:val="clear" w:color="000000" w:fill="FFFFFF"/>
            <w:noWrap/>
            <w:vAlign w:val="center"/>
            <w:hideMark/>
          </w:tcPr>
          <w:p w:rsidR="00520523" w:rsidRPr="002F31D1" w:rsidRDefault="00520523" w:rsidP="006B1D3E">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520523" w:rsidRPr="00EA6951" w:rsidRDefault="00520523" w:rsidP="006B1D3E">
            <w:pPr>
              <w:jc w:val="right"/>
              <w:rPr>
                <w:rFonts w:ascii="Arial" w:hAnsi="Arial" w:cs="Arial"/>
                <w:b/>
                <w:color w:val="000000"/>
                <w:sz w:val="18"/>
                <w:szCs w:val="18"/>
                <w:u w:val="double"/>
              </w:rPr>
            </w:pPr>
            <w:r w:rsidRPr="00EA6951">
              <w:rPr>
                <w:rFonts w:ascii="Arial" w:hAnsi="Arial" w:cs="Arial"/>
                <w:b/>
                <w:color w:val="000000"/>
                <w:sz w:val="18"/>
                <w:szCs w:val="18"/>
                <w:u w:val="double"/>
              </w:rPr>
              <w:t>8,841,078</w:t>
            </w:r>
          </w:p>
        </w:tc>
        <w:tc>
          <w:tcPr>
            <w:tcW w:w="2128" w:type="dxa"/>
            <w:tcBorders>
              <w:top w:val="nil"/>
              <w:left w:val="nil"/>
              <w:bottom w:val="nil"/>
              <w:right w:val="nil"/>
            </w:tcBorders>
            <w:shd w:val="clear" w:color="000000" w:fill="FFFFFF"/>
            <w:noWrap/>
            <w:vAlign w:val="center"/>
            <w:hideMark/>
          </w:tcPr>
          <w:p w:rsidR="00520523" w:rsidRPr="002F31D1" w:rsidRDefault="00520523" w:rsidP="006B1D3E">
            <w:pPr>
              <w:jc w:val="right"/>
              <w:rPr>
                <w:rFonts w:ascii="Arial" w:hAnsi="Arial" w:cs="Arial"/>
                <w:b/>
                <w:color w:val="000000"/>
                <w:sz w:val="18"/>
                <w:szCs w:val="18"/>
                <w:u w:val="double"/>
              </w:rPr>
            </w:pPr>
            <w:r w:rsidRPr="002F31D1">
              <w:rPr>
                <w:rFonts w:ascii="Arial" w:hAnsi="Arial" w:cs="Arial"/>
                <w:b/>
                <w:color w:val="000000"/>
                <w:sz w:val="18"/>
                <w:szCs w:val="18"/>
                <w:u w:val="double"/>
              </w:rPr>
              <w:t>17,816,219</w:t>
            </w:r>
          </w:p>
        </w:tc>
      </w:tr>
    </w:tbl>
    <w:p w:rsidR="00520523" w:rsidRDefault="00520523" w:rsidP="00520523">
      <w:pPr>
        <w:autoSpaceDE w:val="0"/>
        <w:autoSpaceDN w:val="0"/>
        <w:adjustRightInd w:val="0"/>
        <w:spacing w:before="80"/>
        <w:ind w:left="709"/>
        <w:jc w:val="both"/>
        <w:rPr>
          <w:rFonts w:ascii="Arial" w:hAnsi="Arial" w:cs="Arial"/>
          <w:sz w:val="18"/>
          <w:szCs w:val="18"/>
        </w:rPr>
      </w:pPr>
    </w:p>
    <w:p w:rsidR="00520523" w:rsidRDefault="00520523" w:rsidP="00520523">
      <w:pPr>
        <w:autoSpaceDE w:val="0"/>
        <w:autoSpaceDN w:val="0"/>
        <w:adjustRightInd w:val="0"/>
        <w:spacing w:before="80"/>
        <w:ind w:left="709"/>
        <w:jc w:val="both"/>
        <w:rPr>
          <w:rFonts w:ascii="Arial" w:hAnsi="Arial" w:cs="Arial"/>
          <w:sz w:val="18"/>
          <w:szCs w:val="18"/>
        </w:rPr>
      </w:pPr>
    </w:p>
    <w:p w:rsidR="00520523" w:rsidRDefault="00520523" w:rsidP="00520523">
      <w:pPr>
        <w:autoSpaceDE w:val="0"/>
        <w:autoSpaceDN w:val="0"/>
        <w:adjustRightInd w:val="0"/>
        <w:spacing w:before="80"/>
        <w:ind w:left="709"/>
        <w:jc w:val="both"/>
        <w:rPr>
          <w:rFonts w:ascii="Arial" w:hAnsi="Arial" w:cs="Arial"/>
          <w:sz w:val="18"/>
          <w:szCs w:val="18"/>
        </w:rPr>
      </w:pPr>
    </w:p>
    <w:p w:rsidR="00520523" w:rsidRDefault="00520523" w:rsidP="00520523">
      <w:pPr>
        <w:autoSpaceDE w:val="0"/>
        <w:autoSpaceDN w:val="0"/>
        <w:adjustRightInd w:val="0"/>
        <w:spacing w:before="80"/>
        <w:ind w:left="709"/>
        <w:jc w:val="both"/>
        <w:rPr>
          <w:rFonts w:ascii="Arial" w:hAnsi="Arial" w:cs="Arial"/>
          <w:sz w:val="18"/>
          <w:szCs w:val="18"/>
        </w:rPr>
      </w:pPr>
    </w:p>
    <w:p w:rsidR="00520523" w:rsidRDefault="00520523" w:rsidP="00520523">
      <w:pPr>
        <w:autoSpaceDE w:val="0"/>
        <w:autoSpaceDN w:val="0"/>
        <w:adjustRightInd w:val="0"/>
        <w:spacing w:before="80"/>
        <w:ind w:left="709"/>
        <w:jc w:val="both"/>
        <w:rPr>
          <w:rFonts w:ascii="Arial" w:hAnsi="Arial" w:cs="Arial"/>
          <w:sz w:val="18"/>
          <w:szCs w:val="18"/>
        </w:rPr>
      </w:pPr>
    </w:p>
    <w:p w:rsidR="00520523" w:rsidRDefault="00520523" w:rsidP="00520523">
      <w:pPr>
        <w:autoSpaceDE w:val="0"/>
        <w:autoSpaceDN w:val="0"/>
        <w:adjustRightInd w:val="0"/>
        <w:spacing w:before="80"/>
        <w:ind w:left="709"/>
        <w:jc w:val="both"/>
        <w:rPr>
          <w:rFonts w:ascii="Arial" w:hAnsi="Arial" w:cs="Arial"/>
          <w:sz w:val="18"/>
          <w:szCs w:val="18"/>
        </w:rPr>
      </w:pPr>
    </w:p>
    <w:p w:rsidR="00520523" w:rsidRPr="00AF6A66" w:rsidRDefault="00520523" w:rsidP="00520523">
      <w:pPr>
        <w:autoSpaceDE w:val="0"/>
        <w:autoSpaceDN w:val="0"/>
        <w:adjustRightInd w:val="0"/>
        <w:spacing w:before="80"/>
        <w:ind w:left="709"/>
        <w:jc w:val="both"/>
        <w:rPr>
          <w:rFonts w:ascii="Arial" w:hAnsi="Arial" w:cs="Arial"/>
          <w:sz w:val="18"/>
          <w:szCs w:val="18"/>
        </w:rPr>
      </w:pPr>
    </w:p>
    <w:p w:rsidR="00520523" w:rsidRDefault="00520523" w:rsidP="00520523">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520523" w:rsidRPr="00C76D92" w:rsidRDefault="00520523" w:rsidP="00520523">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tblPr>
      <w:tblGrid>
        <w:gridCol w:w="2451"/>
        <w:gridCol w:w="1761"/>
        <w:gridCol w:w="751"/>
        <w:gridCol w:w="1342"/>
        <w:gridCol w:w="751"/>
      </w:tblGrid>
      <w:tr w:rsidR="00520523" w:rsidRPr="002F31D1" w:rsidTr="006B1D3E">
        <w:trPr>
          <w:trHeight w:val="255"/>
          <w:jc w:val="center"/>
        </w:trPr>
        <w:tc>
          <w:tcPr>
            <w:tcW w:w="0" w:type="auto"/>
            <w:tcBorders>
              <w:top w:val="nil"/>
              <w:left w:val="nil"/>
              <w:bottom w:val="nil"/>
              <w:right w:val="nil"/>
            </w:tcBorders>
            <w:shd w:val="clear" w:color="auto" w:fill="00B050"/>
            <w:noWrap/>
            <w:vAlign w:val="center"/>
            <w:hideMark/>
          </w:tcPr>
          <w:p w:rsidR="00520523" w:rsidRPr="002F31D1" w:rsidRDefault="00520523" w:rsidP="006B1D3E">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00B050"/>
            <w:noWrap/>
            <w:vAlign w:val="center"/>
            <w:hideMark/>
          </w:tcPr>
          <w:p w:rsidR="00520523" w:rsidRPr="002F31D1" w:rsidRDefault="00520523" w:rsidP="006B1D3E">
            <w:pPr>
              <w:jc w:val="right"/>
              <w:rPr>
                <w:rFonts w:ascii="Arial" w:hAnsi="Arial" w:cs="Arial"/>
                <w:b/>
                <w:bCs/>
                <w:color w:val="FFFFFF"/>
                <w:sz w:val="18"/>
                <w:szCs w:val="18"/>
              </w:rPr>
            </w:pPr>
            <w:r>
              <w:rPr>
                <w:rFonts w:ascii="Arial" w:hAnsi="Arial" w:cs="Arial"/>
                <w:b/>
                <w:bCs/>
                <w:color w:val="FFFFFF"/>
                <w:sz w:val="18"/>
                <w:szCs w:val="18"/>
              </w:rPr>
              <w:t>(Enero-Junio) 2015</w:t>
            </w:r>
          </w:p>
        </w:tc>
        <w:tc>
          <w:tcPr>
            <w:tcW w:w="0" w:type="auto"/>
            <w:tcBorders>
              <w:top w:val="nil"/>
              <w:left w:val="nil"/>
              <w:bottom w:val="nil"/>
              <w:right w:val="nil"/>
            </w:tcBorders>
            <w:shd w:val="clear" w:color="auto" w:fill="00B050"/>
            <w:noWrap/>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00B050"/>
            <w:noWrap/>
            <w:vAlign w:val="center"/>
            <w:hideMark/>
          </w:tcPr>
          <w:p w:rsidR="00520523" w:rsidRPr="002F31D1" w:rsidRDefault="00520523" w:rsidP="006B1D3E">
            <w:pPr>
              <w:jc w:val="right"/>
              <w:rPr>
                <w:rFonts w:ascii="Arial" w:hAnsi="Arial" w:cs="Arial"/>
                <w:b/>
                <w:bCs/>
                <w:color w:val="FFFFFF"/>
                <w:sz w:val="18"/>
                <w:szCs w:val="18"/>
              </w:rPr>
            </w:pPr>
            <w:r w:rsidRPr="002F31D1">
              <w:rPr>
                <w:rFonts w:ascii="Arial" w:hAnsi="Arial" w:cs="Arial"/>
                <w:b/>
                <w:bCs/>
                <w:color w:val="FFFFFF"/>
                <w:sz w:val="18"/>
                <w:szCs w:val="18"/>
              </w:rPr>
              <w:t>201</w:t>
            </w:r>
            <w:r>
              <w:rPr>
                <w:rFonts w:ascii="Arial" w:hAnsi="Arial" w:cs="Arial"/>
                <w:b/>
                <w:bCs/>
                <w:color w:val="FFFFFF"/>
                <w:sz w:val="18"/>
                <w:szCs w:val="18"/>
              </w:rPr>
              <w:t>4</w:t>
            </w:r>
          </w:p>
        </w:tc>
        <w:tc>
          <w:tcPr>
            <w:tcW w:w="0" w:type="auto"/>
            <w:tcBorders>
              <w:top w:val="nil"/>
              <w:left w:val="nil"/>
              <w:bottom w:val="nil"/>
              <w:right w:val="nil"/>
            </w:tcBorders>
            <w:shd w:val="clear" w:color="auto" w:fill="00B050"/>
            <w:noWrap/>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w:t>
            </w:r>
          </w:p>
        </w:tc>
      </w:tr>
      <w:tr w:rsidR="00520523" w:rsidRPr="002F31D1" w:rsidTr="006B1D3E">
        <w:trPr>
          <w:trHeight w:val="255"/>
          <w:jc w:val="center"/>
        </w:trPr>
        <w:tc>
          <w:tcPr>
            <w:tcW w:w="0" w:type="auto"/>
            <w:tcBorders>
              <w:top w:val="nil"/>
              <w:left w:val="nil"/>
              <w:bottom w:val="nil"/>
              <w:right w:val="nil"/>
            </w:tcBorders>
            <w:shd w:val="clear" w:color="auto" w:fill="auto"/>
            <w:noWrap/>
            <w:vAlign w:val="center"/>
            <w:hideMark/>
          </w:tcPr>
          <w:p w:rsidR="00520523" w:rsidRPr="002F31D1" w:rsidRDefault="00520523" w:rsidP="006B1D3E">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 xml:space="preserve">      </w:t>
            </w:r>
            <w:r>
              <w:rPr>
                <w:rFonts w:ascii="Arial" w:hAnsi="Arial" w:cs="Arial"/>
                <w:sz w:val="18"/>
                <w:szCs w:val="18"/>
              </w:rPr>
              <w:t>6,600,434</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Pr>
                <w:rFonts w:ascii="Arial" w:hAnsi="Arial" w:cs="Arial"/>
                <w:sz w:val="18"/>
                <w:szCs w:val="18"/>
              </w:rPr>
              <w:t>79.05</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 xml:space="preserve">      15,195,167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85.58%</w:t>
            </w:r>
          </w:p>
        </w:tc>
      </w:tr>
      <w:tr w:rsidR="00520523" w:rsidRPr="002F31D1" w:rsidTr="006B1D3E">
        <w:trPr>
          <w:trHeight w:val="255"/>
          <w:jc w:val="center"/>
        </w:trPr>
        <w:tc>
          <w:tcPr>
            <w:tcW w:w="0" w:type="auto"/>
            <w:tcBorders>
              <w:top w:val="nil"/>
              <w:left w:val="nil"/>
              <w:bottom w:val="nil"/>
              <w:right w:val="nil"/>
            </w:tcBorders>
            <w:shd w:val="clear" w:color="auto" w:fill="auto"/>
            <w:noWrap/>
            <w:vAlign w:val="center"/>
            <w:hideMark/>
          </w:tcPr>
          <w:p w:rsidR="00520523" w:rsidRPr="002F31D1" w:rsidRDefault="00520523" w:rsidP="006B1D3E">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Pr>
                <w:rFonts w:ascii="Arial" w:hAnsi="Arial" w:cs="Arial"/>
                <w:sz w:val="18"/>
                <w:szCs w:val="18"/>
              </w:rPr>
              <w:t xml:space="preserve">          452,468</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Pr>
                <w:rFonts w:ascii="Arial" w:hAnsi="Arial" w:cs="Arial"/>
                <w:sz w:val="18"/>
                <w:szCs w:val="18"/>
              </w:rPr>
              <w:t>5.42</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 xml:space="preserve">          772,416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4.35%</w:t>
            </w:r>
          </w:p>
        </w:tc>
      </w:tr>
      <w:tr w:rsidR="00520523" w:rsidRPr="002F31D1" w:rsidTr="006B1D3E">
        <w:trPr>
          <w:trHeight w:val="255"/>
          <w:jc w:val="center"/>
        </w:trPr>
        <w:tc>
          <w:tcPr>
            <w:tcW w:w="0" w:type="auto"/>
            <w:tcBorders>
              <w:top w:val="nil"/>
              <w:left w:val="nil"/>
              <w:bottom w:val="nil"/>
              <w:right w:val="nil"/>
            </w:tcBorders>
            <w:shd w:val="clear" w:color="auto" w:fill="auto"/>
            <w:noWrap/>
            <w:vAlign w:val="center"/>
            <w:hideMark/>
          </w:tcPr>
          <w:p w:rsidR="00520523" w:rsidRPr="002F31D1" w:rsidRDefault="00520523" w:rsidP="006B1D3E">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Pr>
                <w:rFonts w:ascii="Arial" w:hAnsi="Arial" w:cs="Arial"/>
                <w:sz w:val="18"/>
                <w:szCs w:val="18"/>
              </w:rPr>
              <w:t xml:space="preserve">        1,296,527</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Pr>
                <w:rFonts w:ascii="Arial" w:hAnsi="Arial" w:cs="Arial"/>
                <w:sz w:val="18"/>
                <w:szCs w:val="18"/>
              </w:rPr>
              <w:t>15.53</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 xml:space="preserve">        1,787,651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sz w:val="18"/>
                <w:szCs w:val="18"/>
              </w:rPr>
            </w:pPr>
            <w:r w:rsidRPr="002F31D1">
              <w:rPr>
                <w:rFonts w:ascii="Arial" w:hAnsi="Arial" w:cs="Arial"/>
                <w:sz w:val="18"/>
                <w:szCs w:val="18"/>
              </w:rPr>
              <w:t>10.07%</w:t>
            </w:r>
          </w:p>
        </w:tc>
      </w:tr>
      <w:tr w:rsidR="00520523" w:rsidRPr="002F31D1" w:rsidTr="006B1D3E">
        <w:trPr>
          <w:trHeight w:val="255"/>
          <w:jc w:val="center"/>
        </w:trPr>
        <w:tc>
          <w:tcPr>
            <w:tcW w:w="0" w:type="auto"/>
            <w:tcBorders>
              <w:top w:val="nil"/>
              <w:left w:val="nil"/>
              <w:bottom w:val="nil"/>
              <w:right w:val="nil"/>
            </w:tcBorders>
            <w:shd w:val="clear" w:color="auto" w:fill="auto"/>
            <w:noWrap/>
            <w:vAlign w:val="center"/>
            <w:hideMark/>
          </w:tcPr>
          <w:p w:rsidR="00520523" w:rsidRPr="002F31D1" w:rsidRDefault="00520523" w:rsidP="006B1D3E">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Pr>
                <w:rFonts w:ascii="Arial" w:hAnsi="Arial" w:cs="Arial"/>
                <w:b/>
                <w:bCs/>
                <w:sz w:val="18"/>
                <w:szCs w:val="18"/>
                <w:u w:val="double"/>
              </w:rPr>
              <w:t>8,349,429</w:t>
            </w:r>
          </w:p>
        </w:tc>
        <w:tc>
          <w:tcPr>
            <w:tcW w:w="0" w:type="auto"/>
            <w:tcBorders>
              <w:top w:val="nil"/>
              <w:left w:val="nil"/>
              <w:bottom w:val="nil"/>
              <w:right w:val="nil"/>
            </w:tcBorders>
            <w:shd w:val="clear" w:color="auto" w:fill="auto"/>
            <w:noWrap/>
            <w:vAlign w:val="center"/>
            <w:hideMark/>
          </w:tcPr>
          <w:p w:rsidR="00520523" w:rsidRPr="002F31D1" w:rsidRDefault="00520523" w:rsidP="006B1D3E">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520523" w:rsidRPr="002F31D1" w:rsidRDefault="00520523" w:rsidP="006B1D3E">
            <w:pPr>
              <w:spacing w:before="80"/>
              <w:jc w:val="both"/>
              <w:rPr>
                <w:rFonts w:ascii="Arial" w:hAnsi="Arial" w:cs="Arial"/>
                <w:b/>
                <w:bCs/>
                <w:sz w:val="18"/>
                <w:szCs w:val="18"/>
                <w:u w:val="double"/>
              </w:rPr>
            </w:pPr>
            <w:r w:rsidRPr="002F31D1">
              <w:rPr>
                <w:rFonts w:ascii="Arial" w:hAnsi="Arial" w:cs="Arial"/>
                <w:b/>
                <w:bCs/>
                <w:sz w:val="18"/>
                <w:szCs w:val="18"/>
                <w:u w:val="double"/>
              </w:rPr>
              <w:t xml:space="preserve">   $ 17,755,234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bl>
    <w:p w:rsidR="00520523" w:rsidRPr="002F31D1" w:rsidRDefault="00520523" w:rsidP="00520523">
      <w:pPr>
        <w:autoSpaceDE w:val="0"/>
        <w:autoSpaceDN w:val="0"/>
        <w:adjustRightInd w:val="0"/>
        <w:spacing w:before="80"/>
        <w:jc w:val="both"/>
        <w:rPr>
          <w:rFonts w:ascii="Arial" w:hAnsi="Arial" w:cs="Arial"/>
          <w:b/>
          <w:sz w:val="18"/>
          <w:szCs w:val="18"/>
        </w:rPr>
      </w:pPr>
    </w:p>
    <w:p w:rsidR="00520523" w:rsidRDefault="00520523" w:rsidP="00520523">
      <w:pPr>
        <w:autoSpaceDE w:val="0"/>
        <w:autoSpaceDN w:val="0"/>
        <w:adjustRightInd w:val="0"/>
        <w:spacing w:before="80"/>
        <w:jc w:val="both"/>
        <w:rPr>
          <w:rFonts w:ascii="Arial" w:hAnsi="Arial" w:cs="Arial"/>
          <w:color w:val="000000"/>
          <w:sz w:val="18"/>
          <w:szCs w:val="18"/>
        </w:rPr>
      </w:pPr>
      <w:r>
        <w:rPr>
          <w:rFonts w:ascii="Arial" w:hAnsi="Arial" w:cs="Arial"/>
          <w:sz w:val="18"/>
          <w:szCs w:val="18"/>
        </w:rPr>
        <w:t>Al cierre del segundo trimestre (abril-junio) 2015</w:t>
      </w:r>
      <w:r w:rsidRPr="002F31D1">
        <w:rPr>
          <w:rFonts w:ascii="Arial" w:hAnsi="Arial" w:cs="Arial"/>
          <w:sz w:val="18"/>
          <w:szCs w:val="18"/>
        </w:rPr>
        <w:t xml:space="preserve"> los Servicios Personales corresponden el </w:t>
      </w:r>
      <w:r>
        <w:rPr>
          <w:rFonts w:ascii="Arial" w:hAnsi="Arial" w:cs="Arial"/>
          <w:sz w:val="18"/>
          <w:szCs w:val="18"/>
        </w:rPr>
        <w:t>75.68 %, siendo</w:t>
      </w:r>
      <w:r w:rsidRPr="002F31D1">
        <w:rPr>
          <w:rFonts w:ascii="Arial" w:hAnsi="Arial" w:cs="Arial"/>
          <w:sz w:val="18"/>
          <w:szCs w:val="18"/>
        </w:rPr>
        <w:t xml:space="preserve"> el gasto más representativo de la Comisión, gasto razonable en función a las actividades que desempeña la CEDHT. </w:t>
      </w:r>
    </w:p>
    <w:p w:rsidR="00520523" w:rsidRPr="002F31D1" w:rsidRDefault="00520523" w:rsidP="00520523">
      <w:pPr>
        <w:autoSpaceDE w:val="0"/>
        <w:autoSpaceDN w:val="0"/>
        <w:adjustRightInd w:val="0"/>
        <w:spacing w:before="80"/>
        <w:jc w:val="both"/>
        <w:rPr>
          <w:rFonts w:ascii="Arial" w:hAnsi="Arial" w:cs="Arial"/>
          <w:color w:val="000000"/>
          <w:sz w:val="18"/>
          <w:szCs w:val="18"/>
        </w:rPr>
      </w:pPr>
    </w:p>
    <w:p w:rsidR="00520523" w:rsidRPr="00343189" w:rsidRDefault="00520523" w:rsidP="00520523">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520523" w:rsidRPr="002F31D1" w:rsidRDefault="00520523" w:rsidP="00520523">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520523" w:rsidRPr="002F31D1" w:rsidRDefault="00520523" w:rsidP="00520523">
      <w:pPr>
        <w:autoSpaceDE w:val="0"/>
        <w:autoSpaceDN w:val="0"/>
        <w:adjustRightInd w:val="0"/>
        <w:spacing w:before="80"/>
        <w:jc w:val="both"/>
        <w:rPr>
          <w:rFonts w:ascii="Arial" w:hAnsi="Arial" w:cs="Arial"/>
          <w:sz w:val="18"/>
          <w:szCs w:val="18"/>
        </w:rPr>
      </w:pPr>
      <w:r w:rsidRPr="002F31D1">
        <w:rPr>
          <w:rFonts w:ascii="Arial" w:hAnsi="Arial" w:cs="Arial"/>
          <w:sz w:val="18"/>
          <w:szCs w:val="18"/>
        </w:rPr>
        <w:t>Cabe mencionar que la CEDHT no cuenta con patrimonio Contribuido y los recursos que modificaron el patrimonio generado del ejercicio 201</w:t>
      </w:r>
      <w:r>
        <w:rPr>
          <w:rFonts w:ascii="Arial" w:hAnsi="Arial" w:cs="Arial"/>
          <w:sz w:val="18"/>
          <w:szCs w:val="18"/>
        </w:rPr>
        <w:t>5</w:t>
      </w:r>
      <w:r w:rsidRPr="002F31D1">
        <w:rPr>
          <w:rFonts w:ascii="Arial" w:hAnsi="Arial" w:cs="Arial"/>
          <w:sz w:val="18"/>
          <w:szCs w:val="18"/>
        </w:rPr>
        <w:t xml:space="preserve"> de esta Comisión son los siguientes: </w:t>
      </w:r>
    </w:p>
    <w:p w:rsidR="00520523" w:rsidRPr="002F31D1" w:rsidRDefault="00520523" w:rsidP="00520523">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tblPr>
      <w:tblGrid>
        <w:gridCol w:w="4493"/>
        <w:gridCol w:w="941"/>
      </w:tblGrid>
      <w:tr w:rsidR="00520523" w:rsidRPr="002F31D1" w:rsidTr="006B1D3E">
        <w:trPr>
          <w:trHeight w:val="300"/>
          <w:jc w:val="center"/>
        </w:trPr>
        <w:tc>
          <w:tcPr>
            <w:tcW w:w="0" w:type="auto"/>
            <w:tcBorders>
              <w:top w:val="nil"/>
              <w:left w:val="nil"/>
              <w:bottom w:val="nil"/>
              <w:right w:val="nil"/>
            </w:tcBorders>
            <w:shd w:val="clear" w:color="auto" w:fill="00B050"/>
            <w:noWrap/>
            <w:vAlign w:val="center"/>
            <w:hideMark/>
          </w:tcPr>
          <w:p w:rsidR="00520523" w:rsidRPr="002F31D1" w:rsidRDefault="00520523" w:rsidP="006B1D3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00B050"/>
            <w:noWrap/>
            <w:vAlign w:val="center"/>
            <w:hideMark/>
          </w:tcPr>
          <w:p w:rsidR="00520523" w:rsidRPr="002F31D1" w:rsidRDefault="00520523" w:rsidP="006B1D3E">
            <w:pPr>
              <w:jc w:val="right"/>
              <w:rPr>
                <w:rFonts w:ascii="Arial" w:hAnsi="Arial" w:cs="Arial"/>
                <w:b/>
                <w:bCs/>
                <w:color w:val="FFFFFF"/>
                <w:sz w:val="18"/>
                <w:szCs w:val="18"/>
              </w:rPr>
            </w:pPr>
            <w:r w:rsidRPr="002F31D1">
              <w:rPr>
                <w:rFonts w:ascii="Arial" w:hAnsi="Arial" w:cs="Arial"/>
                <w:b/>
                <w:bCs/>
                <w:color w:val="FFFFFF"/>
                <w:sz w:val="18"/>
                <w:szCs w:val="18"/>
              </w:rPr>
              <w:t>Importe</w:t>
            </w:r>
          </w:p>
        </w:tc>
      </w:tr>
      <w:tr w:rsidR="00520523" w:rsidRPr="002F31D1" w:rsidTr="006B1D3E">
        <w:trPr>
          <w:trHeight w:val="300"/>
          <w:jc w:val="center"/>
        </w:trPr>
        <w:tc>
          <w:tcPr>
            <w:tcW w:w="0" w:type="auto"/>
            <w:tcBorders>
              <w:top w:val="nil"/>
              <w:left w:val="nil"/>
              <w:bottom w:val="nil"/>
              <w:right w:val="nil"/>
            </w:tcBorders>
            <w:shd w:val="clear" w:color="auto" w:fill="auto"/>
            <w:noWrap/>
            <w:vAlign w:val="center"/>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color w:val="000000"/>
                <w:sz w:val="18"/>
                <w:szCs w:val="18"/>
              </w:rPr>
            </w:pPr>
            <w:r>
              <w:rPr>
                <w:rFonts w:ascii="Arial" w:hAnsi="Arial" w:cs="Arial"/>
                <w:color w:val="000000"/>
                <w:sz w:val="18"/>
                <w:szCs w:val="18"/>
              </w:rPr>
              <w:t>3,310,693</w:t>
            </w:r>
          </w:p>
        </w:tc>
      </w:tr>
      <w:tr w:rsidR="00520523" w:rsidRPr="002F31D1" w:rsidTr="006B1D3E">
        <w:trPr>
          <w:trHeight w:val="300"/>
          <w:jc w:val="center"/>
        </w:trPr>
        <w:tc>
          <w:tcPr>
            <w:tcW w:w="0" w:type="auto"/>
            <w:tcBorders>
              <w:top w:val="nil"/>
              <w:left w:val="nil"/>
              <w:bottom w:val="nil"/>
              <w:right w:val="nil"/>
            </w:tcBorders>
            <w:shd w:val="clear" w:color="auto" w:fill="auto"/>
            <w:noWrap/>
            <w:vAlign w:val="center"/>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520523" w:rsidRPr="002F31D1" w:rsidRDefault="00520523" w:rsidP="006B1D3E">
            <w:pPr>
              <w:jc w:val="right"/>
              <w:rPr>
                <w:rFonts w:ascii="Arial" w:hAnsi="Arial" w:cs="Arial"/>
                <w:color w:val="000000"/>
                <w:sz w:val="18"/>
                <w:szCs w:val="18"/>
              </w:rPr>
            </w:pPr>
            <w:r w:rsidRPr="002F31D1">
              <w:rPr>
                <w:rFonts w:ascii="Arial" w:hAnsi="Arial" w:cs="Arial"/>
                <w:color w:val="000000"/>
                <w:sz w:val="18"/>
                <w:szCs w:val="18"/>
              </w:rPr>
              <w:t>60,985</w:t>
            </w:r>
          </w:p>
        </w:tc>
      </w:tr>
      <w:tr w:rsidR="00520523" w:rsidRPr="002F31D1" w:rsidTr="006B1D3E">
        <w:trPr>
          <w:trHeight w:val="300"/>
          <w:jc w:val="center"/>
        </w:trPr>
        <w:tc>
          <w:tcPr>
            <w:tcW w:w="0" w:type="auto"/>
            <w:tcBorders>
              <w:top w:val="nil"/>
              <w:left w:val="nil"/>
              <w:bottom w:val="nil"/>
              <w:right w:val="nil"/>
            </w:tcBorders>
            <w:shd w:val="clear" w:color="auto" w:fill="auto"/>
            <w:noWrap/>
            <w:vAlign w:val="center"/>
            <w:hideMark/>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520523" w:rsidRPr="002F31D1" w:rsidRDefault="00520523" w:rsidP="006B1D3E">
            <w:pPr>
              <w:jc w:val="right"/>
              <w:rPr>
                <w:rFonts w:ascii="Arial" w:hAnsi="Arial" w:cs="Arial"/>
                <w:color w:val="000000"/>
                <w:sz w:val="18"/>
                <w:szCs w:val="18"/>
              </w:rPr>
            </w:pPr>
            <w:r>
              <w:rPr>
                <w:rFonts w:ascii="Arial" w:hAnsi="Arial" w:cs="Arial"/>
                <w:color w:val="000000"/>
                <w:sz w:val="18"/>
                <w:szCs w:val="18"/>
              </w:rPr>
              <w:t>61,518</w:t>
            </w:r>
          </w:p>
        </w:tc>
      </w:tr>
      <w:tr w:rsidR="00520523" w:rsidRPr="002F31D1" w:rsidTr="006B1D3E">
        <w:trPr>
          <w:trHeight w:val="300"/>
          <w:jc w:val="center"/>
        </w:trPr>
        <w:tc>
          <w:tcPr>
            <w:tcW w:w="0" w:type="auto"/>
            <w:tcBorders>
              <w:top w:val="nil"/>
              <w:left w:val="nil"/>
              <w:bottom w:val="nil"/>
              <w:right w:val="nil"/>
            </w:tcBorders>
            <w:shd w:val="clear" w:color="auto" w:fill="auto"/>
            <w:noWrap/>
            <w:vAlign w:val="center"/>
          </w:tcPr>
          <w:p w:rsidR="00520523" w:rsidRPr="002F31D1" w:rsidRDefault="00520523" w:rsidP="006B1D3E">
            <w:pPr>
              <w:rPr>
                <w:rFonts w:ascii="Arial" w:hAnsi="Arial" w:cs="Arial"/>
                <w:color w:val="000000"/>
                <w:sz w:val="18"/>
                <w:szCs w:val="18"/>
              </w:rPr>
            </w:pPr>
            <w:r w:rsidRPr="002F31D1">
              <w:rPr>
                <w:rFonts w:ascii="Arial" w:hAnsi="Arial" w:cs="Arial"/>
                <w:color w:val="000000"/>
                <w:sz w:val="18"/>
                <w:szCs w:val="18"/>
              </w:rPr>
              <w:lastRenderedPageBreak/>
              <w:t xml:space="preserve">Saldo Neto en la Hacienda Pública /Patrimonio 2014 </w:t>
            </w:r>
          </w:p>
        </w:tc>
        <w:tc>
          <w:tcPr>
            <w:tcW w:w="0" w:type="auto"/>
            <w:tcBorders>
              <w:top w:val="nil"/>
              <w:left w:val="nil"/>
              <w:bottom w:val="nil"/>
              <w:right w:val="nil"/>
            </w:tcBorders>
            <w:shd w:val="clear" w:color="auto" w:fill="auto"/>
            <w:noWrap/>
            <w:vAlign w:val="center"/>
          </w:tcPr>
          <w:p w:rsidR="00520523" w:rsidRPr="002F31D1" w:rsidRDefault="00520523" w:rsidP="006B1D3E">
            <w:pPr>
              <w:jc w:val="right"/>
              <w:rPr>
                <w:rFonts w:ascii="Arial" w:hAnsi="Arial" w:cs="Arial"/>
                <w:b/>
                <w:color w:val="000000"/>
                <w:sz w:val="18"/>
                <w:szCs w:val="18"/>
                <w:u w:val="double"/>
              </w:rPr>
            </w:pPr>
            <w:r w:rsidRPr="002F31D1">
              <w:rPr>
                <w:rFonts w:ascii="Arial" w:hAnsi="Arial" w:cs="Arial"/>
                <w:b/>
                <w:color w:val="000000"/>
                <w:sz w:val="18"/>
                <w:szCs w:val="18"/>
                <w:u w:val="double"/>
              </w:rPr>
              <w:t>3,433,196</w:t>
            </w:r>
          </w:p>
        </w:tc>
      </w:tr>
      <w:tr w:rsidR="00520523" w:rsidRPr="002F31D1" w:rsidTr="006B1D3E">
        <w:trPr>
          <w:trHeight w:val="438"/>
          <w:jc w:val="center"/>
        </w:trPr>
        <w:tc>
          <w:tcPr>
            <w:tcW w:w="0" w:type="auto"/>
            <w:vMerge w:val="restart"/>
            <w:tcBorders>
              <w:top w:val="nil"/>
              <w:left w:val="nil"/>
              <w:bottom w:val="nil"/>
              <w:right w:val="nil"/>
            </w:tcBorders>
            <w:shd w:val="clear" w:color="auto" w:fill="auto"/>
            <w:noWrap/>
            <w:vAlign w:val="center"/>
          </w:tcPr>
          <w:p w:rsidR="00520523" w:rsidRPr="002F31D1" w:rsidRDefault="00520523" w:rsidP="006B1D3E">
            <w:pPr>
              <w:rPr>
                <w:rFonts w:ascii="Arial" w:hAnsi="Arial" w:cs="Arial"/>
                <w:color w:val="000000"/>
                <w:sz w:val="18"/>
                <w:szCs w:val="18"/>
              </w:rPr>
            </w:pPr>
          </w:p>
        </w:tc>
        <w:tc>
          <w:tcPr>
            <w:tcW w:w="0" w:type="auto"/>
            <w:vMerge w:val="restart"/>
            <w:tcBorders>
              <w:top w:val="nil"/>
              <w:left w:val="nil"/>
              <w:bottom w:val="nil"/>
              <w:right w:val="nil"/>
            </w:tcBorders>
            <w:shd w:val="clear" w:color="auto" w:fill="auto"/>
            <w:noWrap/>
            <w:vAlign w:val="center"/>
          </w:tcPr>
          <w:p w:rsidR="00520523" w:rsidRPr="002F31D1" w:rsidRDefault="00520523" w:rsidP="006B1D3E">
            <w:pPr>
              <w:rPr>
                <w:rFonts w:ascii="Arial" w:hAnsi="Arial" w:cs="Arial"/>
                <w:b/>
                <w:bCs/>
                <w:color w:val="000000"/>
                <w:sz w:val="18"/>
                <w:szCs w:val="18"/>
                <w:u w:val="double"/>
              </w:rPr>
            </w:pPr>
          </w:p>
        </w:tc>
      </w:tr>
      <w:tr w:rsidR="00520523" w:rsidRPr="002F31D1" w:rsidTr="006B1D3E">
        <w:trPr>
          <w:trHeight w:val="438"/>
          <w:jc w:val="center"/>
        </w:trPr>
        <w:tc>
          <w:tcPr>
            <w:tcW w:w="0" w:type="auto"/>
            <w:vMerge/>
            <w:tcBorders>
              <w:top w:val="nil"/>
              <w:left w:val="nil"/>
              <w:bottom w:val="nil"/>
              <w:right w:val="nil"/>
            </w:tcBorders>
            <w:vAlign w:val="center"/>
          </w:tcPr>
          <w:p w:rsidR="00520523" w:rsidRPr="002F31D1" w:rsidRDefault="00520523" w:rsidP="006B1D3E">
            <w:pPr>
              <w:rPr>
                <w:rFonts w:ascii="Arial" w:hAnsi="Arial" w:cs="Arial"/>
                <w:color w:val="000000"/>
                <w:sz w:val="18"/>
                <w:szCs w:val="18"/>
              </w:rPr>
            </w:pPr>
          </w:p>
        </w:tc>
        <w:tc>
          <w:tcPr>
            <w:tcW w:w="0" w:type="auto"/>
            <w:vMerge/>
            <w:tcBorders>
              <w:top w:val="nil"/>
              <w:left w:val="nil"/>
              <w:bottom w:val="nil"/>
              <w:right w:val="nil"/>
            </w:tcBorders>
            <w:vAlign w:val="center"/>
          </w:tcPr>
          <w:p w:rsidR="00520523" w:rsidRPr="002F31D1" w:rsidRDefault="00520523" w:rsidP="006B1D3E">
            <w:pPr>
              <w:rPr>
                <w:rFonts w:ascii="Arial" w:hAnsi="Arial" w:cs="Arial"/>
                <w:b/>
                <w:bCs/>
                <w:color w:val="000000"/>
                <w:sz w:val="18"/>
                <w:szCs w:val="18"/>
                <w:u w:val="double"/>
              </w:rPr>
            </w:pPr>
          </w:p>
        </w:tc>
      </w:tr>
    </w:tbl>
    <w:p w:rsidR="00520523" w:rsidRPr="002F31D1" w:rsidRDefault="00520523" w:rsidP="00520523">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520523" w:rsidRPr="00C76D92" w:rsidRDefault="00520523" w:rsidP="00520523">
      <w:pPr>
        <w:pStyle w:val="Prrafodelista"/>
        <w:autoSpaceDE w:val="0"/>
        <w:autoSpaceDN w:val="0"/>
        <w:adjustRightInd w:val="0"/>
        <w:spacing w:before="80"/>
        <w:ind w:left="1069"/>
        <w:jc w:val="both"/>
        <w:rPr>
          <w:rFonts w:ascii="Arial" w:hAnsi="Arial" w:cs="Arial"/>
          <w:sz w:val="18"/>
          <w:szCs w:val="18"/>
        </w:rPr>
      </w:pPr>
    </w:p>
    <w:p w:rsidR="00520523" w:rsidRPr="00C76D92" w:rsidRDefault="00520523" w:rsidP="00520523">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520523" w:rsidRPr="002F31D1" w:rsidRDefault="00520523" w:rsidP="00520523">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tblPr>
      <w:tblGrid>
        <w:gridCol w:w="2912"/>
        <w:gridCol w:w="1774"/>
        <w:gridCol w:w="797"/>
      </w:tblGrid>
      <w:tr w:rsidR="00520523" w:rsidRPr="002F31D1" w:rsidTr="006B1D3E">
        <w:trPr>
          <w:trHeight w:val="330"/>
          <w:jc w:val="center"/>
        </w:trPr>
        <w:tc>
          <w:tcPr>
            <w:tcW w:w="0" w:type="auto"/>
            <w:tcBorders>
              <w:top w:val="nil"/>
              <w:left w:val="nil"/>
              <w:bottom w:val="nil"/>
              <w:right w:val="nil"/>
            </w:tcBorders>
            <w:shd w:val="clear" w:color="auto" w:fill="00B050"/>
            <w:noWrap/>
            <w:vAlign w:val="bottom"/>
            <w:hideMark/>
          </w:tcPr>
          <w:p w:rsidR="00520523" w:rsidRPr="002F31D1" w:rsidRDefault="00520523" w:rsidP="006B1D3E">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0" w:type="auto"/>
            <w:tcBorders>
              <w:top w:val="nil"/>
              <w:left w:val="nil"/>
              <w:bottom w:val="nil"/>
              <w:right w:val="nil"/>
            </w:tcBorders>
            <w:shd w:val="clear" w:color="auto" w:fill="00B050"/>
            <w:noWrap/>
            <w:vAlign w:val="bottom"/>
            <w:hideMark/>
          </w:tcPr>
          <w:p w:rsidR="00520523" w:rsidRPr="002F31D1" w:rsidRDefault="00520523" w:rsidP="006B1D3E">
            <w:pPr>
              <w:autoSpaceDE w:val="0"/>
              <w:autoSpaceDN w:val="0"/>
              <w:adjustRightInd w:val="0"/>
              <w:spacing w:before="80"/>
              <w:jc w:val="both"/>
              <w:rPr>
                <w:rFonts w:ascii="Arial" w:hAnsi="Arial" w:cs="Arial"/>
                <w:b/>
                <w:bCs/>
                <w:color w:val="FFFFFF"/>
                <w:sz w:val="18"/>
                <w:szCs w:val="18"/>
              </w:rPr>
            </w:pPr>
            <w:r>
              <w:rPr>
                <w:rFonts w:ascii="Arial" w:hAnsi="Arial" w:cs="Arial"/>
                <w:b/>
                <w:bCs/>
                <w:color w:val="FFFFFF"/>
                <w:sz w:val="18"/>
                <w:szCs w:val="18"/>
              </w:rPr>
              <w:t>(Enero-Junio) 2015</w:t>
            </w:r>
          </w:p>
        </w:tc>
        <w:tc>
          <w:tcPr>
            <w:tcW w:w="0" w:type="auto"/>
            <w:tcBorders>
              <w:top w:val="nil"/>
              <w:left w:val="nil"/>
              <w:bottom w:val="nil"/>
              <w:right w:val="nil"/>
            </w:tcBorders>
            <w:shd w:val="clear" w:color="auto" w:fill="00B050"/>
          </w:tcPr>
          <w:p w:rsidR="00520523" w:rsidRPr="002F31D1" w:rsidRDefault="00520523" w:rsidP="006B1D3E">
            <w:pPr>
              <w:autoSpaceDE w:val="0"/>
              <w:autoSpaceDN w:val="0"/>
              <w:adjustRightInd w:val="0"/>
              <w:spacing w:before="80"/>
              <w:jc w:val="both"/>
              <w:rPr>
                <w:rFonts w:ascii="Arial" w:hAnsi="Arial" w:cs="Arial"/>
                <w:b/>
                <w:bCs/>
                <w:color w:val="FFFFFF"/>
                <w:sz w:val="18"/>
                <w:szCs w:val="18"/>
              </w:rPr>
            </w:pPr>
            <w:r>
              <w:rPr>
                <w:rFonts w:ascii="Arial" w:hAnsi="Arial" w:cs="Arial"/>
                <w:b/>
                <w:bCs/>
                <w:color w:val="FFFFFF"/>
                <w:sz w:val="18"/>
                <w:szCs w:val="18"/>
              </w:rPr>
              <w:t>2014</w:t>
            </w:r>
          </w:p>
        </w:tc>
      </w:tr>
      <w:tr w:rsidR="00520523" w:rsidRPr="002F31D1" w:rsidTr="006B1D3E">
        <w:trPr>
          <w:trHeight w:val="330"/>
          <w:jc w:val="center"/>
        </w:trPr>
        <w:tc>
          <w:tcPr>
            <w:tcW w:w="0" w:type="auto"/>
            <w:tcBorders>
              <w:top w:val="nil"/>
              <w:left w:val="nil"/>
              <w:bottom w:val="nil"/>
              <w:right w:val="nil"/>
            </w:tcBorders>
            <w:shd w:val="clear" w:color="auto" w:fill="auto"/>
            <w:noWrap/>
            <w:vAlign w:val="center"/>
            <w:hideMark/>
          </w:tcPr>
          <w:p w:rsidR="00520523" w:rsidRPr="002F31D1" w:rsidRDefault="00520523" w:rsidP="006B1D3E">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0" w:type="auto"/>
            <w:tcBorders>
              <w:top w:val="nil"/>
              <w:left w:val="nil"/>
              <w:bottom w:val="nil"/>
              <w:right w:val="nil"/>
            </w:tcBorders>
            <w:shd w:val="clear" w:color="auto" w:fill="auto"/>
            <w:noWrap/>
            <w:vAlign w:val="bottom"/>
            <w:hideMark/>
          </w:tcPr>
          <w:p w:rsidR="00520523" w:rsidRPr="002F31D1" w:rsidRDefault="00520523" w:rsidP="006B1D3E">
            <w:pPr>
              <w:spacing w:before="80"/>
              <w:jc w:val="right"/>
              <w:rPr>
                <w:rFonts w:ascii="Arial" w:hAnsi="Arial" w:cs="Arial"/>
                <w:sz w:val="18"/>
                <w:szCs w:val="18"/>
              </w:rPr>
            </w:pPr>
            <w:r>
              <w:rPr>
                <w:rFonts w:ascii="Arial" w:hAnsi="Arial" w:cs="Arial"/>
                <w:sz w:val="18"/>
                <w:szCs w:val="18"/>
              </w:rPr>
              <w:t>49,725</w:t>
            </w:r>
          </w:p>
        </w:tc>
        <w:tc>
          <w:tcPr>
            <w:tcW w:w="0" w:type="auto"/>
            <w:tcBorders>
              <w:top w:val="nil"/>
              <w:left w:val="nil"/>
              <w:bottom w:val="nil"/>
              <w:right w:val="nil"/>
            </w:tcBorders>
            <w:vAlign w:val="bottom"/>
          </w:tcPr>
          <w:p w:rsidR="00520523" w:rsidRPr="002F31D1" w:rsidRDefault="00520523" w:rsidP="006B1D3E">
            <w:pPr>
              <w:spacing w:before="80"/>
              <w:jc w:val="right"/>
              <w:rPr>
                <w:rFonts w:ascii="Arial" w:hAnsi="Arial" w:cs="Arial"/>
                <w:sz w:val="18"/>
                <w:szCs w:val="18"/>
              </w:rPr>
            </w:pPr>
            <w:r w:rsidRPr="002F31D1">
              <w:rPr>
                <w:rFonts w:ascii="Arial" w:hAnsi="Arial" w:cs="Arial"/>
                <w:sz w:val="18"/>
                <w:szCs w:val="18"/>
              </w:rPr>
              <w:t>479,047</w:t>
            </w:r>
          </w:p>
        </w:tc>
      </w:tr>
      <w:tr w:rsidR="00520523" w:rsidRPr="002F31D1" w:rsidTr="006B1D3E">
        <w:trPr>
          <w:trHeight w:val="330"/>
          <w:jc w:val="center"/>
        </w:trPr>
        <w:tc>
          <w:tcPr>
            <w:tcW w:w="0" w:type="auto"/>
            <w:tcBorders>
              <w:top w:val="nil"/>
              <w:left w:val="nil"/>
              <w:bottom w:val="nil"/>
              <w:right w:val="nil"/>
            </w:tcBorders>
            <w:shd w:val="clear" w:color="auto" w:fill="auto"/>
            <w:noWrap/>
            <w:vAlign w:val="bottom"/>
          </w:tcPr>
          <w:p w:rsidR="00520523" w:rsidRPr="002F31D1" w:rsidRDefault="00520523" w:rsidP="006B1D3E">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0" w:type="auto"/>
            <w:tcBorders>
              <w:top w:val="nil"/>
              <w:left w:val="nil"/>
              <w:bottom w:val="nil"/>
              <w:right w:val="nil"/>
            </w:tcBorders>
            <w:shd w:val="clear" w:color="auto" w:fill="auto"/>
            <w:noWrap/>
            <w:vAlign w:val="bottom"/>
          </w:tcPr>
          <w:p w:rsidR="00520523" w:rsidRPr="002F31D1" w:rsidRDefault="00520523" w:rsidP="006B1D3E">
            <w:pPr>
              <w:spacing w:before="80"/>
              <w:jc w:val="right"/>
              <w:rPr>
                <w:rFonts w:ascii="Arial" w:hAnsi="Arial" w:cs="Arial"/>
                <w:b/>
                <w:sz w:val="18"/>
                <w:szCs w:val="18"/>
                <w:u w:val="double"/>
              </w:rPr>
            </w:pPr>
            <w:r>
              <w:rPr>
                <w:rFonts w:ascii="Arial" w:hAnsi="Arial" w:cs="Arial"/>
                <w:b/>
                <w:sz w:val="18"/>
                <w:szCs w:val="18"/>
                <w:u w:val="double"/>
              </w:rPr>
              <w:t>49,725</w:t>
            </w:r>
          </w:p>
        </w:tc>
        <w:tc>
          <w:tcPr>
            <w:tcW w:w="0" w:type="auto"/>
            <w:tcBorders>
              <w:top w:val="nil"/>
              <w:left w:val="nil"/>
              <w:bottom w:val="nil"/>
              <w:right w:val="nil"/>
            </w:tcBorders>
            <w:vAlign w:val="bottom"/>
          </w:tcPr>
          <w:p w:rsidR="00520523" w:rsidRPr="002F31D1" w:rsidRDefault="00520523" w:rsidP="006B1D3E">
            <w:pPr>
              <w:spacing w:before="80"/>
              <w:jc w:val="right"/>
              <w:rPr>
                <w:rFonts w:ascii="Arial" w:hAnsi="Arial" w:cs="Arial"/>
                <w:b/>
                <w:sz w:val="18"/>
                <w:szCs w:val="18"/>
                <w:u w:val="double"/>
              </w:rPr>
            </w:pPr>
            <w:r w:rsidRPr="002F31D1">
              <w:rPr>
                <w:rFonts w:ascii="Arial" w:hAnsi="Arial" w:cs="Arial"/>
                <w:b/>
                <w:sz w:val="18"/>
                <w:szCs w:val="18"/>
                <w:u w:val="double"/>
              </w:rPr>
              <w:t>479,047</w:t>
            </w:r>
          </w:p>
        </w:tc>
      </w:tr>
      <w:tr w:rsidR="00520523" w:rsidRPr="00C76D92" w:rsidTr="006B1D3E">
        <w:trPr>
          <w:trHeight w:val="330"/>
          <w:jc w:val="center"/>
        </w:trPr>
        <w:tc>
          <w:tcPr>
            <w:tcW w:w="0" w:type="auto"/>
            <w:tcBorders>
              <w:top w:val="nil"/>
              <w:left w:val="nil"/>
              <w:bottom w:val="nil"/>
              <w:right w:val="nil"/>
            </w:tcBorders>
            <w:shd w:val="clear" w:color="auto" w:fill="auto"/>
            <w:noWrap/>
            <w:vAlign w:val="bottom"/>
          </w:tcPr>
          <w:p w:rsidR="00520523" w:rsidRPr="00C76D92" w:rsidRDefault="00520523" w:rsidP="006B1D3E">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520523" w:rsidRPr="00C76D92" w:rsidRDefault="00520523" w:rsidP="006B1D3E">
            <w:pPr>
              <w:spacing w:before="80"/>
              <w:jc w:val="both"/>
              <w:rPr>
                <w:rFonts w:ascii="Arial" w:hAnsi="Arial" w:cs="Arial"/>
                <w:sz w:val="18"/>
                <w:szCs w:val="18"/>
              </w:rPr>
            </w:pPr>
          </w:p>
        </w:tc>
        <w:tc>
          <w:tcPr>
            <w:tcW w:w="0" w:type="auto"/>
            <w:tcBorders>
              <w:top w:val="nil"/>
              <w:left w:val="nil"/>
              <w:bottom w:val="nil"/>
              <w:right w:val="nil"/>
            </w:tcBorders>
          </w:tcPr>
          <w:p w:rsidR="00520523" w:rsidRPr="00C76D92" w:rsidRDefault="00520523" w:rsidP="006B1D3E">
            <w:pPr>
              <w:spacing w:before="80"/>
              <w:jc w:val="both"/>
              <w:rPr>
                <w:rFonts w:ascii="Arial" w:hAnsi="Arial" w:cs="Arial"/>
                <w:sz w:val="18"/>
                <w:szCs w:val="18"/>
              </w:rPr>
            </w:pPr>
          </w:p>
        </w:tc>
      </w:tr>
    </w:tbl>
    <w:p w:rsidR="00520523" w:rsidRPr="00E52AE7" w:rsidRDefault="00520523" w:rsidP="00520523">
      <w:pPr>
        <w:autoSpaceDE w:val="0"/>
        <w:autoSpaceDN w:val="0"/>
        <w:adjustRightInd w:val="0"/>
        <w:spacing w:before="80" w:after="0"/>
        <w:jc w:val="both"/>
        <w:rPr>
          <w:rFonts w:ascii="Arial" w:hAnsi="Arial" w:cs="Arial"/>
          <w:sz w:val="18"/>
          <w:szCs w:val="18"/>
        </w:rPr>
      </w:pPr>
      <w:r w:rsidRPr="00E52AE7">
        <w:rPr>
          <w:rFonts w:ascii="Arial" w:hAnsi="Arial" w:cs="Arial"/>
          <w:sz w:val="18"/>
          <w:szCs w:val="18"/>
        </w:rPr>
        <w:t xml:space="preserve">En el estado de Flujos de efectivo dentro del concepto “efectivo y equivalentes al efectivo al final de ejercicio” </w:t>
      </w:r>
      <w:r>
        <w:rPr>
          <w:rFonts w:ascii="Arial" w:hAnsi="Arial" w:cs="Arial"/>
          <w:sz w:val="18"/>
          <w:szCs w:val="18"/>
        </w:rPr>
        <w:t xml:space="preserve">obtenemos la cantidad de $ 49,725.00 </w:t>
      </w:r>
      <w:r w:rsidRPr="00E52AE7">
        <w:rPr>
          <w:rFonts w:ascii="Arial" w:hAnsi="Arial" w:cs="Arial"/>
          <w:sz w:val="18"/>
          <w:szCs w:val="18"/>
        </w:rPr>
        <w:t xml:space="preserve"> la cual difiere del estado de Situación Financiera</w:t>
      </w:r>
      <w:r>
        <w:rPr>
          <w:rFonts w:ascii="Arial" w:hAnsi="Arial" w:cs="Arial"/>
          <w:sz w:val="18"/>
          <w:szCs w:val="18"/>
        </w:rPr>
        <w:t xml:space="preserve"> del mismo periodo (enero-junio)</w:t>
      </w:r>
      <w:r w:rsidRPr="00E52AE7">
        <w:rPr>
          <w:rFonts w:ascii="Arial" w:hAnsi="Arial" w:cs="Arial"/>
          <w:sz w:val="18"/>
          <w:szCs w:val="18"/>
        </w:rPr>
        <w:t xml:space="preserve"> dentro del concepto “efectivo y equivalentes” por la can</w:t>
      </w:r>
      <w:r>
        <w:rPr>
          <w:rFonts w:ascii="Arial" w:hAnsi="Arial" w:cs="Arial"/>
          <w:sz w:val="18"/>
          <w:szCs w:val="18"/>
        </w:rPr>
        <w:t>tidad de $882</w:t>
      </w:r>
      <w:r w:rsidRPr="00E52AE7">
        <w:rPr>
          <w:rFonts w:ascii="Arial" w:hAnsi="Arial" w:cs="Arial"/>
          <w:sz w:val="18"/>
          <w:szCs w:val="18"/>
        </w:rPr>
        <w:t>.00, debido a que para efectos de elaboración de este estado financiero no es considerada esta cantidad la cual corresponde al concepto de “caja”</w:t>
      </w:r>
      <w:r>
        <w:rPr>
          <w:rFonts w:ascii="Arial" w:hAnsi="Arial" w:cs="Arial"/>
          <w:sz w:val="18"/>
          <w:szCs w:val="18"/>
        </w:rPr>
        <w:t>, debido a que en el Sistema de Contabilidad Gubernamental (SGIII) se considera “caja” como un derecho a recibir y finalmente la información financiera es tomada de este mismo sistema</w:t>
      </w:r>
      <w:bookmarkStart w:id="7" w:name="_GoBack"/>
      <w:bookmarkEnd w:id="7"/>
      <w:r>
        <w:rPr>
          <w:rFonts w:ascii="Arial" w:hAnsi="Arial" w:cs="Arial"/>
          <w:sz w:val="18"/>
          <w:szCs w:val="18"/>
        </w:rPr>
        <w:t xml:space="preserve">. </w:t>
      </w:r>
    </w:p>
    <w:p w:rsidR="00520523" w:rsidRPr="007D719E" w:rsidRDefault="00520523" w:rsidP="00520523">
      <w:pPr>
        <w:autoSpaceDE w:val="0"/>
        <w:autoSpaceDN w:val="0"/>
        <w:adjustRightInd w:val="0"/>
        <w:spacing w:before="80" w:after="0"/>
        <w:jc w:val="both"/>
        <w:rPr>
          <w:rFonts w:ascii="Arial" w:hAnsi="Arial" w:cs="Arial"/>
          <w:sz w:val="18"/>
          <w:szCs w:val="18"/>
        </w:rPr>
      </w:pPr>
    </w:p>
    <w:p w:rsidR="00520523" w:rsidRPr="00C76D92" w:rsidRDefault="00520523" w:rsidP="00520523">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1 de enero al 30 de junio de 2015</w:t>
      </w:r>
      <w:r w:rsidRPr="00C76D92">
        <w:rPr>
          <w:rFonts w:ascii="Arial" w:hAnsi="Arial" w:cs="Arial"/>
          <w:sz w:val="18"/>
          <w:szCs w:val="18"/>
        </w:rPr>
        <w:t>:</w:t>
      </w:r>
    </w:p>
    <w:p w:rsidR="00520523" w:rsidRPr="002F31D1" w:rsidRDefault="00520523" w:rsidP="00520523">
      <w:pPr>
        <w:pStyle w:val="Prrafodelista"/>
        <w:autoSpaceDE w:val="0"/>
        <w:autoSpaceDN w:val="0"/>
        <w:adjustRightInd w:val="0"/>
        <w:spacing w:before="80"/>
        <w:ind w:left="1843"/>
        <w:jc w:val="both"/>
        <w:rPr>
          <w:rFonts w:ascii="Arial" w:hAnsi="Arial" w:cs="Arial"/>
          <w:b/>
          <w:sz w:val="18"/>
          <w:szCs w:val="18"/>
        </w:rPr>
      </w:pPr>
    </w:p>
    <w:tbl>
      <w:tblPr>
        <w:tblW w:w="5293" w:type="dxa"/>
        <w:jc w:val="center"/>
        <w:tblCellMar>
          <w:left w:w="70" w:type="dxa"/>
          <w:right w:w="70" w:type="dxa"/>
        </w:tblCellMar>
        <w:tblLook w:val="04A0"/>
      </w:tblPr>
      <w:tblGrid>
        <w:gridCol w:w="755"/>
        <w:gridCol w:w="3160"/>
        <w:gridCol w:w="1378"/>
      </w:tblGrid>
      <w:tr w:rsidR="00520523" w:rsidRPr="002F31D1" w:rsidTr="006B1D3E">
        <w:trPr>
          <w:trHeight w:val="182"/>
          <w:jc w:val="center"/>
        </w:trPr>
        <w:tc>
          <w:tcPr>
            <w:tcW w:w="0" w:type="auto"/>
            <w:tcBorders>
              <w:top w:val="nil"/>
              <w:left w:val="nil"/>
              <w:bottom w:val="nil"/>
              <w:right w:val="nil"/>
            </w:tcBorders>
            <w:shd w:val="clear" w:color="auto" w:fill="00B050"/>
            <w:noWrap/>
            <w:vAlign w:val="bottom"/>
            <w:hideMark/>
          </w:tcPr>
          <w:p w:rsidR="00520523" w:rsidRPr="002F31D1" w:rsidRDefault="00520523" w:rsidP="006B1D3E">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00B050"/>
            <w:noWrap/>
            <w:vAlign w:val="bottom"/>
            <w:hideMark/>
          </w:tcPr>
          <w:p w:rsidR="00520523" w:rsidRPr="002F31D1" w:rsidRDefault="00520523" w:rsidP="006B1D3E">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378" w:type="dxa"/>
            <w:tcBorders>
              <w:top w:val="nil"/>
              <w:left w:val="nil"/>
              <w:bottom w:val="nil"/>
              <w:right w:val="nil"/>
            </w:tcBorders>
            <w:shd w:val="clear" w:color="auto" w:fill="00B050"/>
            <w:noWrap/>
            <w:vAlign w:val="bottom"/>
            <w:hideMark/>
          </w:tcPr>
          <w:p w:rsidR="00520523" w:rsidRPr="002F31D1" w:rsidRDefault="00520523" w:rsidP="006B1D3E">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520523" w:rsidRPr="002F31D1" w:rsidTr="006B1D3E">
        <w:trPr>
          <w:trHeight w:val="182"/>
          <w:jc w:val="center"/>
        </w:trPr>
        <w:tc>
          <w:tcPr>
            <w:tcW w:w="0" w:type="auto"/>
            <w:tcBorders>
              <w:top w:val="nil"/>
              <w:left w:val="nil"/>
              <w:bottom w:val="nil"/>
              <w:right w:val="nil"/>
            </w:tcBorders>
            <w:shd w:val="clear" w:color="auto" w:fill="auto"/>
            <w:noWrap/>
            <w:vAlign w:val="bottom"/>
            <w:hideMark/>
          </w:tcPr>
          <w:p w:rsidR="00520523" w:rsidRPr="002F31D1" w:rsidRDefault="00520523" w:rsidP="006B1D3E">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520523" w:rsidRPr="002F31D1" w:rsidRDefault="00520523" w:rsidP="006B1D3E">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378" w:type="dxa"/>
            <w:tcBorders>
              <w:top w:val="nil"/>
              <w:left w:val="nil"/>
              <w:bottom w:val="nil"/>
              <w:right w:val="nil"/>
            </w:tcBorders>
            <w:shd w:val="clear" w:color="auto" w:fill="auto"/>
            <w:noWrap/>
            <w:vAlign w:val="bottom"/>
            <w:hideMark/>
          </w:tcPr>
          <w:p w:rsidR="00520523" w:rsidRPr="002F31D1" w:rsidRDefault="00520523" w:rsidP="006B1D3E">
            <w:pPr>
              <w:spacing w:before="80"/>
              <w:jc w:val="right"/>
              <w:rPr>
                <w:rFonts w:ascii="Arial" w:hAnsi="Arial" w:cs="Arial"/>
                <w:sz w:val="18"/>
                <w:szCs w:val="18"/>
              </w:rPr>
            </w:pPr>
            <w:r>
              <w:rPr>
                <w:rFonts w:ascii="Arial" w:hAnsi="Arial" w:cs="Arial"/>
                <w:sz w:val="18"/>
                <w:szCs w:val="18"/>
              </w:rPr>
              <w:t>31,113</w:t>
            </w:r>
          </w:p>
        </w:tc>
      </w:tr>
      <w:tr w:rsidR="00520523" w:rsidRPr="002F31D1" w:rsidTr="006B1D3E">
        <w:trPr>
          <w:trHeight w:val="182"/>
          <w:jc w:val="center"/>
        </w:trPr>
        <w:tc>
          <w:tcPr>
            <w:tcW w:w="0" w:type="auto"/>
            <w:tcBorders>
              <w:top w:val="nil"/>
              <w:left w:val="nil"/>
              <w:bottom w:val="nil"/>
              <w:right w:val="nil"/>
            </w:tcBorders>
            <w:shd w:val="clear" w:color="auto" w:fill="auto"/>
            <w:noWrap/>
            <w:vAlign w:val="bottom"/>
          </w:tcPr>
          <w:p w:rsidR="00520523" w:rsidRPr="00D80B86" w:rsidRDefault="00520523" w:rsidP="006B1D3E">
            <w:pPr>
              <w:spacing w:before="80"/>
              <w:jc w:val="both"/>
              <w:rPr>
                <w:rFonts w:ascii="Arial" w:hAnsi="Arial" w:cs="Arial"/>
                <w:sz w:val="18"/>
                <w:szCs w:val="18"/>
              </w:rPr>
            </w:pPr>
            <w:r>
              <w:rPr>
                <w:rFonts w:ascii="Arial" w:hAnsi="Arial" w:cs="Arial"/>
                <w:b/>
                <w:sz w:val="18"/>
                <w:szCs w:val="18"/>
              </w:rPr>
              <w:t xml:space="preserve"> </w:t>
            </w:r>
            <w:r w:rsidRPr="00D80B86">
              <w:rPr>
                <w:rFonts w:ascii="Arial" w:hAnsi="Arial" w:cs="Arial"/>
                <w:sz w:val="18"/>
                <w:szCs w:val="18"/>
              </w:rPr>
              <w:t>1.2.4.4</w:t>
            </w:r>
          </w:p>
        </w:tc>
        <w:tc>
          <w:tcPr>
            <w:tcW w:w="0" w:type="auto"/>
            <w:tcBorders>
              <w:top w:val="nil"/>
              <w:left w:val="nil"/>
              <w:bottom w:val="nil"/>
              <w:right w:val="nil"/>
            </w:tcBorders>
            <w:shd w:val="clear" w:color="auto" w:fill="auto"/>
            <w:noWrap/>
            <w:vAlign w:val="bottom"/>
          </w:tcPr>
          <w:p w:rsidR="00520523" w:rsidRPr="00D80B86" w:rsidRDefault="00520523" w:rsidP="006B1D3E">
            <w:pPr>
              <w:spacing w:before="80"/>
              <w:jc w:val="both"/>
              <w:rPr>
                <w:rFonts w:ascii="Arial" w:hAnsi="Arial" w:cs="Arial"/>
                <w:sz w:val="18"/>
                <w:szCs w:val="18"/>
              </w:rPr>
            </w:pPr>
            <w:r w:rsidRPr="00D80B86">
              <w:rPr>
                <w:rFonts w:ascii="Arial" w:hAnsi="Arial" w:cs="Arial"/>
                <w:sz w:val="18"/>
                <w:szCs w:val="18"/>
              </w:rPr>
              <w:t>Vehículos y equipos de transporte</w:t>
            </w:r>
          </w:p>
        </w:tc>
        <w:tc>
          <w:tcPr>
            <w:tcW w:w="1378" w:type="dxa"/>
            <w:tcBorders>
              <w:top w:val="nil"/>
              <w:left w:val="nil"/>
              <w:bottom w:val="nil"/>
              <w:right w:val="nil"/>
            </w:tcBorders>
            <w:shd w:val="clear" w:color="auto" w:fill="auto"/>
            <w:noWrap/>
            <w:vAlign w:val="bottom"/>
          </w:tcPr>
          <w:p w:rsidR="00520523" w:rsidRPr="00D80B86" w:rsidRDefault="00520523" w:rsidP="006B1D3E">
            <w:pPr>
              <w:spacing w:before="80"/>
              <w:jc w:val="right"/>
              <w:rPr>
                <w:rFonts w:ascii="Arial" w:hAnsi="Arial" w:cs="Arial"/>
                <w:b/>
                <w:sz w:val="18"/>
                <w:szCs w:val="18"/>
              </w:rPr>
            </w:pPr>
            <w:r w:rsidRPr="00D80B86">
              <w:rPr>
                <w:rFonts w:ascii="Arial" w:hAnsi="Arial" w:cs="Arial"/>
                <w:sz w:val="18"/>
                <w:szCs w:val="18"/>
              </w:rPr>
              <w:t>352,100</w:t>
            </w:r>
          </w:p>
        </w:tc>
      </w:tr>
      <w:tr w:rsidR="00520523" w:rsidRPr="002F31D1" w:rsidTr="006B1D3E">
        <w:trPr>
          <w:trHeight w:val="182"/>
          <w:jc w:val="center"/>
        </w:trPr>
        <w:tc>
          <w:tcPr>
            <w:tcW w:w="0" w:type="auto"/>
            <w:tcBorders>
              <w:top w:val="nil"/>
              <w:left w:val="nil"/>
              <w:bottom w:val="nil"/>
              <w:right w:val="nil"/>
            </w:tcBorders>
            <w:shd w:val="clear" w:color="auto" w:fill="auto"/>
            <w:noWrap/>
            <w:vAlign w:val="bottom"/>
          </w:tcPr>
          <w:p w:rsidR="00520523" w:rsidRPr="002F31D1" w:rsidRDefault="00520523" w:rsidP="006B1D3E">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520523" w:rsidRPr="002F31D1" w:rsidRDefault="00520523" w:rsidP="006B1D3E">
            <w:pPr>
              <w:spacing w:before="80"/>
              <w:jc w:val="both"/>
              <w:rPr>
                <w:rFonts w:ascii="Arial" w:hAnsi="Arial" w:cs="Arial"/>
                <w:b/>
                <w:sz w:val="18"/>
                <w:szCs w:val="18"/>
              </w:rPr>
            </w:pPr>
            <w:r w:rsidRPr="002F31D1">
              <w:rPr>
                <w:rFonts w:ascii="Arial" w:hAnsi="Arial" w:cs="Arial"/>
                <w:b/>
                <w:sz w:val="18"/>
                <w:szCs w:val="18"/>
              </w:rPr>
              <w:t>Total Bienes Muebles</w:t>
            </w:r>
          </w:p>
        </w:tc>
        <w:tc>
          <w:tcPr>
            <w:tcW w:w="1378" w:type="dxa"/>
            <w:tcBorders>
              <w:top w:val="nil"/>
              <w:left w:val="nil"/>
              <w:bottom w:val="nil"/>
              <w:right w:val="nil"/>
            </w:tcBorders>
            <w:shd w:val="clear" w:color="auto" w:fill="auto"/>
            <w:noWrap/>
            <w:vAlign w:val="bottom"/>
          </w:tcPr>
          <w:p w:rsidR="00520523" w:rsidRPr="002F31D1" w:rsidRDefault="00520523" w:rsidP="006B1D3E">
            <w:pPr>
              <w:spacing w:before="80"/>
              <w:jc w:val="right"/>
              <w:rPr>
                <w:rFonts w:ascii="Arial" w:hAnsi="Arial" w:cs="Arial"/>
                <w:b/>
                <w:sz w:val="18"/>
                <w:szCs w:val="18"/>
                <w:u w:val="double"/>
              </w:rPr>
            </w:pPr>
            <w:r>
              <w:rPr>
                <w:rFonts w:ascii="Arial" w:hAnsi="Arial" w:cs="Arial"/>
                <w:sz w:val="18"/>
                <w:szCs w:val="18"/>
                <w:u w:val="double"/>
              </w:rPr>
              <w:t>383,213</w:t>
            </w:r>
          </w:p>
        </w:tc>
      </w:tr>
      <w:tr w:rsidR="00520523" w:rsidRPr="002F31D1" w:rsidTr="006B1D3E">
        <w:trPr>
          <w:trHeight w:val="182"/>
          <w:jc w:val="center"/>
        </w:trPr>
        <w:tc>
          <w:tcPr>
            <w:tcW w:w="0" w:type="auto"/>
            <w:tcBorders>
              <w:top w:val="nil"/>
              <w:left w:val="nil"/>
              <w:bottom w:val="nil"/>
              <w:right w:val="nil"/>
            </w:tcBorders>
            <w:shd w:val="clear" w:color="auto" w:fill="auto"/>
            <w:noWrap/>
            <w:vAlign w:val="bottom"/>
          </w:tcPr>
          <w:p w:rsidR="00520523" w:rsidRDefault="00520523" w:rsidP="006B1D3E">
            <w:pPr>
              <w:spacing w:before="80"/>
              <w:jc w:val="both"/>
              <w:rPr>
                <w:rFonts w:ascii="Arial" w:hAnsi="Arial" w:cs="Arial"/>
                <w:b/>
                <w:sz w:val="18"/>
                <w:szCs w:val="18"/>
              </w:rPr>
            </w:pPr>
          </w:p>
          <w:p w:rsidR="00520523" w:rsidRPr="002F31D1" w:rsidRDefault="00520523" w:rsidP="006B1D3E">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520523" w:rsidRPr="002F31D1" w:rsidRDefault="00520523" w:rsidP="006B1D3E">
            <w:pPr>
              <w:spacing w:before="80"/>
              <w:jc w:val="both"/>
              <w:rPr>
                <w:rFonts w:ascii="Arial" w:hAnsi="Arial" w:cs="Arial"/>
                <w:b/>
                <w:sz w:val="18"/>
                <w:szCs w:val="18"/>
              </w:rPr>
            </w:pPr>
          </w:p>
        </w:tc>
        <w:tc>
          <w:tcPr>
            <w:tcW w:w="1378" w:type="dxa"/>
            <w:tcBorders>
              <w:top w:val="nil"/>
              <w:left w:val="nil"/>
              <w:bottom w:val="nil"/>
              <w:right w:val="nil"/>
            </w:tcBorders>
            <w:shd w:val="clear" w:color="auto" w:fill="auto"/>
            <w:noWrap/>
            <w:vAlign w:val="bottom"/>
          </w:tcPr>
          <w:p w:rsidR="00520523" w:rsidRDefault="00520523" w:rsidP="006B1D3E">
            <w:pPr>
              <w:spacing w:before="80"/>
              <w:jc w:val="right"/>
              <w:rPr>
                <w:rFonts w:ascii="Arial" w:hAnsi="Arial" w:cs="Arial"/>
                <w:sz w:val="18"/>
                <w:szCs w:val="18"/>
                <w:u w:val="double"/>
              </w:rPr>
            </w:pPr>
          </w:p>
        </w:tc>
      </w:tr>
    </w:tbl>
    <w:p w:rsidR="00520523" w:rsidRPr="00C76D92" w:rsidRDefault="00520523" w:rsidP="00520523">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lastRenderedPageBreak/>
        <w:t>Conciliación entre los Flujos de Efectivos Netos de las Actividades de Operación y la cuenta de Ahorro/Desahorro:</w:t>
      </w:r>
    </w:p>
    <w:p w:rsidR="00520523" w:rsidRPr="002F31D1" w:rsidRDefault="00520523" w:rsidP="00520523">
      <w:pPr>
        <w:pStyle w:val="Prrafodelista"/>
        <w:autoSpaceDE w:val="0"/>
        <w:autoSpaceDN w:val="0"/>
        <w:adjustRightInd w:val="0"/>
        <w:spacing w:before="80"/>
        <w:ind w:left="1843"/>
        <w:jc w:val="both"/>
        <w:rPr>
          <w:rFonts w:ascii="Arial" w:hAnsi="Arial" w:cs="Arial"/>
          <w:b/>
          <w:sz w:val="18"/>
          <w:szCs w:val="18"/>
        </w:rPr>
      </w:pPr>
    </w:p>
    <w:tbl>
      <w:tblPr>
        <w:tblW w:w="8129" w:type="dxa"/>
        <w:jc w:val="center"/>
        <w:tblCellMar>
          <w:left w:w="70" w:type="dxa"/>
          <w:right w:w="70" w:type="dxa"/>
        </w:tblCellMar>
        <w:tblLook w:val="04A0"/>
      </w:tblPr>
      <w:tblGrid>
        <w:gridCol w:w="4119"/>
        <w:gridCol w:w="1774"/>
        <w:gridCol w:w="160"/>
        <w:gridCol w:w="1916"/>
        <w:gridCol w:w="160"/>
      </w:tblGrid>
      <w:tr w:rsidR="00520523" w:rsidRPr="002F31D1" w:rsidTr="006B1D3E">
        <w:trPr>
          <w:gridAfter w:val="1"/>
          <w:wAfter w:w="160" w:type="dxa"/>
          <w:trHeight w:val="259"/>
          <w:jc w:val="center"/>
        </w:trPr>
        <w:tc>
          <w:tcPr>
            <w:tcW w:w="4119" w:type="dxa"/>
            <w:shd w:val="clear" w:color="auto" w:fill="00B050"/>
            <w:vAlign w:val="bottom"/>
            <w:hideMark/>
          </w:tcPr>
          <w:p w:rsidR="00520523" w:rsidRPr="002F31D1" w:rsidRDefault="00520523" w:rsidP="006B1D3E">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774" w:type="dxa"/>
            <w:shd w:val="clear" w:color="auto" w:fill="00B050"/>
            <w:noWrap/>
            <w:vAlign w:val="bottom"/>
            <w:hideMark/>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(Enero-Junio) 2015</w:t>
            </w:r>
          </w:p>
        </w:tc>
        <w:tc>
          <w:tcPr>
            <w:tcW w:w="160" w:type="dxa"/>
            <w:shd w:val="clear" w:color="auto" w:fill="00B050"/>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p>
        </w:tc>
        <w:tc>
          <w:tcPr>
            <w:tcW w:w="1916" w:type="dxa"/>
            <w:shd w:val="clear" w:color="auto" w:fill="00B050"/>
            <w:vAlign w:val="bottom"/>
          </w:tcPr>
          <w:p w:rsidR="00520523" w:rsidRPr="002F31D1" w:rsidRDefault="00520523" w:rsidP="006B1D3E">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520523" w:rsidRPr="002F31D1" w:rsidTr="006B1D3E">
        <w:trPr>
          <w:gridAfter w:val="1"/>
          <w:wAfter w:w="160" w:type="dxa"/>
          <w:trHeight w:val="517"/>
          <w:jc w:val="center"/>
        </w:trPr>
        <w:tc>
          <w:tcPr>
            <w:tcW w:w="4119" w:type="dxa"/>
            <w:shd w:val="clear" w:color="auto" w:fill="auto"/>
            <w:vAlign w:val="bottom"/>
            <w:hideMark/>
          </w:tcPr>
          <w:p w:rsidR="00520523" w:rsidRPr="002F31D1" w:rsidRDefault="00520523" w:rsidP="006B1D3E">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774" w:type="dxa"/>
            <w:shd w:val="clear" w:color="auto" w:fill="auto"/>
            <w:noWrap/>
            <w:vAlign w:val="bottom"/>
            <w:hideMark/>
          </w:tcPr>
          <w:p w:rsidR="00520523" w:rsidRPr="002F31D1" w:rsidRDefault="00520523" w:rsidP="006B1D3E">
            <w:pPr>
              <w:spacing w:before="80"/>
              <w:jc w:val="right"/>
              <w:rPr>
                <w:rFonts w:ascii="Arial" w:hAnsi="Arial" w:cs="Arial"/>
                <w:bCs/>
                <w:sz w:val="18"/>
                <w:szCs w:val="18"/>
                <w:highlight w:val="yellow"/>
              </w:rPr>
            </w:pPr>
            <w:r>
              <w:rPr>
                <w:rFonts w:ascii="Arial" w:hAnsi="Arial" w:cs="Arial"/>
                <w:bCs/>
                <w:sz w:val="18"/>
                <w:szCs w:val="18"/>
              </w:rPr>
              <w:t>491,649</w:t>
            </w:r>
          </w:p>
        </w:tc>
        <w:tc>
          <w:tcPr>
            <w:tcW w:w="160" w:type="dxa"/>
          </w:tcPr>
          <w:p w:rsidR="00520523" w:rsidRPr="002F31D1" w:rsidRDefault="00520523" w:rsidP="006B1D3E">
            <w:pPr>
              <w:spacing w:before="80"/>
              <w:jc w:val="right"/>
              <w:rPr>
                <w:rFonts w:ascii="Arial" w:hAnsi="Arial" w:cs="Arial"/>
                <w:bCs/>
                <w:sz w:val="18"/>
                <w:szCs w:val="18"/>
              </w:rPr>
            </w:pPr>
          </w:p>
        </w:tc>
        <w:tc>
          <w:tcPr>
            <w:tcW w:w="1916" w:type="dxa"/>
            <w:vAlign w:val="bottom"/>
          </w:tcPr>
          <w:p w:rsidR="00520523" w:rsidRPr="002F31D1" w:rsidRDefault="00520523" w:rsidP="006B1D3E">
            <w:pPr>
              <w:spacing w:before="80"/>
              <w:jc w:val="right"/>
              <w:rPr>
                <w:rFonts w:ascii="Arial" w:hAnsi="Arial" w:cs="Arial"/>
                <w:bCs/>
                <w:sz w:val="18"/>
                <w:szCs w:val="18"/>
                <w:highlight w:val="yellow"/>
              </w:rPr>
            </w:pPr>
            <w:r w:rsidRPr="002F31D1">
              <w:rPr>
                <w:rFonts w:ascii="Arial" w:hAnsi="Arial" w:cs="Arial"/>
                <w:bCs/>
                <w:sz w:val="18"/>
                <w:szCs w:val="18"/>
              </w:rPr>
              <w:t>60,985</w:t>
            </w:r>
          </w:p>
        </w:tc>
      </w:tr>
      <w:tr w:rsidR="00520523" w:rsidRPr="002F31D1" w:rsidTr="006B1D3E">
        <w:trPr>
          <w:gridAfter w:val="1"/>
          <w:wAfter w:w="160" w:type="dxa"/>
          <w:trHeight w:val="517"/>
          <w:jc w:val="center"/>
        </w:trPr>
        <w:tc>
          <w:tcPr>
            <w:tcW w:w="4119" w:type="dxa"/>
            <w:shd w:val="clear" w:color="auto" w:fill="auto"/>
            <w:vAlign w:val="bottom"/>
            <w:hideMark/>
          </w:tcPr>
          <w:p w:rsidR="00520523" w:rsidRPr="002F31D1" w:rsidRDefault="00520523" w:rsidP="006B1D3E">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774" w:type="dxa"/>
            <w:shd w:val="clear" w:color="auto" w:fill="auto"/>
            <w:noWrap/>
            <w:vAlign w:val="bottom"/>
          </w:tcPr>
          <w:p w:rsidR="00520523" w:rsidRPr="002F31D1" w:rsidRDefault="00520523" w:rsidP="006B1D3E">
            <w:pPr>
              <w:spacing w:before="80"/>
              <w:jc w:val="right"/>
              <w:rPr>
                <w:rFonts w:ascii="Arial" w:hAnsi="Arial" w:cs="Arial"/>
                <w:sz w:val="18"/>
                <w:szCs w:val="18"/>
                <w:highlight w:val="yellow"/>
              </w:rPr>
            </w:pPr>
          </w:p>
        </w:tc>
        <w:tc>
          <w:tcPr>
            <w:tcW w:w="160" w:type="dxa"/>
          </w:tcPr>
          <w:p w:rsidR="00520523" w:rsidRPr="002F31D1" w:rsidRDefault="00520523" w:rsidP="006B1D3E">
            <w:pPr>
              <w:spacing w:before="80"/>
              <w:jc w:val="right"/>
              <w:rPr>
                <w:rFonts w:ascii="Arial" w:hAnsi="Arial" w:cs="Arial"/>
                <w:sz w:val="18"/>
                <w:szCs w:val="18"/>
              </w:rPr>
            </w:pPr>
          </w:p>
        </w:tc>
        <w:tc>
          <w:tcPr>
            <w:tcW w:w="1916" w:type="dxa"/>
            <w:vAlign w:val="bottom"/>
          </w:tcPr>
          <w:p w:rsidR="00520523" w:rsidRPr="002F31D1" w:rsidRDefault="00520523" w:rsidP="006B1D3E">
            <w:pPr>
              <w:spacing w:before="80"/>
              <w:jc w:val="right"/>
              <w:rPr>
                <w:rFonts w:ascii="Arial" w:hAnsi="Arial" w:cs="Arial"/>
                <w:sz w:val="18"/>
                <w:szCs w:val="18"/>
                <w:highlight w:val="yellow"/>
              </w:rPr>
            </w:pPr>
          </w:p>
        </w:tc>
      </w:tr>
      <w:tr w:rsidR="00520523" w:rsidRPr="002F31D1" w:rsidTr="006B1D3E">
        <w:trPr>
          <w:trHeight w:val="382"/>
          <w:jc w:val="center"/>
        </w:trPr>
        <w:tc>
          <w:tcPr>
            <w:tcW w:w="4119" w:type="dxa"/>
            <w:shd w:val="clear" w:color="auto" w:fill="auto"/>
            <w:vAlign w:val="bottom"/>
            <w:hideMark/>
          </w:tcPr>
          <w:p w:rsidR="00520523" w:rsidRPr="002F31D1" w:rsidRDefault="00520523" w:rsidP="006B1D3E">
            <w:pPr>
              <w:spacing w:before="80"/>
              <w:jc w:val="both"/>
              <w:rPr>
                <w:rFonts w:ascii="Arial" w:hAnsi="Arial" w:cs="Arial"/>
                <w:b/>
                <w:bCs/>
                <w:sz w:val="18"/>
                <w:szCs w:val="18"/>
              </w:rPr>
            </w:pPr>
            <w:r w:rsidRPr="002F31D1">
              <w:rPr>
                <w:rFonts w:ascii="Arial" w:hAnsi="Arial" w:cs="Arial"/>
                <w:b/>
                <w:bCs/>
                <w:sz w:val="18"/>
                <w:szCs w:val="18"/>
              </w:rPr>
              <w:t xml:space="preserve">Flujos Netos de las Actividades de Operación </w:t>
            </w:r>
          </w:p>
        </w:tc>
        <w:tc>
          <w:tcPr>
            <w:tcW w:w="1774" w:type="dxa"/>
            <w:shd w:val="clear" w:color="auto" w:fill="auto"/>
            <w:noWrap/>
            <w:vAlign w:val="bottom"/>
            <w:hideMark/>
          </w:tcPr>
          <w:p w:rsidR="00520523" w:rsidRPr="002F31D1" w:rsidRDefault="00520523" w:rsidP="006B1D3E">
            <w:pPr>
              <w:spacing w:before="80"/>
              <w:jc w:val="right"/>
              <w:rPr>
                <w:rFonts w:ascii="Arial" w:hAnsi="Arial" w:cs="Arial"/>
                <w:b/>
                <w:bCs/>
                <w:sz w:val="18"/>
                <w:szCs w:val="18"/>
                <w:highlight w:val="yellow"/>
                <w:u w:val="double"/>
              </w:rPr>
            </w:pPr>
            <w:r>
              <w:rPr>
                <w:rFonts w:ascii="Arial" w:hAnsi="Arial" w:cs="Arial"/>
                <w:b/>
                <w:bCs/>
                <w:sz w:val="18"/>
                <w:szCs w:val="18"/>
                <w:u w:val="double"/>
              </w:rPr>
              <w:t>491,649</w:t>
            </w:r>
          </w:p>
        </w:tc>
        <w:tc>
          <w:tcPr>
            <w:tcW w:w="160" w:type="dxa"/>
          </w:tcPr>
          <w:p w:rsidR="00520523" w:rsidRPr="002F31D1" w:rsidRDefault="00520523" w:rsidP="006B1D3E">
            <w:pPr>
              <w:spacing w:before="80"/>
              <w:jc w:val="right"/>
              <w:rPr>
                <w:rFonts w:ascii="Arial" w:hAnsi="Arial" w:cs="Arial"/>
                <w:b/>
                <w:bCs/>
                <w:sz w:val="18"/>
                <w:szCs w:val="18"/>
                <w:u w:val="double"/>
              </w:rPr>
            </w:pPr>
          </w:p>
        </w:tc>
        <w:tc>
          <w:tcPr>
            <w:tcW w:w="1916" w:type="dxa"/>
            <w:vAlign w:val="bottom"/>
          </w:tcPr>
          <w:p w:rsidR="00520523" w:rsidRPr="002F31D1" w:rsidRDefault="00520523" w:rsidP="006B1D3E">
            <w:pPr>
              <w:spacing w:before="80"/>
              <w:jc w:val="right"/>
              <w:rPr>
                <w:rFonts w:ascii="Arial" w:hAnsi="Arial" w:cs="Arial"/>
                <w:b/>
                <w:bCs/>
                <w:sz w:val="18"/>
                <w:szCs w:val="18"/>
                <w:highlight w:val="yellow"/>
                <w:u w:val="double"/>
              </w:rPr>
            </w:pPr>
            <w:r w:rsidRPr="002F31D1">
              <w:rPr>
                <w:rFonts w:ascii="Arial" w:hAnsi="Arial" w:cs="Arial"/>
                <w:b/>
                <w:bCs/>
                <w:sz w:val="18"/>
                <w:szCs w:val="18"/>
                <w:u w:val="double"/>
              </w:rPr>
              <w:t>60,985</w:t>
            </w:r>
          </w:p>
        </w:tc>
        <w:tc>
          <w:tcPr>
            <w:tcW w:w="160" w:type="dxa"/>
          </w:tcPr>
          <w:p w:rsidR="00520523" w:rsidRPr="002F31D1" w:rsidRDefault="00520523" w:rsidP="006B1D3E">
            <w:pPr>
              <w:spacing w:before="80"/>
              <w:jc w:val="both"/>
              <w:rPr>
                <w:rFonts w:ascii="Arial" w:hAnsi="Arial" w:cs="Arial"/>
                <w:b/>
                <w:bCs/>
                <w:sz w:val="18"/>
                <w:szCs w:val="18"/>
              </w:rPr>
            </w:pPr>
          </w:p>
        </w:tc>
      </w:tr>
    </w:tbl>
    <w:p w:rsidR="00520523" w:rsidRPr="002F31D1" w:rsidRDefault="00520523" w:rsidP="00520523">
      <w:pPr>
        <w:pStyle w:val="Prrafodelista"/>
        <w:autoSpaceDE w:val="0"/>
        <w:autoSpaceDN w:val="0"/>
        <w:adjustRightInd w:val="0"/>
        <w:spacing w:before="80"/>
        <w:jc w:val="both"/>
        <w:rPr>
          <w:rFonts w:ascii="Arial" w:hAnsi="Arial" w:cs="Arial"/>
          <w:b/>
          <w:sz w:val="18"/>
          <w:szCs w:val="18"/>
        </w:rPr>
      </w:pPr>
    </w:p>
    <w:p w:rsidR="00520523" w:rsidRPr="00411F58" w:rsidRDefault="00520523" w:rsidP="00520523">
      <w:pPr>
        <w:pStyle w:val="Prrafodelista"/>
        <w:autoSpaceDE w:val="0"/>
        <w:autoSpaceDN w:val="0"/>
        <w:adjustRightInd w:val="0"/>
        <w:spacing w:before="80"/>
        <w:jc w:val="both"/>
        <w:rPr>
          <w:rFonts w:ascii="Arial" w:hAnsi="Arial" w:cs="Arial"/>
          <w:sz w:val="18"/>
          <w:szCs w:val="18"/>
        </w:rPr>
      </w:pPr>
      <w:r w:rsidRPr="00411F58">
        <w:rPr>
          <w:rFonts w:ascii="Arial" w:hAnsi="Arial" w:cs="Arial"/>
          <w:sz w:val="18"/>
          <w:szCs w:val="18"/>
        </w:rPr>
        <w:t>La CEDHT no cuenta con ninguna partida o rubros que no afectan al efectivo.</w:t>
      </w:r>
    </w:p>
    <w:p w:rsidR="00520523" w:rsidRPr="002F31D1" w:rsidRDefault="00520523" w:rsidP="00520523">
      <w:pPr>
        <w:pStyle w:val="Prrafodelista"/>
        <w:autoSpaceDE w:val="0"/>
        <w:autoSpaceDN w:val="0"/>
        <w:adjustRightInd w:val="0"/>
        <w:spacing w:before="80"/>
        <w:jc w:val="both"/>
        <w:rPr>
          <w:rFonts w:ascii="Arial" w:hAnsi="Arial" w:cs="Arial"/>
          <w:b/>
          <w:sz w:val="18"/>
          <w:szCs w:val="18"/>
        </w:rPr>
      </w:pPr>
    </w:p>
    <w:p w:rsidR="00520523" w:rsidRPr="002F31D1" w:rsidRDefault="00520523" w:rsidP="00520523">
      <w:pPr>
        <w:pStyle w:val="Prrafodelista"/>
        <w:numPr>
          <w:ilvl w:val="0"/>
          <w:numId w:val="5"/>
        </w:numPr>
        <w:autoSpaceDE w:val="0"/>
        <w:autoSpaceDN w:val="0"/>
        <w:adjustRightInd w:val="0"/>
        <w:spacing w:before="80" w:after="0"/>
        <w:ind w:hanging="357"/>
        <w:jc w:val="both"/>
        <w:rPr>
          <w:rFonts w:ascii="Arial" w:hAnsi="Arial" w:cs="Arial"/>
          <w:b/>
          <w:sz w:val="18"/>
          <w:szCs w:val="18"/>
        </w:rPr>
      </w:pPr>
      <w:r>
        <w:rPr>
          <w:rFonts w:ascii="Arial" w:hAnsi="Arial" w:cs="Arial"/>
          <w:b/>
          <w:sz w:val="18"/>
          <w:szCs w:val="18"/>
        </w:rPr>
        <w:t xml:space="preserve">b) </w:t>
      </w:r>
      <w:r w:rsidRPr="002F31D1">
        <w:rPr>
          <w:rFonts w:ascii="Arial" w:hAnsi="Arial" w:cs="Arial"/>
          <w:b/>
          <w:sz w:val="18"/>
          <w:szCs w:val="18"/>
        </w:rPr>
        <w:t>Notas de Memoria (Cuentas de Orden).</w:t>
      </w:r>
    </w:p>
    <w:p w:rsidR="00520523" w:rsidRPr="002F31D1" w:rsidRDefault="00520523" w:rsidP="00520523">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520523" w:rsidRPr="002F31D1" w:rsidRDefault="00520523" w:rsidP="00520523">
      <w:pPr>
        <w:pStyle w:val="Prrafodelista"/>
        <w:autoSpaceDE w:val="0"/>
        <w:autoSpaceDN w:val="0"/>
        <w:adjustRightInd w:val="0"/>
        <w:spacing w:before="80"/>
        <w:ind w:left="1069"/>
        <w:jc w:val="both"/>
        <w:rPr>
          <w:rFonts w:ascii="Arial" w:hAnsi="Arial" w:cs="Arial"/>
          <w:b/>
          <w:sz w:val="18"/>
          <w:szCs w:val="18"/>
        </w:rPr>
      </w:pP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520523" w:rsidRDefault="00520523" w:rsidP="00520523">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520523" w:rsidRPr="002F31D1" w:rsidRDefault="00520523" w:rsidP="00520523">
      <w:pPr>
        <w:pStyle w:val="Prrafodelista"/>
        <w:autoSpaceDE w:val="0"/>
        <w:autoSpaceDN w:val="0"/>
        <w:adjustRightInd w:val="0"/>
        <w:spacing w:before="80" w:after="0"/>
        <w:ind w:left="1069"/>
        <w:jc w:val="both"/>
        <w:rPr>
          <w:rFonts w:ascii="Arial" w:hAnsi="Arial" w:cs="Arial"/>
          <w:b/>
          <w:sz w:val="18"/>
          <w:szCs w:val="18"/>
        </w:rPr>
      </w:pPr>
    </w:p>
    <w:p w:rsidR="00520523" w:rsidRPr="00AF6A66" w:rsidRDefault="00520523" w:rsidP="00520523">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4783" w:type="dxa"/>
        <w:jc w:val="center"/>
        <w:tblCellMar>
          <w:left w:w="70" w:type="dxa"/>
          <w:right w:w="70" w:type="dxa"/>
        </w:tblCellMar>
        <w:tblLook w:val="04A0"/>
      </w:tblPr>
      <w:tblGrid>
        <w:gridCol w:w="3742"/>
        <w:gridCol w:w="1761"/>
      </w:tblGrid>
      <w:tr w:rsidR="00520523" w:rsidRPr="002F31D1" w:rsidTr="006B1D3E">
        <w:trPr>
          <w:trHeight w:val="220"/>
          <w:jc w:val="center"/>
        </w:trPr>
        <w:tc>
          <w:tcPr>
            <w:tcW w:w="0" w:type="auto"/>
            <w:shd w:val="clear" w:color="auto" w:fill="00B050"/>
            <w:noWrap/>
            <w:vAlign w:val="center"/>
            <w:hideMark/>
          </w:tcPr>
          <w:p w:rsidR="00520523" w:rsidRPr="002F31D1" w:rsidRDefault="00520523" w:rsidP="006B1D3E">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00B050"/>
            <w:noWrap/>
            <w:vAlign w:val="center"/>
            <w:hideMark/>
          </w:tcPr>
          <w:p w:rsidR="00520523" w:rsidRPr="002F31D1" w:rsidRDefault="00520523" w:rsidP="006B1D3E">
            <w:pPr>
              <w:spacing w:before="80"/>
              <w:jc w:val="center"/>
              <w:rPr>
                <w:rFonts w:ascii="Arial" w:hAnsi="Arial" w:cs="Arial"/>
                <w:b/>
                <w:bCs/>
                <w:color w:val="FFFFFF"/>
                <w:sz w:val="18"/>
                <w:szCs w:val="18"/>
                <w:u w:val="single"/>
              </w:rPr>
            </w:pPr>
            <w:r>
              <w:rPr>
                <w:rFonts w:ascii="Arial" w:hAnsi="Arial" w:cs="Arial"/>
                <w:b/>
                <w:bCs/>
                <w:color w:val="FFFFFF"/>
                <w:sz w:val="18"/>
                <w:szCs w:val="18"/>
              </w:rPr>
              <w:t>(Enero-Junio) 2015</w:t>
            </w:r>
          </w:p>
        </w:tc>
      </w:tr>
      <w:tr w:rsidR="00520523" w:rsidRPr="00672941" w:rsidTr="006B1D3E">
        <w:trPr>
          <w:trHeight w:val="275"/>
          <w:jc w:val="center"/>
        </w:trPr>
        <w:tc>
          <w:tcPr>
            <w:tcW w:w="0" w:type="auto"/>
            <w:shd w:val="clear" w:color="auto" w:fill="auto"/>
            <w:noWrap/>
            <w:vAlign w:val="bottom"/>
            <w:hideMark/>
          </w:tcPr>
          <w:p w:rsidR="00520523" w:rsidRPr="00672941" w:rsidRDefault="00520523" w:rsidP="006B1D3E">
            <w:pPr>
              <w:spacing w:before="80"/>
              <w:jc w:val="both"/>
              <w:rPr>
                <w:rFonts w:ascii="Arial" w:hAnsi="Arial" w:cs="Arial"/>
                <w:sz w:val="18"/>
                <w:szCs w:val="18"/>
              </w:rPr>
            </w:pPr>
            <w:r w:rsidRPr="00672941">
              <w:rPr>
                <w:rFonts w:ascii="Arial" w:hAnsi="Arial" w:cs="Arial"/>
                <w:sz w:val="18"/>
                <w:szCs w:val="18"/>
              </w:rPr>
              <w:t>Ley de Ingresos Estimada</w:t>
            </w:r>
          </w:p>
        </w:tc>
        <w:tc>
          <w:tcPr>
            <w:tcW w:w="0" w:type="auto"/>
            <w:shd w:val="clear" w:color="auto" w:fill="auto"/>
            <w:noWrap/>
            <w:vAlign w:val="bottom"/>
            <w:hideMark/>
          </w:tcPr>
          <w:p w:rsidR="00520523" w:rsidRPr="00672941" w:rsidRDefault="00520523" w:rsidP="006B1D3E">
            <w:pPr>
              <w:spacing w:before="80"/>
              <w:jc w:val="right"/>
              <w:rPr>
                <w:rFonts w:ascii="Arial" w:hAnsi="Arial" w:cs="Arial"/>
                <w:sz w:val="18"/>
                <w:szCs w:val="18"/>
              </w:rPr>
            </w:pPr>
            <w:r>
              <w:rPr>
                <w:rFonts w:ascii="Arial" w:hAnsi="Arial" w:cs="Arial"/>
                <w:sz w:val="18"/>
                <w:szCs w:val="18"/>
              </w:rPr>
              <w:t>18,816,219</w:t>
            </w:r>
          </w:p>
        </w:tc>
      </w:tr>
      <w:tr w:rsidR="00520523" w:rsidRPr="00672941" w:rsidTr="006B1D3E">
        <w:trPr>
          <w:trHeight w:val="275"/>
          <w:jc w:val="center"/>
        </w:trPr>
        <w:tc>
          <w:tcPr>
            <w:tcW w:w="0" w:type="auto"/>
            <w:shd w:val="clear" w:color="auto" w:fill="auto"/>
            <w:noWrap/>
            <w:vAlign w:val="bottom"/>
            <w:hideMark/>
          </w:tcPr>
          <w:p w:rsidR="00520523" w:rsidRPr="00672941" w:rsidRDefault="00520523" w:rsidP="006B1D3E">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520523" w:rsidRPr="00672941" w:rsidRDefault="00520523" w:rsidP="006B1D3E">
            <w:pPr>
              <w:spacing w:before="80"/>
              <w:jc w:val="right"/>
              <w:rPr>
                <w:rFonts w:ascii="Arial" w:hAnsi="Arial" w:cs="Arial"/>
                <w:sz w:val="18"/>
                <w:szCs w:val="18"/>
              </w:rPr>
            </w:pPr>
            <w:r>
              <w:rPr>
                <w:rFonts w:ascii="Arial" w:hAnsi="Arial" w:cs="Arial"/>
                <w:sz w:val="18"/>
                <w:szCs w:val="18"/>
              </w:rPr>
              <w:t>520,294</w:t>
            </w:r>
          </w:p>
        </w:tc>
      </w:tr>
      <w:tr w:rsidR="00520523" w:rsidRPr="00672941" w:rsidTr="006B1D3E">
        <w:trPr>
          <w:trHeight w:val="275"/>
          <w:jc w:val="center"/>
        </w:trPr>
        <w:tc>
          <w:tcPr>
            <w:tcW w:w="0" w:type="auto"/>
            <w:shd w:val="clear" w:color="auto" w:fill="auto"/>
            <w:noWrap/>
            <w:vAlign w:val="bottom"/>
            <w:hideMark/>
          </w:tcPr>
          <w:p w:rsidR="00520523" w:rsidRPr="00672941" w:rsidRDefault="00520523" w:rsidP="006B1D3E">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520523" w:rsidRPr="00672941" w:rsidRDefault="00520523" w:rsidP="006B1D3E">
            <w:pPr>
              <w:spacing w:before="80"/>
              <w:jc w:val="right"/>
              <w:rPr>
                <w:rFonts w:ascii="Arial" w:hAnsi="Arial" w:cs="Arial"/>
                <w:sz w:val="18"/>
                <w:szCs w:val="18"/>
              </w:rPr>
            </w:pPr>
            <w:r>
              <w:rPr>
                <w:rFonts w:ascii="Arial" w:hAnsi="Arial" w:cs="Arial"/>
                <w:sz w:val="18"/>
                <w:szCs w:val="18"/>
              </w:rPr>
              <w:t>19,336,513</w:t>
            </w:r>
          </w:p>
        </w:tc>
      </w:tr>
      <w:tr w:rsidR="00520523" w:rsidRPr="00672941" w:rsidTr="006B1D3E">
        <w:trPr>
          <w:trHeight w:val="275"/>
          <w:jc w:val="center"/>
        </w:trPr>
        <w:tc>
          <w:tcPr>
            <w:tcW w:w="0" w:type="auto"/>
            <w:shd w:val="clear" w:color="auto" w:fill="auto"/>
            <w:noWrap/>
            <w:vAlign w:val="bottom"/>
            <w:hideMark/>
          </w:tcPr>
          <w:p w:rsidR="00520523" w:rsidRPr="00672941" w:rsidRDefault="00520523" w:rsidP="006B1D3E">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520523" w:rsidRPr="00672941" w:rsidRDefault="00520523" w:rsidP="006B1D3E">
            <w:pPr>
              <w:spacing w:before="80"/>
              <w:jc w:val="right"/>
              <w:rPr>
                <w:rFonts w:ascii="Arial" w:hAnsi="Arial" w:cs="Arial"/>
                <w:sz w:val="18"/>
                <w:szCs w:val="18"/>
              </w:rPr>
            </w:pPr>
            <w:r>
              <w:rPr>
                <w:rFonts w:ascii="Arial" w:hAnsi="Arial" w:cs="Arial"/>
                <w:sz w:val="18"/>
                <w:szCs w:val="18"/>
              </w:rPr>
              <w:t>8,841,078</w:t>
            </w:r>
          </w:p>
        </w:tc>
      </w:tr>
      <w:tr w:rsidR="00520523" w:rsidRPr="00672941" w:rsidTr="006B1D3E">
        <w:trPr>
          <w:trHeight w:val="220"/>
          <w:jc w:val="center"/>
        </w:trPr>
        <w:tc>
          <w:tcPr>
            <w:tcW w:w="0" w:type="auto"/>
            <w:shd w:val="clear" w:color="auto" w:fill="auto"/>
            <w:noWrap/>
            <w:vAlign w:val="bottom"/>
            <w:hideMark/>
          </w:tcPr>
          <w:p w:rsidR="00520523" w:rsidRPr="00672941" w:rsidRDefault="00520523" w:rsidP="006B1D3E">
            <w:pPr>
              <w:spacing w:before="80"/>
              <w:jc w:val="both"/>
              <w:rPr>
                <w:rFonts w:ascii="Arial" w:hAnsi="Arial" w:cs="Arial"/>
                <w:sz w:val="18"/>
                <w:szCs w:val="18"/>
              </w:rPr>
            </w:pPr>
            <w:r w:rsidRPr="00672941">
              <w:rPr>
                <w:rFonts w:ascii="Arial" w:hAnsi="Arial" w:cs="Arial"/>
                <w:sz w:val="18"/>
                <w:szCs w:val="18"/>
              </w:rPr>
              <w:lastRenderedPageBreak/>
              <w:t>Ley de Ingresos Recaudada</w:t>
            </w:r>
          </w:p>
        </w:tc>
        <w:tc>
          <w:tcPr>
            <w:tcW w:w="0" w:type="auto"/>
            <w:shd w:val="clear" w:color="auto" w:fill="auto"/>
            <w:noWrap/>
            <w:vAlign w:val="bottom"/>
            <w:hideMark/>
          </w:tcPr>
          <w:p w:rsidR="00520523" w:rsidRPr="00672941" w:rsidRDefault="00520523" w:rsidP="006B1D3E">
            <w:pPr>
              <w:spacing w:before="80"/>
              <w:jc w:val="right"/>
              <w:rPr>
                <w:rFonts w:ascii="Arial" w:hAnsi="Arial" w:cs="Arial"/>
                <w:sz w:val="18"/>
                <w:szCs w:val="18"/>
              </w:rPr>
            </w:pPr>
            <w:r>
              <w:rPr>
                <w:rFonts w:ascii="Arial" w:hAnsi="Arial" w:cs="Arial"/>
                <w:sz w:val="18"/>
                <w:szCs w:val="18"/>
              </w:rPr>
              <w:t>8,841,078</w:t>
            </w:r>
          </w:p>
        </w:tc>
      </w:tr>
    </w:tbl>
    <w:p w:rsidR="00520523" w:rsidRPr="00AF6A66" w:rsidRDefault="00520523" w:rsidP="00520523">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rsidR="00520523" w:rsidRPr="002F31D1" w:rsidRDefault="00520523" w:rsidP="00520523">
      <w:pPr>
        <w:pStyle w:val="Prrafodelista"/>
        <w:autoSpaceDE w:val="0"/>
        <w:autoSpaceDN w:val="0"/>
        <w:adjustRightInd w:val="0"/>
        <w:spacing w:before="80"/>
        <w:ind w:left="1843"/>
        <w:jc w:val="both"/>
        <w:rPr>
          <w:rFonts w:ascii="Arial" w:hAnsi="Arial" w:cs="Arial"/>
          <w:b/>
          <w:color w:val="FFFFFF"/>
          <w:sz w:val="18"/>
          <w:szCs w:val="18"/>
        </w:rPr>
      </w:pPr>
    </w:p>
    <w:tbl>
      <w:tblPr>
        <w:tblW w:w="0" w:type="auto"/>
        <w:jc w:val="center"/>
        <w:tblCellMar>
          <w:left w:w="70" w:type="dxa"/>
          <w:right w:w="70" w:type="dxa"/>
        </w:tblCellMar>
        <w:tblLook w:val="04A0"/>
      </w:tblPr>
      <w:tblGrid>
        <w:gridCol w:w="4373"/>
        <w:gridCol w:w="1585"/>
      </w:tblGrid>
      <w:tr w:rsidR="00520523" w:rsidRPr="002F31D1" w:rsidTr="006B1D3E">
        <w:trPr>
          <w:trHeight w:val="240"/>
          <w:jc w:val="center"/>
        </w:trPr>
        <w:tc>
          <w:tcPr>
            <w:tcW w:w="0" w:type="auto"/>
            <w:shd w:val="clear" w:color="auto" w:fill="00B050"/>
            <w:noWrap/>
            <w:vAlign w:val="center"/>
            <w:hideMark/>
          </w:tcPr>
          <w:p w:rsidR="00520523" w:rsidRPr="002F31D1" w:rsidRDefault="00520523" w:rsidP="006B1D3E">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00B050"/>
            <w:noWrap/>
            <w:vAlign w:val="center"/>
            <w:hideMark/>
          </w:tcPr>
          <w:p w:rsidR="00520523" w:rsidRPr="002F31D1" w:rsidRDefault="00520523" w:rsidP="006B1D3E">
            <w:pPr>
              <w:spacing w:before="80" w:line="240" w:lineRule="auto"/>
              <w:jc w:val="center"/>
              <w:rPr>
                <w:rFonts w:ascii="Arial" w:hAnsi="Arial" w:cs="Arial"/>
                <w:b/>
                <w:bCs/>
                <w:color w:val="FFFFFF"/>
                <w:sz w:val="18"/>
                <w:szCs w:val="18"/>
              </w:rPr>
            </w:pPr>
            <w:r>
              <w:rPr>
                <w:rFonts w:ascii="Arial" w:hAnsi="Arial" w:cs="Arial"/>
                <w:b/>
                <w:bCs/>
                <w:color w:val="FFFFFF"/>
                <w:sz w:val="18"/>
                <w:szCs w:val="18"/>
              </w:rPr>
              <w:t>(Enero-Junio)  2015</w:t>
            </w:r>
          </w:p>
        </w:tc>
      </w:tr>
      <w:tr w:rsidR="00520523" w:rsidRPr="002F31D1" w:rsidTr="006B1D3E">
        <w:trPr>
          <w:trHeight w:val="240"/>
          <w:jc w:val="center"/>
        </w:trPr>
        <w:tc>
          <w:tcPr>
            <w:tcW w:w="0" w:type="auto"/>
            <w:shd w:val="clear" w:color="auto" w:fill="auto"/>
            <w:noWrap/>
            <w:vAlign w:val="bottom"/>
            <w:hideMark/>
          </w:tcPr>
          <w:p w:rsidR="00520523" w:rsidRPr="00672941" w:rsidRDefault="00520523" w:rsidP="006B1D3E">
            <w:pPr>
              <w:spacing w:before="80"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520523" w:rsidRPr="00672941" w:rsidRDefault="00520523" w:rsidP="006B1D3E">
            <w:pPr>
              <w:spacing w:before="80" w:line="240" w:lineRule="auto"/>
              <w:jc w:val="right"/>
              <w:rPr>
                <w:rFonts w:ascii="Arial" w:hAnsi="Arial" w:cs="Arial"/>
                <w:sz w:val="18"/>
                <w:szCs w:val="18"/>
              </w:rPr>
            </w:pPr>
            <w:r>
              <w:rPr>
                <w:rFonts w:ascii="Arial" w:hAnsi="Arial" w:cs="Arial"/>
                <w:sz w:val="18"/>
                <w:szCs w:val="18"/>
              </w:rPr>
              <w:t>$18,816,219</w:t>
            </w:r>
          </w:p>
        </w:tc>
      </w:tr>
      <w:tr w:rsidR="00520523" w:rsidRPr="002F31D1" w:rsidTr="006B1D3E">
        <w:trPr>
          <w:trHeight w:val="300"/>
          <w:jc w:val="center"/>
        </w:trPr>
        <w:tc>
          <w:tcPr>
            <w:tcW w:w="0" w:type="auto"/>
            <w:shd w:val="clear" w:color="auto" w:fill="auto"/>
            <w:noWrap/>
            <w:vAlign w:val="bottom"/>
            <w:hideMark/>
          </w:tcPr>
          <w:p w:rsidR="00520523" w:rsidRPr="00672941" w:rsidRDefault="00520523" w:rsidP="006B1D3E">
            <w:pPr>
              <w:spacing w:before="80"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520523" w:rsidRPr="00672941" w:rsidRDefault="00520523" w:rsidP="006B1D3E">
            <w:pPr>
              <w:spacing w:before="80" w:line="240" w:lineRule="auto"/>
              <w:jc w:val="right"/>
              <w:rPr>
                <w:rFonts w:ascii="Arial" w:hAnsi="Arial" w:cs="Arial"/>
                <w:sz w:val="18"/>
                <w:szCs w:val="18"/>
              </w:rPr>
            </w:pPr>
            <w:r>
              <w:rPr>
                <w:rFonts w:ascii="Arial" w:hAnsi="Arial" w:cs="Arial"/>
                <w:sz w:val="18"/>
                <w:szCs w:val="18"/>
              </w:rPr>
              <w:t>520,294</w:t>
            </w:r>
          </w:p>
        </w:tc>
      </w:tr>
      <w:tr w:rsidR="00520523" w:rsidRPr="002F31D1" w:rsidTr="006B1D3E">
        <w:trPr>
          <w:trHeight w:val="240"/>
          <w:jc w:val="center"/>
        </w:trPr>
        <w:tc>
          <w:tcPr>
            <w:tcW w:w="0" w:type="auto"/>
            <w:shd w:val="clear" w:color="auto" w:fill="auto"/>
            <w:noWrap/>
            <w:vAlign w:val="bottom"/>
            <w:hideMark/>
          </w:tcPr>
          <w:p w:rsidR="00520523" w:rsidRPr="00672941" w:rsidRDefault="00520523" w:rsidP="006B1D3E">
            <w:pPr>
              <w:spacing w:before="80" w:line="240" w:lineRule="auto"/>
              <w:jc w:val="both"/>
              <w:rPr>
                <w:rFonts w:ascii="Arial" w:hAnsi="Arial" w:cs="Arial"/>
                <w:sz w:val="18"/>
                <w:szCs w:val="18"/>
              </w:rPr>
            </w:pPr>
            <w:r w:rsidRPr="00672941">
              <w:rPr>
                <w:rFonts w:ascii="Arial" w:hAnsi="Arial" w:cs="Arial"/>
                <w:sz w:val="18"/>
                <w:szCs w:val="18"/>
              </w:rPr>
              <w:t>Modificaciones al Presupuesto de Egresos Aprobado</w:t>
            </w:r>
          </w:p>
        </w:tc>
        <w:tc>
          <w:tcPr>
            <w:tcW w:w="1585" w:type="dxa"/>
            <w:shd w:val="clear" w:color="auto" w:fill="auto"/>
            <w:noWrap/>
            <w:vAlign w:val="bottom"/>
            <w:hideMark/>
          </w:tcPr>
          <w:p w:rsidR="00520523" w:rsidRPr="00672941" w:rsidRDefault="00520523" w:rsidP="006B1D3E">
            <w:pPr>
              <w:spacing w:before="80" w:line="240" w:lineRule="auto"/>
              <w:jc w:val="right"/>
              <w:rPr>
                <w:rFonts w:ascii="Arial" w:hAnsi="Arial" w:cs="Arial"/>
                <w:sz w:val="18"/>
                <w:szCs w:val="18"/>
              </w:rPr>
            </w:pPr>
            <w:r>
              <w:rPr>
                <w:rFonts w:ascii="Arial" w:hAnsi="Arial" w:cs="Arial"/>
                <w:sz w:val="18"/>
                <w:szCs w:val="18"/>
              </w:rPr>
              <w:t>19,336,513</w:t>
            </w:r>
          </w:p>
        </w:tc>
      </w:tr>
      <w:tr w:rsidR="00520523" w:rsidRPr="002F31D1" w:rsidTr="006B1D3E">
        <w:trPr>
          <w:trHeight w:val="240"/>
          <w:jc w:val="center"/>
        </w:trPr>
        <w:tc>
          <w:tcPr>
            <w:tcW w:w="0" w:type="auto"/>
            <w:shd w:val="clear" w:color="auto" w:fill="auto"/>
            <w:noWrap/>
            <w:vAlign w:val="bottom"/>
            <w:hideMark/>
          </w:tcPr>
          <w:p w:rsidR="00520523" w:rsidRPr="00672941" w:rsidRDefault="00520523" w:rsidP="006B1D3E">
            <w:pPr>
              <w:spacing w:before="80" w:line="240" w:lineRule="auto"/>
              <w:jc w:val="both"/>
              <w:rPr>
                <w:rFonts w:ascii="Arial" w:hAnsi="Arial" w:cs="Arial"/>
                <w:sz w:val="18"/>
                <w:szCs w:val="18"/>
              </w:rPr>
            </w:pPr>
            <w:r w:rsidRPr="00672941">
              <w:rPr>
                <w:rFonts w:ascii="Arial" w:hAnsi="Arial" w:cs="Arial"/>
                <w:sz w:val="18"/>
                <w:szCs w:val="18"/>
              </w:rPr>
              <w:t>Presupuesto de Egresos Comprometido</w:t>
            </w:r>
          </w:p>
        </w:tc>
        <w:tc>
          <w:tcPr>
            <w:tcW w:w="1585" w:type="dxa"/>
            <w:shd w:val="clear" w:color="auto" w:fill="auto"/>
            <w:noWrap/>
            <w:vAlign w:val="bottom"/>
            <w:hideMark/>
          </w:tcPr>
          <w:p w:rsidR="00520523" w:rsidRPr="00672941" w:rsidRDefault="00520523" w:rsidP="006B1D3E">
            <w:pPr>
              <w:spacing w:before="80" w:line="240" w:lineRule="auto"/>
              <w:jc w:val="right"/>
              <w:rPr>
                <w:rFonts w:ascii="Arial" w:hAnsi="Arial" w:cs="Arial"/>
                <w:sz w:val="18"/>
                <w:szCs w:val="18"/>
              </w:rPr>
            </w:pPr>
            <w:r w:rsidRPr="00672941">
              <w:rPr>
                <w:rFonts w:ascii="Arial" w:hAnsi="Arial" w:cs="Arial"/>
                <w:sz w:val="18"/>
                <w:szCs w:val="18"/>
              </w:rPr>
              <w:t>0</w:t>
            </w:r>
          </w:p>
        </w:tc>
      </w:tr>
      <w:tr w:rsidR="00520523" w:rsidRPr="002F31D1" w:rsidTr="006B1D3E">
        <w:trPr>
          <w:trHeight w:val="240"/>
          <w:jc w:val="center"/>
        </w:trPr>
        <w:tc>
          <w:tcPr>
            <w:tcW w:w="0" w:type="auto"/>
            <w:shd w:val="clear" w:color="auto" w:fill="auto"/>
            <w:noWrap/>
            <w:vAlign w:val="bottom"/>
            <w:hideMark/>
          </w:tcPr>
          <w:p w:rsidR="00520523" w:rsidRPr="00672941" w:rsidRDefault="00520523" w:rsidP="006B1D3E">
            <w:pPr>
              <w:spacing w:before="80"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520523" w:rsidRPr="00672941" w:rsidRDefault="00520523" w:rsidP="006B1D3E">
            <w:pPr>
              <w:spacing w:before="80" w:line="240" w:lineRule="auto"/>
              <w:jc w:val="right"/>
              <w:rPr>
                <w:rFonts w:ascii="Arial" w:hAnsi="Arial" w:cs="Arial"/>
                <w:sz w:val="18"/>
                <w:szCs w:val="18"/>
              </w:rPr>
            </w:pPr>
            <w:r>
              <w:rPr>
                <w:rFonts w:ascii="Arial" w:hAnsi="Arial" w:cs="Arial"/>
                <w:sz w:val="18"/>
                <w:szCs w:val="18"/>
              </w:rPr>
              <w:t>8,732,642</w:t>
            </w:r>
          </w:p>
        </w:tc>
      </w:tr>
      <w:tr w:rsidR="00520523" w:rsidRPr="002F31D1" w:rsidTr="006B1D3E">
        <w:trPr>
          <w:trHeight w:val="240"/>
          <w:jc w:val="center"/>
        </w:trPr>
        <w:tc>
          <w:tcPr>
            <w:tcW w:w="0" w:type="auto"/>
            <w:shd w:val="clear" w:color="auto" w:fill="auto"/>
            <w:noWrap/>
            <w:vAlign w:val="bottom"/>
            <w:hideMark/>
          </w:tcPr>
          <w:p w:rsidR="00520523" w:rsidRPr="00672941" w:rsidRDefault="00520523" w:rsidP="006B1D3E">
            <w:pPr>
              <w:spacing w:before="80" w:line="240" w:lineRule="auto"/>
              <w:jc w:val="both"/>
              <w:rPr>
                <w:rFonts w:ascii="Arial" w:hAnsi="Arial" w:cs="Arial"/>
                <w:sz w:val="18"/>
                <w:szCs w:val="18"/>
              </w:rPr>
            </w:pPr>
            <w:r w:rsidRPr="00672941">
              <w:rPr>
                <w:rFonts w:ascii="Arial" w:hAnsi="Arial" w:cs="Arial"/>
                <w:sz w:val="18"/>
                <w:szCs w:val="18"/>
              </w:rPr>
              <w:t>Presupuesto de Egresos Ejercido</w:t>
            </w:r>
          </w:p>
        </w:tc>
        <w:tc>
          <w:tcPr>
            <w:tcW w:w="1585" w:type="dxa"/>
            <w:shd w:val="clear" w:color="auto" w:fill="auto"/>
            <w:noWrap/>
            <w:vAlign w:val="bottom"/>
            <w:hideMark/>
          </w:tcPr>
          <w:p w:rsidR="00520523" w:rsidRPr="00672941" w:rsidRDefault="00520523" w:rsidP="006B1D3E">
            <w:pPr>
              <w:spacing w:before="80" w:line="240" w:lineRule="auto"/>
              <w:jc w:val="right"/>
              <w:rPr>
                <w:rFonts w:ascii="Arial" w:hAnsi="Arial" w:cs="Arial"/>
                <w:sz w:val="18"/>
                <w:szCs w:val="18"/>
              </w:rPr>
            </w:pPr>
            <w:r>
              <w:rPr>
                <w:rFonts w:ascii="Arial" w:hAnsi="Arial" w:cs="Arial"/>
                <w:sz w:val="18"/>
                <w:szCs w:val="18"/>
              </w:rPr>
              <w:t>17,973</w:t>
            </w:r>
          </w:p>
        </w:tc>
      </w:tr>
      <w:tr w:rsidR="00520523" w:rsidRPr="00672941" w:rsidTr="006B1D3E">
        <w:trPr>
          <w:trHeight w:val="240"/>
          <w:jc w:val="center"/>
        </w:trPr>
        <w:tc>
          <w:tcPr>
            <w:tcW w:w="0" w:type="auto"/>
            <w:shd w:val="clear" w:color="auto" w:fill="auto"/>
            <w:noWrap/>
            <w:vAlign w:val="bottom"/>
            <w:hideMark/>
          </w:tcPr>
          <w:p w:rsidR="00520523" w:rsidRPr="00672941" w:rsidRDefault="00520523" w:rsidP="006B1D3E">
            <w:pPr>
              <w:spacing w:before="80"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520523" w:rsidRPr="00672941" w:rsidRDefault="00520523" w:rsidP="006B1D3E">
            <w:pPr>
              <w:spacing w:before="80" w:line="240" w:lineRule="auto"/>
              <w:jc w:val="right"/>
              <w:rPr>
                <w:rFonts w:ascii="Arial" w:hAnsi="Arial" w:cs="Arial"/>
                <w:sz w:val="18"/>
                <w:szCs w:val="18"/>
              </w:rPr>
            </w:pPr>
            <w:r>
              <w:rPr>
                <w:rFonts w:ascii="Arial" w:hAnsi="Arial" w:cs="Arial"/>
                <w:sz w:val="18"/>
                <w:szCs w:val="18"/>
              </w:rPr>
              <w:t>8,714,669</w:t>
            </w:r>
          </w:p>
        </w:tc>
      </w:tr>
    </w:tbl>
    <w:p w:rsidR="00520523" w:rsidRPr="002F31D1" w:rsidRDefault="00520523" w:rsidP="00520523">
      <w:pPr>
        <w:pStyle w:val="Prrafodelista"/>
        <w:spacing w:before="80"/>
        <w:ind w:left="0"/>
        <w:jc w:val="both"/>
        <w:rPr>
          <w:rFonts w:ascii="Arial" w:hAnsi="Arial" w:cs="Arial"/>
          <w:sz w:val="18"/>
          <w:szCs w:val="18"/>
        </w:rPr>
      </w:pPr>
    </w:p>
    <w:p w:rsidR="00520523" w:rsidRDefault="00520523" w:rsidP="00520523">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520523" w:rsidRPr="002F31D1" w:rsidRDefault="00520523" w:rsidP="00520523">
      <w:pPr>
        <w:pStyle w:val="Prrafodelista"/>
        <w:autoSpaceDE w:val="0"/>
        <w:autoSpaceDN w:val="0"/>
        <w:adjustRightInd w:val="0"/>
        <w:spacing w:before="80"/>
        <w:jc w:val="both"/>
        <w:rPr>
          <w:rFonts w:ascii="Arial" w:hAnsi="Arial" w:cs="Arial"/>
          <w:b/>
          <w:sz w:val="18"/>
          <w:szCs w:val="18"/>
        </w:rPr>
      </w:pPr>
    </w:p>
    <w:p w:rsidR="00520523" w:rsidRPr="002F31D1" w:rsidRDefault="00520523" w:rsidP="00520523">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520523" w:rsidRPr="002F31D1" w:rsidRDefault="00520523" w:rsidP="00520523">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520523" w:rsidRDefault="00520523" w:rsidP="00520523">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w:t>
      </w:r>
    </w:p>
    <w:p w:rsidR="00520523" w:rsidRPr="002F31D1" w:rsidRDefault="00520523" w:rsidP="00520523">
      <w:pPr>
        <w:pStyle w:val="Prrafodelista"/>
        <w:spacing w:before="80"/>
        <w:ind w:left="0"/>
        <w:jc w:val="both"/>
        <w:rPr>
          <w:rFonts w:ascii="Arial" w:hAnsi="Arial" w:cs="Arial"/>
          <w:sz w:val="18"/>
          <w:szCs w:val="18"/>
        </w:rPr>
      </w:pPr>
    </w:p>
    <w:p w:rsidR="00520523" w:rsidRPr="00475136" w:rsidRDefault="00520523" w:rsidP="00520523">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520523" w:rsidRDefault="00520523" w:rsidP="00520523">
      <w:pPr>
        <w:spacing w:before="80"/>
        <w:jc w:val="both"/>
        <w:rPr>
          <w:rFonts w:ascii="Arial" w:hAnsi="Arial" w:cs="Arial"/>
          <w:sz w:val="18"/>
          <w:szCs w:val="18"/>
        </w:rPr>
      </w:pPr>
      <w:r w:rsidRPr="0042692E">
        <w:rPr>
          <w:rFonts w:ascii="Arial" w:hAnsi="Arial" w:cs="Arial"/>
          <w:sz w:val="18"/>
          <w:szCs w:val="18"/>
        </w:rPr>
        <w:lastRenderedPageBreak/>
        <w:t>La Comisión Estatal de Derechos Humanos es un Organismo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520523" w:rsidRPr="002F31D1" w:rsidRDefault="00520523" w:rsidP="00520523">
      <w:pPr>
        <w:spacing w:before="80"/>
        <w:jc w:val="both"/>
        <w:rPr>
          <w:rFonts w:ascii="Arial" w:hAnsi="Arial" w:cs="Arial"/>
          <w:sz w:val="18"/>
          <w:szCs w:val="18"/>
        </w:rPr>
      </w:pPr>
      <w:r>
        <w:rPr>
          <w:rFonts w:ascii="Arial" w:hAnsi="Arial" w:cs="Arial"/>
          <w:sz w:val="18"/>
          <w:szCs w:val="18"/>
        </w:rPr>
        <w:t xml:space="preserve">Con fecha 24 de Febrero de 1993, se publicó en el Periódico Oficial del gobierno del Estado de Tlaxcala el Decreto por el que se crea la  </w:t>
      </w:r>
      <w:r w:rsidRPr="0042692E">
        <w:rPr>
          <w:rFonts w:ascii="Arial" w:hAnsi="Arial" w:cs="Arial"/>
          <w:sz w:val="18"/>
          <w:szCs w:val="18"/>
        </w:rPr>
        <w:t>Comisión Estatal de Derechos Humanos</w:t>
      </w:r>
      <w:r>
        <w:rPr>
          <w:rFonts w:ascii="Arial" w:hAnsi="Arial" w:cs="Arial"/>
          <w:sz w:val="18"/>
          <w:szCs w:val="18"/>
        </w:rPr>
        <w:t xml:space="preserve"> como un organismo autónomo, con personalidad jurídica y patrimonio propios cuya finalidad es la protección, observancia, promoción, estudio y divulgación de los Derechos Humanos previstos por el orden Jurídico mexicano.</w:t>
      </w:r>
    </w:p>
    <w:p w:rsidR="00520523" w:rsidRDefault="00520523" w:rsidP="00520523">
      <w:pPr>
        <w:pStyle w:val="Prrafodelista"/>
        <w:autoSpaceDE w:val="0"/>
        <w:autoSpaceDN w:val="0"/>
        <w:adjustRightInd w:val="0"/>
        <w:spacing w:before="80"/>
        <w:ind w:left="0"/>
        <w:jc w:val="both"/>
        <w:rPr>
          <w:rFonts w:ascii="Arial" w:hAnsi="Arial" w:cs="Arial"/>
          <w:sz w:val="18"/>
          <w:szCs w:val="18"/>
        </w:rPr>
      </w:pPr>
      <w:r>
        <w:rPr>
          <w:rFonts w:ascii="Arial" w:hAnsi="Arial" w:cs="Arial"/>
          <w:sz w:val="18"/>
          <w:szCs w:val="18"/>
        </w:rPr>
        <w:t>Con fecha  21 de Junio del  2011</w:t>
      </w:r>
      <w:r w:rsidRPr="009937E8">
        <w:rPr>
          <w:rFonts w:ascii="Arial" w:hAnsi="Arial" w:cs="Arial"/>
          <w:sz w:val="18"/>
          <w:szCs w:val="18"/>
        </w:rPr>
        <w:t xml:space="preserve"> </w:t>
      </w:r>
      <w:r>
        <w:rPr>
          <w:rFonts w:ascii="Arial" w:hAnsi="Arial" w:cs="Arial"/>
          <w:sz w:val="18"/>
          <w:szCs w:val="18"/>
        </w:rPr>
        <w:t>se publicó en el Periódico Oficial del gobierno del Estado de Tlaxcala, la última reforma de la Ley de la Comisión Estatal de Derechos Humanos.</w:t>
      </w:r>
    </w:p>
    <w:p w:rsidR="00520523" w:rsidRDefault="00520523" w:rsidP="00520523">
      <w:pPr>
        <w:pStyle w:val="Prrafodelista"/>
        <w:autoSpaceDE w:val="0"/>
        <w:autoSpaceDN w:val="0"/>
        <w:adjustRightInd w:val="0"/>
        <w:spacing w:before="80"/>
        <w:ind w:left="0"/>
        <w:jc w:val="both"/>
        <w:rPr>
          <w:rFonts w:ascii="Arial" w:hAnsi="Arial" w:cs="Arial"/>
          <w:sz w:val="18"/>
          <w:szCs w:val="18"/>
        </w:rPr>
      </w:pPr>
    </w:p>
    <w:p w:rsidR="00520523" w:rsidRDefault="00520523" w:rsidP="00520523">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520523" w:rsidRPr="002F31D1" w:rsidRDefault="00520523" w:rsidP="00520523">
      <w:pPr>
        <w:pStyle w:val="Prrafodelista"/>
        <w:autoSpaceDE w:val="0"/>
        <w:autoSpaceDN w:val="0"/>
        <w:adjustRightInd w:val="0"/>
        <w:spacing w:before="80"/>
        <w:ind w:left="0"/>
        <w:jc w:val="both"/>
        <w:rPr>
          <w:rFonts w:ascii="Arial" w:hAnsi="Arial" w:cs="Arial"/>
          <w:b/>
          <w:sz w:val="18"/>
          <w:szCs w:val="18"/>
        </w:rPr>
      </w:pPr>
    </w:p>
    <w:p w:rsidR="00520523" w:rsidRPr="002F31D1" w:rsidRDefault="00520523" w:rsidP="00520523">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520523" w:rsidRPr="002F31D1" w:rsidRDefault="00520523" w:rsidP="00520523">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520523" w:rsidRPr="002F31D1" w:rsidRDefault="00520523" w:rsidP="00520523">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520523" w:rsidRPr="002F31D1" w:rsidRDefault="00520523" w:rsidP="00520523">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520523" w:rsidRPr="002F31D1" w:rsidRDefault="00520523" w:rsidP="00520523">
      <w:pPr>
        <w:pStyle w:val="Prrafodelista"/>
        <w:spacing w:before="80"/>
        <w:ind w:left="0"/>
        <w:jc w:val="both"/>
        <w:rPr>
          <w:rFonts w:ascii="Arial" w:hAnsi="Arial" w:cs="Arial"/>
          <w:sz w:val="18"/>
          <w:szCs w:val="18"/>
        </w:rPr>
      </w:pPr>
    </w:p>
    <w:p w:rsidR="00520523" w:rsidRPr="002F31D1" w:rsidRDefault="00520523" w:rsidP="00520523">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520523" w:rsidRPr="002F31D1" w:rsidRDefault="00520523" w:rsidP="00520523">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30 </w:t>
      </w:r>
      <w:r w:rsidRPr="002F31D1">
        <w:rPr>
          <w:rFonts w:ascii="Arial" w:hAnsi="Arial" w:cs="Arial"/>
          <w:sz w:val="18"/>
          <w:szCs w:val="18"/>
        </w:rPr>
        <w:t xml:space="preserve"> de </w:t>
      </w:r>
      <w:r>
        <w:rPr>
          <w:rFonts w:ascii="Arial" w:hAnsi="Arial" w:cs="Arial"/>
          <w:sz w:val="18"/>
          <w:szCs w:val="18"/>
        </w:rPr>
        <w:t>junio de 2015</w:t>
      </w:r>
      <w:r w:rsidRPr="002F31D1">
        <w:rPr>
          <w:rFonts w:ascii="Arial" w:hAnsi="Arial" w:cs="Arial"/>
          <w:sz w:val="18"/>
          <w:szCs w:val="18"/>
        </w:rPr>
        <w:t xml:space="preserve"> comparados con los del 1 de enero al 31 de diciembre</w:t>
      </w:r>
      <w:r>
        <w:rPr>
          <w:rFonts w:ascii="Arial" w:hAnsi="Arial" w:cs="Arial"/>
          <w:sz w:val="18"/>
          <w:szCs w:val="18"/>
        </w:rPr>
        <w:t xml:space="preserve"> de 2014</w:t>
      </w:r>
      <w:r w:rsidRPr="002F31D1">
        <w:rPr>
          <w:rFonts w:ascii="Arial" w:hAnsi="Arial" w:cs="Arial"/>
          <w:sz w:val="18"/>
          <w:szCs w:val="18"/>
        </w:rPr>
        <w:t>, los cuales contabilizan los eventos y las transacciones económicas cuantificables de las operaciones expresadas y contabilizadas en moneda nacional.</w:t>
      </w:r>
    </w:p>
    <w:p w:rsidR="00520523" w:rsidRPr="002F31D1" w:rsidRDefault="00520523" w:rsidP="00520523">
      <w:pPr>
        <w:pStyle w:val="Prrafodelista"/>
        <w:spacing w:before="80"/>
        <w:ind w:left="0"/>
        <w:jc w:val="both"/>
        <w:rPr>
          <w:rFonts w:ascii="Arial" w:hAnsi="Arial" w:cs="Arial"/>
          <w:sz w:val="18"/>
          <w:szCs w:val="18"/>
        </w:rPr>
      </w:pPr>
    </w:p>
    <w:p w:rsidR="00520523" w:rsidRPr="002F31D1" w:rsidRDefault="00520523" w:rsidP="00520523">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520523" w:rsidRPr="002F31D1" w:rsidRDefault="00520523" w:rsidP="00520523">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520523" w:rsidRPr="002F31D1" w:rsidRDefault="00520523" w:rsidP="00520523">
      <w:pPr>
        <w:pStyle w:val="Prrafodelista"/>
        <w:spacing w:before="80"/>
        <w:ind w:left="0"/>
        <w:jc w:val="both"/>
        <w:rPr>
          <w:rFonts w:ascii="Arial" w:hAnsi="Arial" w:cs="Arial"/>
          <w:sz w:val="18"/>
          <w:szCs w:val="18"/>
        </w:rPr>
      </w:pPr>
    </w:p>
    <w:p w:rsidR="00520523" w:rsidRPr="002F31D1" w:rsidRDefault="00520523" w:rsidP="00520523">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 xml:space="preserve">sideraciones Fiscales de la </w:t>
      </w:r>
      <w:proofErr w:type="spellStart"/>
      <w:r>
        <w:rPr>
          <w:rFonts w:ascii="Arial" w:hAnsi="Arial" w:cs="Arial"/>
          <w:b/>
          <w:sz w:val="18"/>
          <w:szCs w:val="18"/>
        </w:rPr>
        <w:t>Cedht</w:t>
      </w:r>
      <w:proofErr w:type="spellEnd"/>
    </w:p>
    <w:p w:rsidR="00520523" w:rsidRPr="002F31D1" w:rsidRDefault="00520523" w:rsidP="00520523">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rsidR="00520523" w:rsidRPr="002F31D1" w:rsidRDefault="00520523" w:rsidP="00520523">
      <w:pPr>
        <w:pStyle w:val="Prrafodelista"/>
        <w:spacing w:before="80"/>
        <w:ind w:left="0"/>
        <w:jc w:val="both"/>
        <w:rPr>
          <w:rFonts w:ascii="Arial" w:hAnsi="Arial" w:cs="Arial"/>
          <w:sz w:val="18"/>
          <w:szCs w:val="18"/>
        </w:rPr>
      </w:pPr>
    </w:p>
    <w:p w:rsidR="00520523" w:rsidRPr="002F31D1" w:rsidRDefault="00520523" w:rsidP="00520523">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520523" w:rsidRDefault="00520523" w:rsidP="00520523">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 xml:space="preserve"> </w:t>
      </w:r>
      <w:r w:rsidRPr="002F31D1">
        <w:rPr>
          <w:rFonts w:ascii="Arial" w:hAnsi="Arial" w:cs="Arial"/>
          <w:sz w:val="18"/>
          <w:szCs w:val="18"/>
        </w:rPr>
        <w:t xml:space="preserve">Comisión Estatal de Derechos Humanos del Estado de Tlaxcala se integrara, por un presidente, un Consejo Consultivo, </w:t>
      </w:r>
      <w:proofErr w:type="spellStart"/>
      <w:r w:rsidRPr="002F31D1">
        <w:rPr>
          <w:rFonts w:ascii="Arial" w:hAnsi="Arial" w:cs="Arial"/>
          <w:sz w:val="18"/>
          <w:szCs w:val="18"/>
        </w:rPr>
        <w:t>Visitadurías</w:t>
      </w:r>
      <w:proofErr w:type="spellEnd"/>
      <w:r w:rsidRPr="002F31D1">
        <w:rPr>
          <w:rFonts w:ascii="Arial" w:hAnsi="Arial" w:cs="Arial"/>
          <w:sz w:val="18"/>
          <w:szCs w:val="18"/>
        </w:rPr>
        <w:t>, una Secretaria Ejecutiva y el personal técnico y administrativo necesario para el desarrollo de sus funciones, de acuerdo al artículo 7 de la Ley de la Comisión Estatal de Derechos Humanos</w:t>
      </w:r>
      <w:r>
        <w:rPr>
          <w:rFonts w:ascii="Arial" w:hAnsi="Arial" w:cs="Arial"/>
          <w:sz w:val="18"/>
          <w:szCs w:val="18"/>
        </w:rPr>
        <w:t>.</w:t>
      </w:r>
    </w:p>
    <w:p w:rsidR="00520523" w:rsidRDefault="00520523" w:rsidP="00520523">
      <w:pPr>
        <w:pStyle w:val="Prrafodelista"/>
        <w:spacing w:before="80"/>
        <w:ind w:left="0"/>
        <w:jc w:val="both"/>
        <w:rPr>
          <w:rFonts w:ascii="Arial" w:hAnsi="Arial" w:cs="Arial"/>
          <w:sz w:val="18"/>
          <w:szCs w:val="18"/>
        </w:rPr>
      </w:pPr>
    </w:p>
    <w:p w:rsidR="00520523" w:rsidRPr="00475136" w:rsidRDefault="00520523" w:rsidP="00520523">
      <w:pPr>
        <w:pStyle w:val="Prrafodelista"/>
        <w:spacing w:before="80"/>
        <w:ind w:left="0"/>
        <w:jc w:val="both"/>
        <w:rPr>
          <w:rFonts w:ascii="Arial" w:hAnsi="Arial" w:cs="Arial"/>
          <w:b/>
          <w:sz w:val="18"/>
          <w:szCs w:val="18"/>
        </w:rPr>
      </w:pPr>
    </w:p>
    <w:p w:rsidR="00520523" w:rsidRDefault="00520523" w:rsidP="00520523">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520523" w:rsidRPr="002F31D1" w:rsidRDefault="00520523" w:rsidP="00520523">
      <w:pPr>
        <w:pStyle w:val="Prrafodelista"/>
        <w:autoSpaceDE w:val="0"/>
        <w:autoSpaceDN w:val="0"/>
        <w:adjustRightInd w:val="0"/>
        <w:spacing w:before="80" w:after="0"/>
        <w:ind w:left="1069"/>
        <w:jc w:val="both"/>
        <w:rPr>
          <w:rFonts w:ascii="Arial" w:hAnsi="Arial" w:cs="Arial"/>
          <w:b/>
          <w:sz w:val="18"/>
          <w:szCs w:val="18"/>
        </w:rPr>
      </w:pPr>
    </w:p>
    <w:p w:rsidR="00520523" w:rsidRPr="002F31D1" w:rsidRDefault="00520523" w:rsidP="00520523">
      <w:pPr>
        <w:jc w:val="both"/>
        <w:rPr>
          <w:rFonts w:ascii="Arial" w:hAnsi="Arial" w:cs="Arial"/>
          <w:sz w:val="18"/>
          <w:szCs w:val="18"/>
        </w:rPr>
      </w:pPr>
      <w:r w:rsidRPr="002F31D1">
        <w:rPr>
          <w:rFonts w:ascii="Arial" w:hAnsi="Arial" w:cs="Arial"/>
          <w:sz w:val="18"/>
          <w:szCs w:val="18"/>
        </w:rPr>
        <w:lastRenderedPageBreak/>
        <w:t>Los Estados Financieros de la Comisión Estatal de Derechos Humanos del Estado de Tlaxcala se elaboran en apego y con fundamento en el título IV de la Ley General de Contabilidad Gubernamental, las Normas emitidas por el CONAC en relación a la obligación de presentar la C</w:t>
      </w:r>
      <w:r>
        <w:rPr>
          <w:rFonts w:ascii="Arial" w:hAnsi="Arial" w:cs="Arial"/>
          <w:sz w:val="18"/>
          <w:szCs w:val="18"/>
        </w:rPr>
        <w:t>uenta Pública del segundo  trimestre (abril-junio) del Ejercicio 2015</w:t>
      </w:r>
      <w:r w:rsidRPr="002F31D1">
        <w:rPr>
          <w:rFonts w:ascii="Arial" w:hAnsi="Arial" w:cs="Arial"/>
          <w:sz w:val="18"/>
          <w:szCs w:val="18"/>
        </w:rPr>
        <w:t xml:space="preserve"> y </w:t>
      </w:r>
      <w:r>
        <w:rPr>
          <w:rFonts w:ascii="Arial" w:hAnsi="Arial" w:cs="Arial"/>
          <w:sz w:val="18"/>
          <w:szCs w:val="18"/>
        </w:rPr>
        <w:t>lo establecido en el artículo 51</w:t>
      </w:r>
      <w:r w:rsidRPr="002F31D1">
        <w:rPr>
          <w:rFonts w:ascii="Arial" w:hAnsi="Arial" w:cs="Arial"/>
          <w:sz w:val="18"/>
          <w:szCs w:val="18"/>
        </w:rPr>
        <w:t xml:space="preserve"> de la Ley de Contabilidad Gubernamental. </w:t>
      </w:r>
    </w:p>
    <w:p w:rsidR="00520523" w:rsidRPr="002F31D1" w:rsidRDefault="00520523" w:rsidP="00520523">
      <w:pPr>
        <w:spacing w:before="80"/>
        <w:jc w:val="both"/>
        <w:rPr>
          <w:rFonts w:ascii="Arial" w:hAnsi="Arial" w:cs="Arial"/>
          <w:sz w:val="18"/>
          <w:szCs w:val="18"/>
        </w:rPr>
      </w:pP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30 de junio de 2015</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 2014</w:t>
      </w:r>
      <w:r w:rsidRPr="002F31D1">
        <w:rPr>
          <w:rFonts w:ascii="Arial" w:hAnsi="Arial" w:cs="Arial"/>
          <w:sz w:val="18"/>
          <w:szCs w:val="18"/>
        </w:rPr>
        <w:t>, fueron determinados y están presentados en pesos mexicanos.</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520523" w:rsidRPr="002F31D1" w:rsidRDefault="00520523" w:rsidP="00520523">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520523" w:rsidRDefault="00520523" w:rsidP="00520523">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 vigente al día siguiente de su publicación,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520523" w:rsidRPr="002F31D1" w:rsidRDefault="00520523" w:rsidP="00520523">
      <w:pPr>
        <w:spacing w:before="80"/>
        <w:jc w:val="both"/>
        <w:rPr>
          <w:rFonts w:ascii="Arial" w:hAnsi="Arial" w:cs="Arial"/>
          <w:sz w:val="18"/>
          <w:szCs w:val="18"/>
        </w:rPr>
      </w:pPr>
    </w:p>
    <w:p w:rsidR="00520523" w:rsidRDefault="00520523" w:rsidP="00520523">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520523" w:rsidRPr="002F31D1" w:rsidRDefault="00520523" w:rsidP="00520523">
      <w:pPr>
        <w:pStyle w:val="Prrafodelista"/>
        <w:autoSpaceDE w:val="0"/>
        <w:autoSpaceDN w:val="0"/>
        <w:adjustRightInd w:val="0"/>
        <w:spacing w:before="80" w:after="0"/>
        <w:ind w:left="1069"/>
        <w:jc w:val="both"/>
        <w:rPr>
          <w:rFonts w:ascii="Arial" w:hAnsi="Arial" w:cs="Arial"/>
          <w:b/>
          <w:sz w:val="18"/>
          <w:szCs w:val="18"/>
        </w:rPr>
      </w:pPr>
    </w:p>
    <w:p w:rsidR="00520523" w:rsidRPr="002F31D1" w:rsidRDefault="00520523" w:rsidP="00520523">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520523" w:rsidRPr="002F31D1" w:rsidRDefault="00520523" w:rsidP="00520523">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 xml:space="preserve"> 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520523" w:rsidRDefault="00520523" w:rsidP="00520523">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rsidR="00520523" w:rsidRPr="002F31D1" w:rsidRDefault="00520523" w:rsidP="00520523">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520523" w:rsidRPr="002F31D1" w:rsidRDefault="00520523" w:rsidP="00520523">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lastRenderedPageBreak/>
        <w:t>Estructura Organizacional.</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CEDHT  </w:t>
      </w:r>
      <w:r w:rsidRPr="002F31D1">
        <w:rPr>
          <w:rFonts w:ascii="Arial" w:hAnsi="Arial" w:cs="Arial"/>
          <w:sz w:val="18"/>
          <w:szCs w:val="18"/>
        </w:rPr>
        <w:t>y refleja una relación jerárquica lógica, asignación de responsabilidades y facultades.</w:t>
      </w:r>
    </w:p>
    <w:p w:rsidR="00520523" w:rsidRPr="002F31D1" w:rsidRDefault="00520523" w:rsidP="00520523">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w:t>
      </w:r>
    </w:p>
    <w:p w:rsidR="00520523" w:rsidRPr="002F31D1" w:rsidRDefault="00520523" w:rsidP="00520523">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 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520523" w:rsidRPr="00475136" w:rsidRDefault="00520523" w:rsidP="00520523">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520523" w:rsidRPr="002F31D1" w:rsidRDefault="00520523" w:rsidP="00520523">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520523" w:rsidRPr="002F31D1" w:rsidRDefault="00520523" w:rsidP="00520523">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w:t>
      </w:r>
      <w:proofErr w:type="gramStart"/>
      <w:r>
        <w:rPr>
          <w:rFonts w:ascii="Arial" w:hAnsi="Arial" w:cs="Arial"/>
          <w:sz w:val="18"/>
          <w:szCs w:val="18"/>
        </w:rPr>
        <w:t>el</w:t>
      </w:r>
      <w:proofErr w:type="gramEnd"/>
      <w:r>
        <w:rPr>
          <w:rFonts w:ascii="Arial" w:hAnsi="Arial" w:cs="Arial"/>
          <w:sz w:val="18"/>
          <w:szCs w:val="18"/>
        </w:rPr>
        <w:t xml:space="preserve"> cual </w:t>
      </w:r>
      <w:r w:rsidRPr="002F31D1">
        <w:rPr>
          <w:rFonts w:ascii="Arial" w:hAnsi="Arial" w:cs="Arial"/>
          <w:sz w:val="18"/>
          <w:szCs w:val="18"/>
        </w:rPr>
        <w:t xml:space="preserve"> permite identificar transacciones reales y elegibles;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520523" w:rsidRDefault="00A7654A" w:rsidP="00520523">
      <w:pPr>
        <w:pStyle w:val="Prrafodelista"/>
        <w:numPr>
          <w:ilvl w:val="0"/>
          <w:numId w:val="18"/>
        </w:numPr>
        <w:spacing w:before="80" w:after="0"/>
        <w:jc w:val="both"/>
        <w:rPr>
          <w:rFonts w:ascii="Arial" w:hAnsi="Arial" w:cs="Arial"/>
          <w:b/>
          <w:sz w:val="18"/>
          <w:szCs w:val="18"/>
        </w:rPr>
      </w:pPr>
      <w:r>
        <w:rPr>
          <w:rFonts w:ascii="Arial" w:hAnsi="Arial" w:cs="Arial"/>
          <w:b/>
          <w:sz w:val="18"/>
          <w:szCs w:val="18"/>
        </w:rPr>
        <w:t xml:space="preserve"> </w:t>
      </w:r>
      <w:r w:rsidR="00520523" w:rsidRPr="00F95534">
        <w:rPr>
          <w:rFonts w:ascii="Arial" w:hAnsi="Arial" w:cs="Arial"/>
          <w:b/>
          <w:sz w:val="18"/>
          <w:szCs w:val="18"/>
        </w:rPr>
        <w:t xml:space="preserve">Partes relacionadas </w:t>
      </w:r>
    </w:p>
    <w:p w:rsidR="00520523" w:rsidRDefault="00520523" w:rsidP="00520523">
      <w:pPr>
        <w:pStyle w:val="Prrafodelista"/>
        <w:spacing w:before="80"/>
        <w:ind w:left="0"/>
        <w:jc w:val="both"/>
        <w:rPr>
          <w:rFonts w:ascii="Arial" w:hAnsi="Arial" w:cs="Arial"/>
          <w:b/>
          <w:sz w:val="18"/>
          <w:szCs w:val="18"/>
        </w:rPr>
      </w:pPr>
    </w:p>
    <w:p w:rsidR="00520523" w:rsidRPr="00F95534" w:rsidRDefault="00520523" w:rsidP="00520523">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rsidR="00520523" w:rsidRPr="002F31D1" w:rsidRDefault="00520523" w:rsidP="00520523">
      <w:pPr>
        <w:pStyle w:val="Prrafodelista"/>
        <w:spacing w:before="80"/>
        <w:ind w:left="1429"/>
        <w:jc w:val="both"/>
        <w:rPr>
          <w:rFonts w:ascii="Arial" w:hAnsi="Arial" w:cs="Arial"/>
          <w:sz w:val="18"/>
          <w:szCs w:val="18"/>
        </w:rPr>
      </w:pPr>
    </w:p>
    <w:p w:rsidR="00520523" w:rsidRPr="002F31D1" w:rsidRDefault="00520523" w:rsidP="00520523">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520523" w:rsidRPr="002F31D1" w:rsidRDefault="00520523" w:rsidP="00520523">
      <w:pPr>
        <w:pStyle w:val="Prrafodelista"/>
        <w:spacing w:before="80"/>
        <w:ind w:left="0"/>
        <w:jc w:val="both"/>
        <w:rPr>
          <w:rFonts w:ascii="Arial" w:hAnsi="Arial" w:cs="Arial"/>
          <w:sz w:val="18"/>
          <w:szCs w:val="18"/>
        </w:rPr>
      </w:pPr>
    </w:p>
    <w:p w:rsidR="00520523" w:rsidRPr="00A7654A" w:rsidRDefault="00520523" w:rsidP="00A7654A">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520523" w:rsidRPr="00C76D92" w:rsidRDefault="00520523" w:rsidP="00520523">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520523" w:rsidRDefault="00520523" w:rsidP="00520523">
      <w:pPr>
        <w:autoSpaceDE w:val="0"/>
        <w:autoSpaceDN w:val="0"/>
        <w:adjustRightInd w:val="0"/>
        <w:spacing w:before="80"/>
        <w:contextualSpacing/>
        <w:jc w:val="both"/>
        <w:rPr>
          <w:rFonts w:ascii="Arial" w:hAnsi="Arial" w:cs="Arial"/>
          <w:b/>
          <w:sz w:val="18"/>
          <w:szCs w:val="18"/>
        </w:rPr>
      </w:pPr>
    </w:p>
    <w:p w:rsidR="00520523" w:rsidRDefault="00520523" w:rsidP="00520523">
      <w:pPr>
        <w:autoSpaceDE w:val="0"/>
        <w:autoSpaceDN w:val="0"/>
        <w:adjustRightInd w:val="0"/>
        <w:spacing w:before="80"/>
        <w:contextualSpacing/>
        <w:jc w:val="both"/>
        <w:rPr>
          <w:rFonts w:ascii="Arial" w:hAnsi="Arial" w:cs="Arial"/>
          <w:b/>
          <w:sz w:val="18"/>
          <w:szCs w:val="18"/>
        </w:rPr>
      </w:pPr>
    </w:p>
    <w:p w:rsidR="00520523" w:rsidRDefault="00520523" w:rsidP="00520523">
      <w:pPr>
        <w:autoSpaceDE w:val="0"/>
        <w:autoSpaceDN w:val="0"/>
        <w:adjustRightInd w:val="0"/>
        <w:spacing w:before="80"/>
        <w:contextualSpacing/>
        <w:jc w:val="both"/>
        <w:rPr>
          <w:rFonts w:ascii="Arial" w:hAnsi="Arial" w:cs="Arial"/>
          <w:b/>
          <w:sz w:val="18"/>
          <w:szCs w:val="18"/>
        </w:rPr>
      </w:pPr>
    </w:p>
    <w:p w:rsidR="00520523" w:rsidRDefault="00520523" w:rsidP="00520523">
      <w:pPr>
        <w:autoSpaceDE w:val="0"/>
        <w:autoSpaceDN w:val="0"/>
        <w:adjustRightInd w:val="0"/>
        <w:spacing w:before="80"/>
        <w:contextualSpacing/>
        <w:jc w:val="both"/>
        <w:rPr>
          <w:rFonts w:ascii="Arial" w:hAnsi="Arial" w:cs="Arial"/>
          <w:b/>
          <w:sz w:val="18"/>
          <w:szCs w:val="18"/>
        </w:rPr>
      </w:pPr>
    </w:p>
    <w:p w:rsidR="00520523" w:rsidRDefault="00520523" w:rsidP="00520523">
      <w:pPr>
        <w:autoSpaceDE w:val="0"/>
        <w:autoSpaceDN w:val="0"/>
        <w:adjustRightInd w:val="0"/>
        <w:spacing w:before="80"/>
        <w:contextualSpacing/>
        <w:jc w:val="both"/>
        <w:rPr>
          <w:rFonts w:ascii="Arial" w:hAnsi="Arial" w:cs="Arial"/>
          <w:b/>
          <w:sz w:val="18"/>
          <w:szCs w:val="18"/>
        </w:rPr>
      </w:pPr>
    </w:p>
    <w:p w:rsidR="00520523" w:rsidRDefault="00CE5E29" w:rsidP="00520523">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w:pict>
          <v:shape id="_x0000_s1063" type="#_x0000_t32" style="position:absolute;left:0;text-align:left;margin-left:451.5pt;margin-top:6.55pt;width:194.25pt;height:0;z-index:251662336" o:connectortype="straight"/>
        </w:pict>
      </w:r>
      <w:r>
        <w:rPr>
          <w:rFonts w:ascii="Arial" w:hAnsi="Arial" w:cs="Arial"/>
          <w:b/>
          <w:noProof/>
          <w:sz w:val="18"/>
          <w:szCs w:val="18"/>
          <w:lang w:eastAsia="es-MX"/>
        </w:rPr>
        <w:pict>
          <v:shape id="_x0000_s1062" type="#_x0000_t32" style="position:absolute;left:0;text-align:left;margin-left:49.5pt;margin-top:5.8pt;width:194.25pt;height:0;z-index:251661312" o:connectortype="straight"/>
        </w:pict>
      </w:r>
    </w:p>
    <w:p w:rsidR="00520523" w:rsidRDefault="00520523" w:rsidP="00520523">
      <w:pPr>
        <w:spacing w:line="240" w:lineRule="auto"/>
        <w:ind w:left="709" w:hanging="709"/>
        <w:jc w:val="center"/>
        <w:rPr>
          <w:rFonts w:ascii="Arial" w:hAnsi="Arial" w:cs="Arial"/>
          <w:sz w:val="18"/>
          <w:szCs w:val="18"/>
        </w:rPr>
      </w:pPr>
      <w:r w:rsidRPr="00AF6A66">
        <w:rPr>
          <w:rFonts w:ascii="Arial" w:hAnsi="Arial" w:cs="Arial"/>
          <w:sz w:val="18"/>
          <w:szCs w:val="18"/>
        </w:rPr>
        <w:t xml:space="preserve">Mtro. Francisco </w:t>
      </w:r>
      <w:proofErr w:type="spellStart"/>
      <w:r w:rsidRPr="00AF6A66">
        <w:rPr>
          <w:rFonts w:ascii="Arial" w:hAnsi="Arial" w:cs="Arial"/>
          <w:sz w:val="18"/>
          <w:szCs w:val="18"/>
        </w:rPr>
        <w:t>Mixcoatl</w:t>
      </w:r>
      <w:proofErr w:type="spellEnd"/>
      <w:r w:rsidRPr="00AF6A66">
        <w:rPr>
          <w:rFonts w:ascii="Arial" w:hAnsi="Arial" w:cs="Arial"/>
          <w:sz w:val="18"/>
          <w:szCs w:val="18"/>
        </w:rPr>
        <w:t xml:space="preserve"> Antonio                             </w:t>
      </w:r>
      <w:r>
        <w:rPr>
          <w:rFonts w:ascii="Arial" w:hAnsi="Arial" w:cs="Arial"/>
          <w:sz w:val="18"/>
          <w:szCs w:val="18"/>
        </w:rPr>
        <w:t xml:space="preserve">                                             </w:t>
      </w:r>
      <w:r w:rsidRPr="00AF6A66">
        <w:rPr>
          <w:rFonts w:ascii="Arial" w:hAnsi="Arial" w:cs="Arial"/>
          <w:sz w:val="18"/>
          <w:szCs w:val="18"/>
        </w:rPr>
        <w:t xml:space="preserve">              </w:t>
      </w:r>
      <w:r>
        <w:rPr>
          <w:rFonts w:ascii="Arial" w:hAnsi="Arial" w:cs="Arial"/>
          <w:sz w:val="18"/>
          <w:szCs w:val="18"/>
        </w:rPr>
        <w:t xml:space="preserve">              </w:t>
      </w:r>
      <w:r w:rsidRPr="00AF6A66">
        <w:rPr>
          <w:rFonts w:ascii="Arial" w:hAnsi="Arial" w:cs="Arial"/>
          <w:sz w:val="18"/>
          <w:szCs w:val="18"/>
        </w:rPr>
        <w:t xml:space="preserve">         </w:t>
      </w:r>
      <w:r>
        <w:rPr>
          <w:rFonts w:ascii="Arial" w:hAnsi="Arial" w:cs="Arial"/>
          <w:sz w:val="18"/>
          <w:szCs w:val="18"/>
        </w:rPr>
        <w:t xml:space="preserve">C.P. Martin Sánchez </w:t>
      </w:r>
      <w:proofErr w:type="spellStart"/>
      <w:r>
        <w:rPr>
          <w:rFonts w:ascii="Arial" w:hAnsi="Arial" w:cs="Arial"/>
          <w:sz w:val="18"/>
          <w:szCs w:val="18"/>
        </w:rPr>
        <w:t>Haro</w:t>
      </w:r>
      <w:proofErr w:type="spellEnd"/>
      <w:r>
        <w:rPr>
          <w:rFonts w:ascii="Arial" w:hAnsi="Arial" w:cs="Arial"/>
          <w:sz w:val="18"/>
          <w:szCs w:val="18"/>
        </w:rPr>
        <w:t xml:space="preserve">                                                                                               </w:t>
      </w:r>
      <w:r w:rsidRPr="00AF6A66">
        <w:rPr>
          <w:rFonts w:ascii="Arial" w:hAnsi="Arial" w:cs="Arial"/>
          <w:sz w:val="18"/>
          <w:szCs w:val="18"/>
        </w:rPr>
        <w:t xml:space="preserve">Presidente de la C.E.D.H.T. </w:t>
      </w:r>
      <w:r>
        <w:rPr>
          <w:rFonts w:ascii="Arial" w:hAnsi="Arial" w:cs="Arial"/>
          <w:sz w:val="18"/>
          <w:szCs w:val="18"/>
        </w:rPr>
        <w:t xml:space="preserve">   </w:t>
      </w:r>
      <w:r w:rsidRPr="00AF6A66">
        <w:rPr>
          <w:rFonts w:ascii="Arial" w:hAnsi="Arial" w:cs="Arial"/>
          <w:sz w:val="18"/>
          <w:szCs w:val="18"/>
        </w:rPr>
        <w:t xml:space="preserve">                                                                              </w:t>
      </w:r>
      <w:r>
        <w:rPr>
          <w:rFonts w:ascii="Arial" w:hAnsi="Arial" w:cs="Arial"/>
          <w:sz w:val="18"/>
          <w:szCs w:val="18"/>
        </w:rPr>
        <w:t xml:space="preserve">                  </w:t>
      </w:r>
      <w:r w:rsidRPr="00AF6A66">
        <w:rPr>
          <w:rFonts w:ascii="Arial" w:hAnsi="Arial" w:cs="Arial"/>
          <w:sz w:val="18"/>
          <w:szCs w:val="18"/>
        </w:rPr>
        <w:t xml:space="preserve">  </w:t>
      </w:r>
      <w:r>
        <w:rPr>
          <w:rFonts w:ascii="Arial" w:hAnsi="Arial" w:cs="Arial"/>
          <w:sz w:val="18"/>
          <w:szCs w:val="18"/>
        </w:rPr>
        <w:t>Encargado de la Dirección Administrativa</w:t>
      </w:r>
    </w:p>
    <w:p w:rsidR="00520523" w:rsidRPr="00475136" w:rsidRDefault="00520523" w:rsidP="00520523">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454" w:rsidRDefault="00E50454" w:rsidP="00EA5418">
      <w:pPr>
        <w:spacing w:after="0" w:line="240" w:lineRule="auto"/>
      </w:pPr>
      <w:r>
        <w:separator/>
      </w:r>
    </w:p>
  </w:endnote>
  <w:endnote w:type="continuationSeparator" w:id="0">
    <w:p w:rsidR="00E50454" w:rsidRDefault="00E5045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13011C" w:rsidRDefault="00CE5E29"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D80AB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80AB5" w:rsidRPr="0013011C">
          <w:rPr>
            <w:rFonts w:ascii="Soberana Sans Light" w:hAnsi="Soberana Sans Light"/>
          </w:rPr>
          <w:instrText>PAGE   \* MERGEFORMAT</w:instrText>
        </w:r>
        <w:r w:rsidRPr="0013011C">
          <w:rPr>
            <w:rFonts w:ascii="Soberana Sans Light" w:hAnsi="Soberana Sans Light"/>
          </w:rPr>
          <w:fldChar w:fldCharType="separate"/>
        </w:r>
        <w:r w:rsidR="00A7654A" w:rsidRPr="00A7654A">
          <w:rPr>
            <w:rFonts w:ascii="Soberana Sans Light" w:hAnsi="Soberana Sans Light"/>
            <w:noProof/>
            <w:lang w:val="es-ES"/>
          </w:rPr>
          <w:t>18</w:t>
        </w:r>
        <w:r w:rsidRPr="0013011C">
          <w:rPr>
            <w:rFonts w:ascii="Soberana Sans Light" w:hAnsi="Soberana Sans Light"/>
          </w:rPr>
          <w:fldChar w:fldCharType="end"/>
        </w:r>
      </w:sdtContent>
    </w:sdt>
  </w:p>
  <w:p w:rsidR="00D80AB5" w:rsidRDefault="00D80AB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8E3652" w:rsidRDefault="00CE5E29"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D80AB5" w:rsidRPr="008E3652">
          <w:rPr>
            <w:rFonts w:ascii="Soberana Sans Light" w:hAnsi="Soberana Sans Light"/>
          </w:rPr>
          <w:t xml:space="preserve">Contable / </w:t>
        </w:r>
        <w:r w:rsidRPr="008E3652">
          <w:rPr>
            <w:rFonts w:ascii="Soberana Sans Light" w:hAnsi="Soberana Sans Light"/>
          </w:rPr>
          <w:fldChar w:fldCharType="begin"/>
        </w:r>
        <w:r w:rsidR="00D80AB5" w:rsidRPr="008E3652">
          <w:rPr>
            <w:rFonts w:ascii="Soberana Sans Light" w:hAnsi="Soberana Sans Light"/>
          </w:rPr>
          <w:instrText>PAGE   \* MERGEFORMAT</w:instrText>
        </w:r>
        <w:r w:rsidRPr="008E3652">
          <w:rPr>
            <w:rFonts w:ascii="Soberana Sans Light" w:hAnsi="Soberana Sans Light"/>
          </w:rPr>
          <w:fldChar w:fldCharType="separate"/>
        </w:r>
        <w:r w:rsidR="00A7654A" w:rsidRPr="00A7654A">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454" w:rsidRDefault="00E50454" w:rsidP="00EA5418">
      <w:pPr>
        <w:spacing w:after="0" w:line="240" w:lineRule="auto"/>
      </w:pPr>
      <w:r>
        <w:separator/>
      </w:r>
    </w:p>
  </w:footnote>
  <w:footnote w:type="continuationSeparator" w:id="0">
    <w:p w:rsidR="00E50454" w:rsidRDefault="00E5045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Default="00CE5E29">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80AB5" w:rsidRDefault="00D80AB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80AB5" w:rsidRDefault="00D80AB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80AB5" w:rsidRPr="00275FC6" w:rsidRDefault="00D80AB5"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80AB5" w:rsidRDefault="00D80AB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71A83">
                      <w:rPr>
                        <w:rFonts w:ascii="Soberana Titular" w:hAnsi="Soberana Titular" w:cs="Arial"/>
                        <w:color w:val="808080" w:themeColor="background1" w:themeShade="80"/>
                        <w:sz w:val="42"/>
                        <w:szCs w:val="42"/>
                      </w:rPr>
                      <w:t>5</w:t>
                    </w:r>
                  </w:p>
                  <w:p w:rsidR="00D80AB5" w:rsidRDefault="00D80AB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80AB5" w:rsidRPr="00275FC6" w:rsidRDefault="00D80AB5" w:rsidP="00040466">
                    <w:pPr>
                      <w:jc w:val="both"/>
                      <w:rPr>
                        <w:rFonts w:ascii="Soberana Titular" w:hAnsi="Soberana Titular" w:cs="Arial"/>
                        <w:color w:val="808080" w:themeColor="background1" w:themeShade="80"/>
                        <w:sz w:val="42"/>
                        <w:szCs w:val="42"/>
                      </w:rPr>
                    </w:pPr>
                  </w:p>
                </w:txbxContent>
              </v:textbox>
            </v:shape>
          </v:group>
        </v:group>
      </w:pict>
    </w:r>
    <w:r w:rsidRPr="00CE5E29">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13011C" w:rsidRDefault="00CE5E29"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D80AB5">
      <w:rPr>
        <w:rFonts w:ascii="Soberana Sans Light" w:hAnsi="Soberana Sans Light"/>
      </w:rPr>
      <w:t xml:space="preserve"> AUTÓNOMO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8">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9"/>
  </w:num>
  <w:num w:numId="4">
    <w:abstractNumId w:val="8"/>
  </w:num>
  <w:num w:numId="5">
    <w:abstractNumId w:val="11"/>
  </w:num>
  <w:num w:numId="6">
    <w:abstractNumId w:val="6"/>
  </w:num>
  <w:num w:numId="7">
    <w:abstractNumId w:val="17"/>
  </w:num>
  <w:num w:numId="8">
    <w:abstractNumId w:val="2"/>
  </w:num>
  <w:num w:numId="9">
    <w:abstractNumId w:val="4"/>
  </w:num>
  <w:num w:numId="10">
    <w:abstractNumId w:val="10"/>
  </w:num>
  <w:num w:numId="11">
    <w:abstractNumId w:val="3"/>
  </w:num>
  <w:num w:numId="12">
    <w:abstractNumId w:val="7"/>
  </w:num>
  <w:num w:numId="13">
    <w:abstractNumId w:val="0"/>
  </w:num>
  <w:num w:numId="14">
    <w:abstractNumId w:val="12"/>
  </w:num>
  <w:num w:numId="15">
    <w:abstractNumId w:val="18"/>
  </w:num>
  <w:num w:numId="16">
    <w:abstractNumId w:val="15"/>
  </w:num>
  <w:num w:numId="17">
    <w:abstractNumId w:val="13"/>
  </w:num>
  <w:num w:numId="18">
    <w:abstractNumId w:val="16"/>
  </w:num>
  <w:num w:numId="19">
    <w:abstractNumId w:val="14"/>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characterSpacingControl w:val="doNotCompress"/>
  <w:hdrShapeDefaults>
    <o:shapedefaults v:ext="edit" spidmax="26626"/>
    <o:shapelayout v:ext="edit">
      <o:idmap v:ext="edit" data="4"/>
    </o:shapelayout>
  </w:hdrShapeDefaults>
  <w:footnotePr>
    <w:footnote w:id="-1"/>
    <w:footnote w:id="0"/>
  </w:footnotePr>
  <w:endnotePr>
    <w:endnote w:id="-1"/>
    <w:endnote w:id="0"/>
  </w:endnotePr>
  <w:compat/>
  <w:rsids>
    <w:rsidRoot w:val="00EA5418"/>
    <w:rsid w:val="00001107"/>
    <w:rsid w:val="00031663"/>
    <w:rsid w:val="00040466"/>
    <w:rsid w:val="00045A10"/>
    <w:rsid w:val="00094DFC"/>
    <w:rsid w:val="000B2F78"/>
    <w:rsid w:val="000C5990"/>
    <w:rsid w:val="000F7B0E"/>
    <w:rsid w:val="0013011C"/>
    <w:rsid w:val="00165BB4"/>
    <w:rsid w:val="00183C9A"/>
    <w:rsid w:val="00197E12"/>
    <w:rsid w:val="001B1B72"/>
    <w:rsid w:val="001C6FD8"/>
    <w:rsid w:val="001E7072"/>
    <w:rsid w:val="001F6F86"/>
    <w:rsid w:val="00204C86"/>
    <w:rsid w:val="002559B4"/>
    <w:rsid w:val="00264426"/>
    <w:rsid w:val="00274A1C"/>
    <w:rsid w:val="002A70B3"/>
    <w:rsid w:val="002C6D14"/>
    <w:rsid w:val="002F1516"/>
    <w:rsid w:val="0030166A"/>
    <w:rsid w:val="0034201C"/>
    <w:rsid w:val="00343189"/>
    <w:rsid w:val="00372F40"/>
    <w:rsid w:val="00396B1A"/>
    <w:rsid w:val="00396C2B"/>
    <w:rsid w:val="003A0303"/>
    <w:rsid w:val="003B1216"/>
    <w:rsid w:val="003D0B80"/>
    <w:rsid w:val="003D5DBF"/>
    <w:rsid w:val="003D7D5D"/>
    <w:rsid w:val="003E0A27"/>
    <w:rsid w:val="003E0E09"/>
    <w:rsid w:val="003E7FD0"/>
    <w:rsid w:val="003F0EA4"/>
    <w:rsid w:val="003F6EBE"/>
    <w:rsid w:val="00420EFF"/>
    <w:rsid w:val="004311BE"/>
    <w:rsid w:val="0044253C"/>
    <w:rsid w:val="004714CF"/>
    <w:rsid w:val="00474CC0"/>
    <w:rsid w:val="00475136"/>
    <w:rsid w:val="00484C0D"/>
    <w:rsid w:val="00495566"/>
    <w:rsid w:val="00497D8B"/>
    <w:rsid w:val="004A2FBE"/>
    <w:rsid w:val="004D41B8"/>
    <w:rsid w:val="004F5641"/>
    <w:rsid w:val="00520523"/>
    <w:rsid w:val="00522632"/>
    <w:rsid w:val="00522EF3"/>
    <w:rsid w:val="00540418"/>
    <w:rsid w:val="00540B56"/>
    <w:rsid w:val="00560BC6"/>
    <w:rsid w:val="00574266"/>
    <w:rsid w:val="00597BFC"/>
    <w:rsid w:val="005B7795"/>
    <w:rsid w:val="005D3D25"/>
    <w:rsid w:val="005D6E49"/>
    <w:rsid w:val="0063083E"/>
    <w:rsid w:val="00672941"/>
    <w:rsid w:val="00673D61"/>
    <w:rsid w:val="006923B8"/>
    <w:rsid w:val="006B1FE7"/>
    <w:rsid w:val="006B7975"/>
    <w:rsid w:val="006D28BE"/>
    <w:rsid w:val="006E77DD"/>
    <w:rsid w:val="006F324F"/>
    <w:rsid w:val="0071301F"/>
    <w:rsid w:val="007278DC"/>
    <w:rsid w:val="007734AF"/>
    <w:rsid w:val="0079582C"/>
    <w:rsid w:val="007D6E9A"/>
    <w:rsid w:val="007F30E5"/>
    <w:rsid w:val="0080763E"/>
    <w:rsid w:val="00811DAC"/>
    <w:rsid w:val="0082316B"/>
    <w:rsid w:val="00871A83"/>
    <w:rsid w:val="0088529A"/>
    <w:rsid w:val="0089054E"/>
    <w:rsid w:val="0089293E"/>
    <w:rsid w:val="00895A28"/>
    <w:rsid w:val="008A6E4D"/>
    <w:rsid w:val="008A793D"/>
    <w:rsid w:val="008B0017"/>
    <w:rsid w:val="008D7ED1"/>
    <w:rsid w:val="008E3652"/>
    <w:rsid w:val="008F6D58"/>
    <w:rsid w:val="00900B27"/>
    <w:rsid w:val="00911C20"/>
    <w:rsid w:val="0093492C"/>
    <w:rsid w:val="0094566D"/>
    <w:rsid w:val="00957043"/>
    <w:rsid w:val="0097445F"/>
    <w:rsid w:val="009A1EA8"/>
    <w:rsid w:val="009C76A7"/>
    <w:rsid w:val="009D5D4C"/>
    <w:rsid w:val="009E426C"/>
    <w:rsid w:val="009E47BB"/>
    <w:rsid w:val="009F23C4"/>
    <w:rsid w:val="009F72AC"/>
    <w:rsid w:val="00A14498"/>
    <w:rsid w:val="00A15F69"/>
    <w:rsid w:val="00A363B6"/>
    <w:rsid w:val="00A40553"/>
    <w:rsid w:val="00A45843"/>
    <w:rsid w:val="00A46BF5"/>
    <w:rsid w:val="00A57846"/>
    <w:rsid w:val="00A7654A"/>
    <w:rsid w:val="00AA17E4"/>
    <w:rsid w:val="00AA63D3"/>
    <w:rsid w:val="00AB4BEC"/>
    <w:rsid w:val="00AF61E9"/>
    <w:rsid w:val="00AF6A66"/>
    <w:rsid w:val="00B143AB"/>
    <w:rsid w:val="00B146E2"/>
    <w:rsid w:val="00B33A56"/>
    <w:rsid w:val="00B5438D"/>
    <w:rsid w:val="00B71A14"/>
    <w:rsid w:val="00B849EE"/>
    <w:rsid w:val="00B84D02"/>
    <w:rsid w:val="00BA2940"/>
    <w:rsid w:val="00BB0954"/>
    <w:rsid w:val="00BC107C"/>
    <w:rsid w:val="00BE0605"/>
    <w:rsid w:val="00BE3400"/>
    <w:rsid w:val="00BE370C"/>
    <w:rsid w:val="00C0715E"/>
    <w:rsid w:val="00C16E53"/>
    <w:rsid w:val="00C431B4"/>
    <w:rsid w:val="00C56AC7"/>
    <w:rsid w:val="00C76D92"/>
    <w:rsid w:val="00C86C59"/>
    <w:rsid w:val="00C90858"/>
    <w:rsid w:val="00C91C5A"/>
    <w:rsid w:val="00CA58C5"/>
    <w:rsid w:val="00CC30CA"/>
    <w:rsid w:val="00CD5A8C"/>
    <w:rsid w:val="00CD6D9A"/>
    <w:rsid w:val="00CE5E29"/>
    <w:rsid w:val="00CF6075"/>
    <w:rsid w:val="00D00E92"/>
    <w:rsid w:val="00D0165E"/>
    <w:rsid w:val="00D055EC"/>
    <w:rsid w:val="00D05CFC"/>
    <w:rsid w:val="00D44728"/>
    <w:rsid w:val="00D562FF"/>
    <w:rsid w:val="00D64671"/>
    <w:rsid w:val="00D80AB5"/>
    <w:rsid w:val="00D922D4"/>
    <w:rsid w:val="00DB4603"/>
    <w:rsid w:val="00DC3EDE"/>
    <w:rsid w:val="00DE0AD4"/>
    <w:rsid w:val="00DE461A"/>
    <w:rsid w:val="00DE54F2"/>
    <w:rsid w:val="00DF56C9"/>
    <w:rsid w:val="00E017FD"/>
    <w:rsid w:val="00E04FCA"/>
    <w:rsid w:val="00E12BCF"/>
    <w:rsid w:val="00E170A8"/>
    <w:rsid w:val="00E30318"/>
    <w:rsid w:val="00E32708"/>
    <w:rsid w:val="00E50454"/>
    <w:rsid w:val="00E72FD1"/>
    <w:rsid w:val="00E81472"/>
    <w:rsid w:val="00E93AED"/>
    <w:rsid w:val="00EA5418"/>
    <w:rsid w:val="00EC51F1"/>
    <w:rsid w:val="00ED7254"/>
    <w:rsid w:val="00EE2409"/>
    <w:rsid w:val="00EE46FB"/>
    <w:rsid w:val="00EE5401"/>
    <w:rsid w:val="00EF43D3"/>
    <w:rsid w:val="00F05082"/>
    <w:rsid w:val="00F17C0D"/>
    <w:rsid w:val="00F3620F"/>
    <w:rsid w:val="00F54692"/>
    <w:rsid w:val="00F755D0"/>
    <w:rsid w:val="00F764FC"/>
    <w:rsid w:val="00FA5560"/>
    <w:rsid w:val="00FB1010"/>
    <w:rsid w:val="00FB424B"/>
    <w:rsid w:val="00FD5A63"/>
    <w:rsid w:val="00FE156C"/>
    <w:rsid w:val="00FE21E4"/>
    <w:rsid w:val="00FF4F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5" type="connector" idref="#_x0000_s1051"/>
        <o:r id="V:Rule6" type="connector" idref="#_x0000_s1050"/>
        <o:r id="V:Rule7" type="connector" idref="#_x0000_s1062"/>
        <o:r id="V:Rule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70A3-AB2F-477B-BFC1-A9DC9D80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18</Pages>
  <Words>2403</Words>
  <Characters>13219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CEDH</cp:lastModifiedBy>
  <cp:revision>103</cp:revision>
  <cp:lastPrinted>2015-07-24T17:31:00Z</cp:lastPrinted>
  <dcterms:created xsi:type="dcterms:W3CDTF">2014-08-29T13:13:00Z</dcterms:created>
  <dcterms:modified xsi:type="dcterms:W3CDTF">2015-07-24T17:42:00Z</dcterms:modified>
</cp:coreProperties>
</file>