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9A" w:rsidRDefault="005D5413" w:rsidP="00E1086B">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24pt;margin-top:0;width:651pt;height:445.5pt;z-index:251668480;mso-position-horizontal:absolute;mso-position-horizontal-relative:text;mso-position-vertical-relative:text">
            <v:imagedata r:id="rId8" o:title=""/>
            <w10:wrap type="square" side="left"/>
          </v:shape>
          <o:OLEObject Type="Embed" ProgID="Excel.Sheet.12" ShapeID="_x0000_s1053" DrawAspect="Content" ObjectID="_1499175051" r:id="rId9"/>
        </w:object>
      </w:r>
      <w:r w:rsidR="00E1086B">
        <w:br w:type="textWrapping" w:clear="all"/>
      </w:r>
      <w:r>
        <w:rPr>
          <w:noProof/>
        </w:rPr>
        <w:lastRenderedPageBreak/>
        <w:object w:dxaOrig="1440" w:dyaOrig="1440">
          <v:shape id="_x0000_s1064" type="#_x0000_t75" style="position:absolute;margin-left:12.5pt;margin-top:11.9pt;width:659.5pt;height:454.5pt;z-index:251672576;mso-position-horizontal-relative:text;mso-position-vertical-relative:text">
            <v:imagedata r:id="rId10" o:title=""/>
            <w10:wrap type="square" side="right"/>
          </v:shape>
          <o:OLEObject Type="Embed" ProgID="Excel.Sheet.12" ShapeID="_x0000_s1064" DrawAspect="Content" ObjectID="_1499175052" r:id="rId11"/>
        </w:object>
      </w:r>
    </w:p>
    <w:p w:rsidR="00EA5418" w:rsidRDefault="005D5413" w:rsidP="00372F40">
      <w:pPr>
        <w:jc w:val="center"/>
      </w:pPr>
      <w:r>
        <w:rPr>
          <w:noProof/>
        </w:rPr>
        <w:object w:dxaOrig="1440" w:dyaOrig="1440">
          <v:shape id="_x0000_s1065" type="#_x0000_t75" style="position:absolute;left:0;text-align:left;margin-left:39.45pt;margin-top:-.35pt;width:604.8pt;height:477.7pt;z-index:251674624;mso-position-horizontal-relative:text;mso-position-vertical-relative:text">
            <v:imagedata r:id="rId12" o:title=""/>
            <w10:wrap type="square" side="right"/>
          </v:shape>
          <o:OLEObject Type="Embed" ProgID="Excel.Sheet.12" ShapeID="_x0000_s1065" DrawAspect="Content" ObjectID="_1499175053" r:id="rId13"/>
        </w:object>
      </w:r>
    </w:p>
    <w:p w:rsidR="00DC5E3A" w:rsidRDefault="005D5413" w:rsidP="00DC5E3A">
      <w:r>
        <w:rPr>
          <w:noProof/>
        </w:rPr>
        <w:object w:dxaOrig="1440" w:dyaOrig="1440">
          <v:shape id="_x0000_s1059" type="#_x0000_t75" style="position:absolute;margin-left:13.5pt;margin-top:6pt;width:645.75pt;height:444.75pt;z-index:251670528;mso-position-horizontal-relative:text;mso-position-vertical-relative:text">
            <v:imagedata r:id="rId14" o:title=""/>
            <w10:wrap type="square" side="right"/>
          </v:shape>
          <o:OLEObject Type="Embed" ProgID="Excel.Sheet.12" ShapeID="_x0000_s1059" DrawAspect="Content" ObjectID="_1499175054" r:id="rId15"/>
        </w:object>
      </w:r>
    </w:p>
    <w:p w:rsidR="00DC5E3A" w:rsidRDefault="005D5413" w:rsidP="00DC5E3A">
      <w:r>
        <w:rPr>
          <w:noProof/>
        </w:rPr>
        <w:object w:dxaOrig="1440" w:dyaOrig="1440">
          <v:shape id="_x0000_s1046" type="#_x0000_t75" style="position:absolute;margin-left:8.75pt;margin-top:11.7pt;width:645.4pt;height:434.2pt;z-index:251664384">
            <v:imagedata r:id="rId16" o:title=""/>
            <w10:wrap type="square" side="left"/>
          </v:shape>
          <o:OLEObject Type="Embed" ProgID="Excel.Sheet.12" ShapeID="_x0000_s1046" DrawAspect="Content" ObjectID="_1499175055" r:id="rId17"/>
        </w:object>
      </w:r>
    </w:p>
    <w:bookmarkStart w:id="0" w:name="_MON_1470814596"/>
    <w:bookmarkEnd w:id="0"/>
    <w:bookmarkStart w:id="1" w:name="_MON_1470809138"/>
    <w:bookmarkEnd w:id="1"/>
    <w:p w:rsidR="00E32708" w:rsidRDefault="00DC4D70" w:rsidP="00E32708">
      <w:pPr>
        <w:tabs>
          <w:tab w:val="left" w:pos="2430"/>
        </w:tabs>
        <w:jc w:val="center"/>
      </w:pPr>
      <w:r>
        <w:object w:dxaOrig="17884" w:dyaOrig="11132">
          <v:shape id="_x0000_i1038" type="#_x0000_t75" style="width:661.75pt;height:452.65pt" o:ole="">
            <v:imagedata r:id="rId18" o:title=""/>
          </v:shape>
          <o:OLEObject Type="Embed" ProgID="Excel.Sheet.12" ShapeID="_x0000_i1038" DrawAspect="Content" ObjectID="_1499175049" r:id="rId19"/>
        </w:object>
      </w:r>
    </w:p>
    <w:bookmarkStart w:id="2" w:name="_MON_1470810366"/>
    <w:bookmarkEnd w:id="2"/>
    <w:p w:rsidR="00E32708" w:rsidRDefault="001D147D" w:rsidP="00E32708">
      <w:pPr>
        <w:tabs>
          <w:tab w:val="left" w:pos="2430"/>
        </w:tabs>
        <w:jc w:val="center"/>
      </w:pPr>
      <w:r>
        <w:object w:dxaOrig="25987" w:dyaOrig="16750">
          <v:shape id="_x0000_i1031" type="#_x0000_t75" style="width:657.4pt;height:447.05pt" o:ole="">
            <v:imagedata r:id="rId20" o:title=""/>
          </v:shape>
          <o:OLEObject Type="Embed" ProgID="Excel.Sheet.12" ShapeID="_x0000_i1031" DrawAspect="Content" ObjectID="_1499175050" r:id="rId21"/>
        </w:object>
      </w:r>
    </w:p>
    <w:p w:rsidR="00372F40" w:rsidRDefault="00372F40"/>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A la fecha en el Tribunal de Conciliación y Arbitraje del Estado de Tlaxcala, se encuentra</w:t>
      </w:r>
      <w:r w:rsidR="009C709B" w:rsidRPr="0087426A">
        <w:rPr>
          <w:rFonts w:ascii="Arial" w:hAnsi="Arial" w:cs="Arial"/>
          <w:sz w:val="18"/>
          <w:szCs w:val="18"/>
        </w:rPr>
        <w:t>n radicados 15 expedientes, en 1</w:t>
      </w:r>
      <w:r w:rsidRPr="0087426A">
        <w:rPr>
          <w:rFonts w:ascii="Arial" w:hAnsi="Arial" w:cs="Arial"/>
          <w:sz w:val="18"/>
          <w:szCs w:val="18"/>
        </w:rPr>
        <w:t xml:space="preserve"> se han dictado laudos condenando al Instituto a diversas prestaciones reclamadas por los actores. En la Junta Local de Conciliación y Arbitraje del Estado de Tlax</w:t>
      </w:r>
      <w:r w:rsidR="0087426A" w:rsidRPr="0087426A">
        <w:rPr>
          <w:rFonts w:ascii="Arial" w:hAnsi="Arial" w:cs="Arial"/>
          <w:sz w:val="18"/>
          <w:szCs w:val="18"/>
        </w:rPr>
        <w:t>cala, se encuentran radicados 18 expedientes, en 2</w:t>
      </w:r>
      <w:r w:rsidRPr="0087426A">
        <w:rPr>
          <w:rFonts w:ascii="Arial" w:hAnsi="Arial" w:cs="Arial"/>
          <w:sz w:val="18"/>
          <w:szCs w:val="18"/>
        </w:rPr>
        <w:t xml:space="preserve"> se han dictado laudos condenando al Instituto a diversas prestaciones el cu</w:t>
      </w:r>
      <w:r w:rsidR="009C709B" w:rsidRPr="0087426A">
        <w:rPr>
          <w:rFonts w:ascii="Arial" w:hAnsi="Arial" w:cs="Arial"/>
          <w:sz w:val="18"/>
          <w:szCs w:val="18"/>
        </w:rPr>
        <w:t>al asciende aproximadamente a 12</w:t>
      </w:r>
      <w:r w:rsidRPr="0087426A">
        <w:rPr>
          <w:rFonts w:ascii="Arial" w:hAnsi="Arial" w:cs="Arial"/>
          <w:sz w:val="18"/>
          <w:szCs w:val="18"/>
        </w:rPr>
        <w:t>,000,000.00 (Dieciocho millones de pesos 00/100).</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744CAB" w:rsidRDefault="00744CAB"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540418" w:rsidRPr="005D06DF" w:rsidRDefault="00540418" w:rsidP="00540418">
      <w:pPr>
        <w:pStyle w:val="Texto"/>
        <w:spacing w:after="0" w:line="240" w:lineRule="exact"/>
        <w:jc w:val="center"/>
        <w:rPr>
          <w:b/>
          <w:szCs w:val="18"/>
        </w:rPr>
      </w:pPr>
      <w:r w:rsidRPr="005D06DF">
        <w:rPr>
          <w:b/>
          <w:szCs w:val="18"/>
        </w:rPr>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961AFD" w:rsidRPr="00744CAB" w:rsidRDefault="00961AFD" w:rsidP="00744CAB">
      <w:pPr>
        <w:pStyle w:val="ROMANOS"/>
        <w:spacing w:after="0" w:line="276" w:lineRule="auto"/>
        <w:ind w:left="648" w:firstLine="0"/>
        <w:rPr>
          <w:lang w:val="es-MX"/>
        </w:rPr>
      </w:pPr>
    </w:p>
    <w:p w:rsidR="00D03A22" w:rsidRPr="00744CAB" w:rsidRDefault="004525C2" w:rsidP="00744CAB">
      <w:pPr>
        <w:pStyle w:val="ROMANOS"/>
        <w:tabs>
          <w:tab w:val="clear" w:pos="720"/>
          <w:tab w:val="left" w:pos="284"/>
        </w:tabs>
        <w:spacing w:after="0" w:line="276" w:lineRule="auto"/>
        <w:ind w:left="284" w:firstLine="4"/>
        <w:rPr>
          <w:lang w:val="es-MX"/>
        </w:rPr>
      </w:pPr>
      <w:r w:rsidRPr="00125ABD">
        <w:rPr>
          <w:lang w:val="es-MX"/>
        </w:rPr>
        <w:t>Se informa el efectivo y equivalentes c</w:t>
      </w:r>
      <w:r w:rsidR="00961AFD" w:rsidRPr="00125ABD">
        <w:rPr>
          <w:lang w:val="es-MX"/>
        </w:rPr>
        <w:t>uya cantidad es de $</w:t>
      </w:r>
      <w:r w:rsidR="00125ABD" w:rsidRPr="00125ABD">
        <w:rPr>
          <w:lang w:val="es-MX"/>
        </w:rPr>
        <w:t>1,221238</w:t>
      </w:r>
      <w:r w:rsidR="00961AFD" w:rsidRPr="00125ABD">
        <w:rPr>
          <w:lang w:val="es-MX"/>
        </w:rPr>
        <w:t xml:space="preserve">.00, de la cual </w:t>
      </w:r>
      <w:r w:rsidR="00125ABD" w:rsidRPr="00125ABD">
        <w:rPr>
          <w:lang w:val="es-MX"/>
        </w:rPr>
        <w:t>$515,284.52</w:t>
      </w:r>
      <w:r w:rsidRPr="00125ABD">
        <w:rPr>
          <w:lang w:val="es-MX"/>
        </w:rPr>
        <w:t xml:space="preserve"> corresponde a inversiones a corto plazo (20 días), </w:t>
      </w:r>
      <w:r w:rsidR="00961AFD" w:rsidRPr="00125ABD">
        <w:rPr>
          <w:lang w:val="es-MX"/>
        </w:rPr>
        <w:t xml:space="preserve">mismos que se </w:t>
      </w:r>
      <w:r w:rsidR="00125ABD" w:rsidRPr="00125ABD">
        <w:rPr>
          <w:lang w:val="es-MX"/>
        </w:rPr>
        <w:t>corresponden a recursos de</w:t>
      </w:r>
      <w:r w:rsidR="00C26020" w:rsidRPr="00125ABD">
        <w:rPr>
          <w:lang w:val="es-MX"/>
        </w:rPr>
        <w:t xml:space="preserve"> </w:t>
      </w:r>
      <w:r w:rsidRPr="00125ABD">
        <w:rPr>
          <w:lang w:val="es-MX"/>
        </w:rPr>
        <w:t>los partidos políticos, derivados de sus actividades específicas, mismos que pueden solicitarlos hasta el 31 de diciembre</w:t>
      </w:r>
      <w:r w:rsidR="00125ABD" w:rsidRPr="00125ABD">
        <w:rPr>
          <w:lang w:val="es-MX"/>
        </w:rPr>
        <w:t>, par pago de prestaciones de fin de año, para pago de ISR mensual.</w:t>
      </w:r>
    </w:p>
    <w:p w:rsidR="00961AFD" w:rsidRPr="00744CAB" w:rsidRDefault="00961AFD" w:rsidP="00744CAB">
      <w:pPr>
        <w:pStyle w:val="ROMANOS"/>
        <w:tabs>
          <w:tab w:val="clear" w:pos="720"/>
          <w:tab w:val="left" w:pos="284"/>
        </w:tabs>
        <w:spacing w:after="0" w:line="276" w:lineRule="auto"/>
        <w:ind w:left="284" w:firstLine="4"/>
        <w:rPr>
          <w:lang w:val="es-MX"/>
        </w:rPr>
      </w:pPr>
      <w:r w:rsidRPr="00744CAB">
        <w:rPr>
          <w:lang w:val="es-MX"/>
        </w:rPr>
        <w:t xml:space="preserve"> </w:t>
      </w:r>
    </w:p>
    <w:p w:rsidR="004525C2" w:rsidRPr="00744CAB" w:rsidRDefault="00961AFD" w:rsidP="00744CAB">
      <w:pPr>
        <w:pStyle w:val="ROMANOS"/>
        <w:tabs>
          <w:tab w:val="clear" w:pos="720"/>
          <w:tab w:val="left" w:pos="284"/>
        </w:tabs>
        <w:spacing w:after="0" w:line="276" w:lineRule="auto"/>
        <w:ind w:left="284" w:firstLine="4"/>
        <w:rPr>
          <w:lang w:val="es-MX"/>
        </w:rPr>
      </w:pPr>
      <w:r w:rsidRPr="00744CAB">
        <w:rPr>
          <w:lang w:val="es-MX"/>
        </w:rPr>
        <w:t>No se cuenta con inversiones a largo plazo.</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D57F57" w:rsidRPr="00744CAB" w:rsidRDefault="00D57F57" w:rsidP="00744CAB">
      <w:pPr>
        <w:pStyle w:val="ROMANOS"/>
        <w:spacing w:after="0" w:line="276" w:lineRule="auto"/>
        <w:ind w:left="648" w:firstLine="0"/>
        <w:rPr>
          <w:lang w:val="es-MX"/>
        </w:rPr>
      </w:pP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125ABD" w:rsidRPr="00CA3826">
        <w:rPr>
          <w:lang w:val="es-MX"/>
        </w:rPr>
        <w:t>a es por la cantidad de $498,739</w:t>
      </w:r>
      <w:r w:rsidRPr="00CA3826">
        <w:rPr>
          <w:lang w:val="es-MX"/>
        </w:rPr>
        <w:t xml:space="preserve">.00, de los cuales serán cobrados </w:t>
      </w:r>
      <w:r w:rsidR="002D478F" w:rsidRPr="00CA3826">
        <w:rPr>
          <w:lang w:val="es-MX"/>
        </w:rPr>
        <w:t>en un plazo no mayor a 60 días el</w:t>
      </w:r>
      <w:r w:rsidR="00CA3826" w:rsidRPr="00CA3826">
        <w:rPr>
          <w:lang w:val="es-MX"/>
        </w:rPr>
        <w:t xml:space="preserve"> 5</w:t>
      </w:r>
      <w:r w:rsidRPr="00CA3826">
        <w:rPr>
          <w:lang w:val="es-MX"/>
        </w:rPr>
        <w:t>%</w:t>
      </w:r>
      <w:r w:rsidR="002D478F" w:rsidRPr="00CA3826">
        <w:rPr>
          <w:lang w:val="es-MX"/>
        </w:rPr>
        <w:t xml:space="preserve"> de los mismos</w:t>
      </w:r>
      <w:r w:rsidR="00CA3826" w:rsidRPr="00CA3826">
        <w:rPr>
          <w:lang w:val="es-MX"/>
        </w:rPr>
        <w:t xml:space="preserve"> y el 95</w:t>
      </w:r>
      <w:r w:rsidRPr="00CA3826">
        <w:rPr>
          <w:lang w:val="es-MX"/>
        </w:rPr>
        <w:t xml:space="preserve"> % </w:t>
      </w:r>
      <w:r w:rsidR="002D478F" w:rsidRPr="00CA3826">
        <w:rPr>
          <w:lang w:val="es-MX"/>
        </w:rPr>
        <w:t xml:space="preserve">restante </w:t>
      </w:r>
      <w:r w:rsidRPr="00CA3826">
        <w:rPr>
          <w:lang w:val="es-MX"/>
        </w:rPr>
        <w:t xml:space="preserve">corresponden a deudores que tienen denuncia,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D03A22" w:rsidRPr="00744CAB" w:rsidRDefault="00D03A22" w:rsidP="00744CAB">
      <w:pPr>
        <w:pStyle w:val="ROMANOS"/>
        <w:spacing w:after="0" w:line="276" w:lineRule="auto"/>
        <w:rPr>
          <w:lang w:val="es-MX"/>
        </w:rPr>
      </w:pP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D57F57" w:rsidRPr="00744CAB" w:rsidRDefault="00D57F57" w:rsidP="00744CAB">
      <w:pPr>
        <w:pStyle w:val="ROMANOS"/>
        <w:spacing w:after="0" w:line="276" w:lineRule="auto"/>
        <w:rPr>
          <w:b/>
          <w:lang w:val="es-MX"/>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 xml:space="preserve">Los bienes muebles </w:t>
      </w:r>
      <w:r>
        <w:rPr>
          <w:rFonts w:ascii="Arial" w:hAnsi="Arial" w:cs="Arial"/>
          <w:sz w:val="18"/>
          <w:szCs w:val="18"/>
        </w:rPr>
        <w:t>e inmuebles se realizara su depreciación o amortización anual al cierre del ejercicio, con el objetivo de conocer el gasto patrimonial, por el servicio que está dando el activo, lo cual redundará en una estimación adecuada de la utilidad con fines exclusivamente gubernamentales o sin fines de lucro, y en una cuenta del activo como depreciación o amortización acumulada, a efecto de poder determinar el valor neto o el monto por depreciar o amortizar.</w:t>
      </w:r>
    </w:p>
    <w:p w:rsidR="0087426A" w:rsidRDefault="0087426A" w:rsidP="0087426A">
      <w:pPr>
        <w:spacing w:line="240" w:lineRule="auto"/>
        <w:contextualSpacing/>
        <w:jc w:val="both"/>
        <w:rPr>
          <w:rFonts w:ascii="Arial" w:hAnsi="Arial" w:cs="Arial"/>
          <w:sz w:val="18"/>
          <w:szCs w:val="18"/>
        </w:rPr>
      </w:pPr>
    </w:p>
    <w:p w:rsidR="0087426A" w:rsidRPr="007E69A2"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 xml:space="preserve"> </w:t>
      </w:r>
      <w:r>
        <w:rPr>
          <w:rFonts w:ascii="Arial" w:hAnsi="Arial" w:cs="Arial"/>
          <w:sz w:val="18"/>
          <w:szCs w:val="18"/>
        </w:rPr>
        <w:t xml:space="preserve">Los bienes muebles no </w:t>
      </w:r>
      <w:r w:rsidRPr="007E69A2">
        <w:rPr>
          <w:rFonts w:ascii="Arial" w:hAnsi="Arial" w:cs="Arial"/>
          <w:sz w:val="18"/>
          <w:szCs w:val="18"/>
        </w:rPr>
        <w:t xml:space="preserve">están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para regularizar  dicha situación y contar un inventario real y cuantificado, pues dese</w:t>
      </w:r>
      <w:r>
        <w:rPr>
          <w:rFonts w:ascii="Arial" w:hAnsi="Arial" w:cs="Arial"/>
          <w:sz w:val="18"/>
          <w:szCs w:val="18"/>
        </w:rPr>
        <w:t>amos corregir a la brevedad.</w:t>
      </w:r>
    </w:p>
    <w:p w:rsidR="0087426A" w:rsidRDefault="0087426A" w:rsidP="0087426A">
      <w:pPr>
        <w:spacing w:line="240" w:lineRule="auto"/>
        <w:contextualSpacing/>
        <w:jc w:val="both"/>
        <w:rPr>
          <w:rFonts w:ascii="Arial" w:hAnsi="Arial" w:cs="Arial"/>
          <w:sz w:val="18"/>
          <w:szCs w:val="18"/>
        </w:rPr>
      </w:pP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En el siguiente tercer trimestre se anexara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Estimaciones y Deterioros</w:t>
      </w:r>
    </w:p>
    <w:p w:rsidR="00D57F57" w:rsidRPr="00744CAB" w:rsidRDefault="00D57F57" w:rsidP="00744CAB">
      <w:pPr>
        <w:pStyle w:val="ROMANOS"/>
        <w:spacing w:after="0" w:line="276" w:lineRule="auto"/>
        <w:rPr>
          <w:lang w:val="es-MX"/>
        </w:rPr>
      </w:pPr>
    </w:p>
    <w:p w:rsidR="00540418" w:rsidRPr="00744CAB" w:rsidRDefault="00D57F57" w:rsidP="00744CAB">
      <w:pPr>
        <w:pStyle w:val="ROMANOS"/>
        <w:spacing w:after="0" w:line="276" w:lineRule="auto"/>
        <w:rPr>
          <w:lang w:val="es-MX"/>
        </w:rPr>
      </w:pPr>
      <w:r w:rsidRPr="00744CAB">
        <w:rPr>
          <w:lang w:val="es-MX"/>
        </w:rPr>
        <w:t>No Aplica</w:t>
      </w:r>
    </w:p>
    <w:p w:rsidR="00540418" w:rsidRPr="00744CAB" w:rsidRDefault="00540418" w:rsidP="00744CAB">
      <w:pPr>
        <w:pStyle w:val="ROMANOS"/>
        <w:spacing w:after="0" w:line="276" w:lineRule="auto"/>
        <w:rPr>
          <w:b/>
          <w:lang w:val="es-MX"/>
        </w:rPr>
      </w:pPr>
      <w:r w:rsidRPr="00744CAB">
        <w:rPr>
          <w:b/>
          <w:lang w:val="es-MX"/>
        </w:rPr>
        <w:tab/>
        <w:t>Otros Activos</w:t>
      </w:r>
    </w:p>
    <w:p w:rsidR="000A51CF" w:rsidRPr="00744CAB" w:rsidRDefault="000A51CF" w:rsidP="00744CAB">
      <w:pPr>
        <w:pStyle w:val="ROMANOS"/>
        <w:spacing w:after="0" w:line="276" w:lineRule="auto"/>
        <w:ind w:left="432"/>
        <w:rPr>
          <w:b/>
          <w:lang w:val="es-MX"/>
        </w:rPr>
      </w:pPr>
    </w:p>
    <w:p w:rsidR="00540418" w:rsidRPr="00744CAB" w:rsidRDefault="00540418" w:rsidP="00744CAB">
      <w:pPr>
        <w:pStyle w:val="ROMANOS"/>
        <w:spacing w:after="0" w:line="276" w:lineRule="auto"/>
        <w:ind w:left="432"/>
        <w:rPr>
          <w:b/>
          <w:lang w:val="es-MX"/>
        </w:rPr>
      </w:pPr>
      <w:r w:rsidRPr="00744CAB">
        <w:rPr>
          <w:b/>
          <w:lang w:val="es-MX"/>
        </w:rPr>
        <w:t>Pasivo</w:t>
      </w:r>
    </w:p>
    <w:p w:rsidR="00540418" w:rsidRPr="00744CAB" w:rsidRDefault="00410AB9" w:rsidP="00744CAB">
      <w:pPr>
        <w:pStyle w:val="ROMANOS"/>
        <w:spacing w:after="0" w:line="276" w:lineRule="auto"/>
        <w:rPr>
          <w:lang w:val="es-MX"/>
        </w:rPr>
      </w:pPr>
      <w:r w:rsidRPr="00744CAB">
        <w:rPr>
          <w:lang w:val="es-MX"/>
        </w:rPr>
        <w:t>Se elabora la nota desglosando el pasivo, como a continuación se describe:</w:t>
      </w:r>
    </w:p>
    <w:tbl>
      <w:tblPr>
        <w:tblStyle w:val="Tablaconcuadrcula"/>
        <w:tblW w:w="0" w:type="auto"/>
        <w:tblInd w:w="817" w:type="dxa"/>
        <w:tblLook w:val="04A0" w:firstRow="1" w:lastRow="0" w:firstColumn="1" w:lastColumn="0" w:noHBand="0" w:noVBand="1"/>
      </w:tblPr>
      <w:tblGrid>
        <w:gridCol w:w="565"/>
        <w:gridCol w:w="3902"/>
        <w:gridCol w:w="1266"/>
        <w:gridCol w:w="7120"/>
      </w:tblGrid>
      <w:tr w:rsidR="00D57F57" w:rsidRPr="00744CAB" w:rsidTr="00410AB9">
        <w:tc>
          <w:tcPr>
            <w:tcW w:w="567"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969"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276"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7267" w:type="dxa"/>
            <w:shd w:val="clear" w:color="auto" w:fill="D9D9D9" w:themeFill="background1" w:themeFillShade="D9"/>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410AB9">
        <w:tc>
          <w:tcPr>
            <w:tcW w:w="567"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96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276" w:type="dxa"/>
          </w:tcPr>
          <w:p w:rsidR="00D57F57" w:rsidRPr="00656CCB" w:rsidRDefault="00E91BAF" w:rsidP="00656CCB">
            <w:pPr>
              <w:pStyle w:val="ROMANOS"/>
              <w:spacing w:after="0" w:line="276" w:lineRule="auto"/>
              <w:ind w:left="0" w:firstLine="0"/>
              <w:jc w:val="right"/>
              <w:rPr>
                <w:lang w:val="es-MX"/>
              </w:rPr>
            </w:pPr>
            <w:r>
              <w:rPr>
                <w:lang w:val="es-MX"/>
              </w:rPr>
              <w:t>71,488</w:t>
            </w:r>
          </w:p>
        </w:tc>
        <w:tc>
          <w:tcPr>
            <w:tcW w:w="7267"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410AB9">
        <w:tc>
          <w:tcPr>
            <w:tcW w:w="567" w:type="dxa"/>
          </w:tcPr>
          <w:p w:rsidR="00D57F57" w:rsidRPr="00744CAB" w:rsidRDefault="00003AB0" w:rsidP="00744CAB">
            <w:pPr>
              <w:pStyle w:val="ROMANOS"/>
              <w:spacing w:after="0" w:line="276" w:lineRule="auto"/>
              <w:ind w:left="0" w:firstLine="0"/>
              <w:rPr>
                <w:lang w:val="es-MX"/>
              </w:rPr>
            </w:pPr>
            <w:r w:rsidRPr="00744CAB">
              <w:rPr>
                <w:lang w:val="es-MX"/>
              </w:rPr>
              <w:t>2</w:t>
            </w:r>
          </w:p>
        </w:tc>
        <w:tc>
          <w:tcPr>
            <w:tcW w:w="3969" w:type="dxa"/>
          </w:tcPr>
          <w:p w:rsidR="00D57F57" w:rsidRPr="00656CCB" w:rsidRDefault="00003AB0" w:rsidP="00744CAB">
            <w:pPr>
              <w:pStyle w:val="ROMANOS"/>
              <w:spacing w:after="0" w:line="276" w:lineRule="auto"/>
              <w:ind w:left="0" w:firstLine="0"/>
              <w:rPr>
                <w:lang w:val="es-MX"/>
              </w:rPr>
            </w:pPr>
            <w:r w:rsidRPr="00656CCB">
              <w:rPr>
                <w:lang w:val="es-MX"/>
              </w:rPr>
              <w:t>Acreedores (partidos políticos)</w:t>
            </w:r>
          </w:p>
        </w:tc>
        <w:tc>
          <w:tcPr>
            <w:tcW w:w="1276" w:type="dxa"/>
          </w:tcPr>
          <w:p w:rsidR="00D57F57" w:rsidRPr="00656CCB" w:rsidRDefault="00003AB0" w:rsidP="00C270A2">
            <w:pPr>
              <w:pStyle w:val="ROMANOS"/>
              <w:spacing w:after="0" w:line="276" w:lineRule="auto"/>
              <w:ind w:left="0" w:firstLine="0"/>
              <w:rPr>
                <w:lang w:val="es-MX"/>
              </w:rPr>
            </w:pPr>
            <w:r w:rsidRPr="00656CCB">
              <w:rPr>
                <w:lang w:val="es-MX"/>
              </w:rPr>
              <w:t xml:space="preserve">        </w:t>
            </w:r>
            <w:r w:rsidR="00C270A2" w:rsidRPr="00656CCB">
              <w:rPr>
                <w:lang w:val="es-MX"/>
              </w:rPr>
              <w:t>123,000</w:t>
            </w:r>
          </w:p>
        </w:tc>
        <w:tc>
          <w:tcPr>
            <w:tcW w:w="7267" w:type="dxa"/>
          </w:tcPr>
          <w:p w:rsidR="00D57F57" w:rsidRPr="00656CCB" w:rsidRDefault="00003AB0" w:rsidP="00C270A2">
            <w:pPr>
              <w:pStyle w:val="ROMANOS"/>
              <w:spacing w:after="0" w:line="276" w:lineRule="auto"/>
              <w:ind w:left="0" w:firstLine="0"/>
              <w:rPr>
                <w:lang w:val="es-MX"/>
              </w:rPr>
            </w:pPr>
            <w:r w:rsidRPr="00656CCB">
              <w:rPr>
                <w:lang w:val="es-MX"/>
              </w:rPr>
              <w:t>Su vencimiento es menor a 30 días, ya que</w:t>
            </w:r>
            <w:r w:rsidR="00C270A2" w:rsidRPr="00656CCB">
              <w:rPr>
                <w:lang w:val="es-MX"/>
              </w:rPr>
              <w:t xml:space="preserve"> se deberá cubrir a más tardar</w:t>
            </w:r>
            <w:r w:rsidRPr="00656CCB">
              <w:rPr>
                <w:lang w:val="es-MX"/>
              </w:rPr>
              <w:t xml:space="preserve"> </w:t>
            </w:r>
            <w:r w:rsidR="00C270A2" w:rsidRPr="00656CCB">
              <w:rPr>
                <w:lang w:val="es-MX"/>
              </w:rPr>
              <w:t>en el mes de agosto del presente año.</w:t>
            </w:r>
            <w:r w:rsidRPr="00656CCB">
              <w:rPr>
                <w:lang w:val="es-MX"/>
              </w:rPr>
              <w:t xml:space="preserve"> </w:t>
            </w:r>
          </w:p>
        </w:tc>
      </w:tr>
      <w:tr w:rsidR="00C270A2" w:rsidRPr="00744CAB" w:rsidTr="00410AB9">
        <w:tc>
          <w:tcPr>
            <w:tcW w:w="567" w:type="dxa"/>
          </w:tcPr>
          <w:p w:rsidR="00C270A2" w:rsidRPr="00744CAB" w:rsidRDefault="00062BEB" w:rsidP="00744CAB">
            <w:pPr>
              <w:pStyle w:val="ROMANOS"/>
              <w:spacing w:after="0" w:line="276" w:lineRule="auto"/>
              <w:ind w:left="0" w:firstLine="0"/>
              <w:rPr>
                <w:lang w:val="es-MX"/>
              </w:rPr>
            </w:pPr>
            <w:r>
              <w:rPr>
                <w:lang w:val="es-MX"/>
              </w:rPr>
              <w:t>3</w:t>
            </w:r>
          </w:p>
        </w:tc>
        <w:tc>
          <w:tcPr>
            <w:tcW w:w="3969" w:type="dxa"/>
          </w:tcPr>
          <w:p w:rsidR="00C270A2" w:rsidRPr="00656CCB" w:rsidRDefault="00C270A2" w:rsidP="00744CAB">
            <w:pPr>
              <w:pStyle w:val="ROMANOS"/>
              <w:spacing w:after="0" w:line="276" w:lineRule="auto"/>
              <w:ind w:left="0" w:firstLine="0"/>
              <w:rPr>
                <w:lang w:val="es-MX"/>
              </w:rPr>
            </w:pPr>
            <w:r w:rsidRPr="00656CCB">
              <w:rPr>
                <w:lang w:val="es-MX"/>
              </w:rPr>
              <w:t>Acreedores (demanda de laudo laboral)</w:t>
            </w:r>
          </w:p>
        </w:tc>
        <w:tc>
          <w:tcPr>
            <w:tcW w:w="1276" w:type="dxa"/>
          </w:tcPr>
          <w:p w:rsidR="00C270A2" w:rsidRPr="00656CCB" w:rsidRDefault="00E91BAF" w:rsidP="00656CCB">
            <w:pPr>
              <w:pStyle w:val="ROMANOS"/>
              <w:spacing w:after="0" w:line="276" w:lineRule="auto"/>
              <w:ind w:left="0" w:firstLine="0"/>
              <w:jc w:val="right"/>
              <w:rPr>
                <w:lang w:val="es-MX"/>
              </w:rPr>
            </w:pPr>
            <w:r>
              <w:rPr>
                <w:lang w:val="es-MX"/>
              </w:rPr>
              <w:t>43,986</w:t>
            </w:r>
          </w:p>
        </w:tc>
        <w:tc>
          <w:tcPr>
            <w:tcW w:w="7267" w:type="dxa"/>
          </w:tcPr>
          <w:p w:rsidR="00C270A2" w:rsidRPr="00656CCB" w:rsidRDefault="00656CCB" w:rsidP="00C270A2">
            <w:pPr>
              <w:pStyle w:val="ROMANOS"/>
              <w:spacing w:after="0" w:line="276" w:lineRule="auto"/>
              <w:ind w:left="0" w:firstLine="0"/>
              <w:rPr>
                <w:lang w:val="es-MX"/>
              </w:rPr>
            </w:pPr>
            <w:r w:rsidRPr="00656CCB">
              <w:rPr>
                <w:lang w:val="es-MX"/>
              </w:rPr>
              <w:t>Su vencimiento cuando se llegue a un acuerdo con la parte del demandante y que corresponde a ejercicios anteriores</w:t>
            </w:r>
          </w:p>
        </w:tc>
      </w:tr>
      <w:tr w:rsidR="00656CCB" w:rsidRPr="00744CAB" w:rsidTr="00410AB9">
        <w:tc>
          <w:tcPr>
            <w:tcW w:w="567" w:type="dxa"/>
          </w:tcPr>
          <w:p w:rsidR="00656CCB" w:rsidRPr="00744CAB" w:rsidRDefault="00062BEB" w:rsidP="00744CAB">
            <w:pPr>
              <w:pStyle w:val="ROMANOS"/>
              <w:spacing w:after="0" w:line="276" w:lineRule="auto"/>
              <w:ind w:left="0" w:firstLine="0"/>
              <w:rPr>
                <w:lang w:val="es-MX"/>
              </w:rPr>
            </w:pPr>
            <w:r>
              <w:rPr>
                <w:lang w:val="es-MX"/>
              </w:rPr>
              <w:t>4</w:t>
            </w:r>
          </w:p>
        </w:tc>
        <w:tc>
          <w:tcPr>
            <w:tcW w:w="3969" w:type="dxa"/>
          </w:tcPr>
          <w:p w:rsidR="00656CCB" w:rsidRPr="00656CCB" w:rsidRDefault="00656CCB" w:rsidP="00744CAB">
            <w:pPr>
              <w:pStyle w:val="ROMANOS"/>
              <w:spacing w:after="0" w:line="276" w:lineRule="auto"/>
              <w:ind w:left="0" w:firstLine="0"/>
              <w:rPr>
                <w:lang w:val="es-MX"/>
              </w:rPr>
            </w:pPr>
            <w:r w:rsidRPr="00656CCB">
              <w:rPr>
                <w:lang w:val="es-MX"/>
              </w:rPr>
              <w:t>Acreedores (demanda de laudo laboral)</w:t>
            </w:r>
          </w:p>
        </w:tc>
        <w:tc>
          <w:tcPr>
            <w:tcW w:w="1276" w:type="dxa"/>
          </w:tcPr>
          <w:p w:rsidR="00656CCB" w:rsidRPr="00656CCB" w:rsidRDefault="00656CCB" w:rsidP="00656CCB">
            <w:pPr>
              <w:pStyle w:val="ROMANOS"/>
              <w:spacing w:after="0" w:line="276" w:lineRule="auto"/>
              <w:ind w:left="0" w:firstLine="0"/>
              <w:jc w:val="right"/>
              <w:rPr>
                <w:lang w:val="es-MX"/>
              </w:rPr>
            </w:pPr>
            <w:r>
              <w:rPr>
                <w:lang w:val="es-MX"/>
              </w:rPr>
              <w:t>88,534</w:t>
            </w:r>
          </w:p>
        </w:tc>
        <w:tc>
          <w:tcPr>
            <w:tcW w:w="7267" w:type="dxa"/>
          </w:tcPr>
          <w:p w:rsidR="00656CCB" w:rsidRPr="00656CCB" w:rsidRDefault="00656CCB" w:rsidP="00656CCB">
            <w:pPr>
              <w:pStyle w:val="ROMANOS"/>
              <w:spacing w:after="0" w:line="276" w:lineRule="auto"/>
              <w:ind w:left="0" w:firstLine="0"/>
              <w:rPr>
                <w:lang w:val="es-MX"/>
              </w:rPr>
            </w:pPr>
            <w:r w:rsidRPr="00656CCB">
              <w:rPr>
                <w:lang w:val="es-MX"/>
              </w:rPr>
              <w:t>Su vencimiento se resuelva la demanda interpuesta de ex trabajadores del Instituto Electoral, a su vez tiene un saldo deudor a este Órgano</w:t>
            </w:r>
            <w:r>
              <w:rPr>
                <w:lang w:val="es-MX"/>
              </w:rPr>
              <w:t xml:space="preserve"> Electoral.</w:t>
            </w:r>
          </w:p>
        </w:tc>
      </w:tr>
      <w:tr w:rsidR="00D57F57" w:rsidRPr="00744CAB" w:rsidTr="00410AB9">
        <w:tc>
          <w:tcPr>
            <w:tcW w:w="567" w:type="dxa"/>
          </w:tcPr>
          <w:p w:rsidR="00D57F57" w:rsidRPr="00744CAB" w:rsidRDefault="00062BEB" w:rsidP="00744CAB">
            <w:pPr>
              <w:pStyle w:val="ROMANOS"/>
              <w:spacing w:after="0" w:line="276" w:lineRule="auto"/>
              <w:ind w:left="0" w:firstLine="0"/>
              <w:rPr>
                <w:lang w:val="es-MX"/>
              </w:rPr>
            </w:pPr>
            <w:r>
              <w:rPr>
                <w:lang w:val="es-MX"/>
              </w:rPr>
              <w:t>5</w:t>
            </w:r>
          </w:p>
        </w:tc>
        <w:tc>
          <w:tcPr>
            <w:tcW w:w="396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276" w:type="dxa"/>
          </w:tcPr>
          <w:p w:rsidR="00D57F57" w:rsidRPr="00C270A2" w:rsidRDefault="00003AB0" w:rsidP="00744CAB">
            <w:pPr>
              <w:pStyle w:val="ROMANOS"/>
              <w:spacing w:after="0" w:line="276" w:lineRule="auto"/>
              <w:ind w:left="0" w:firstLine="0"/>
              <w:rPr>
                <w:lang w:val="es-MX"/>
              </w:rPr>
            </w:pPr>
            <w:r w:rsidRPr="00C270A2">
              <w:rPr>
                <w:lang w:val="es-MX"/>
              </w:rPr>
              <w:t xml:space="preserve">        </w:t>
            </w:r>
            <w:r w:rsidR="00C270A2" w:rsidRPr="00C270A2">
              <w:rPr>
                <w:lang w:val="es-MX"/>
              </w:rPr>
              <w:t>333,411</w:t>
            </w:r>
          </w:p>
        </w:tc>
        <w:tc>
          <w:tcPr>
            <w:tcW w:w="7267" w:type="dxa"/>
          </w:tcPr>
          <w:p w:rsidR="00D57F57" w:rsidRPr="00C270A2" w:rsidRDefault="00003AB0" w:rsidP="00C270A2">
            <w:pPr>
              <w:pStyle w:val="ROMANOS"/>
              <w:spacing w:after="0" w:line="276" w:lineRule="auto"/>
              <w:ind w:left="0" w:firstLine="0"/>
              <w:rPr>
                <w:lang w:val="es-MX"/>
              </w:rPr>
            </w:pPr>
            <w:r w:rsidRPr="00C270A2">
              <w:rPr>
                <w:lang w:val="es-MX"/>
              </w:rPr>
              <w:t xml:space="preserve">La creación de pasivo por retenciones de ISR, mismas que </w:t>
            </w:r>
            <w:r w:rsidR="00C270A2" w:rsidRPr="00C270A2">
              <w:rPr>
                <w:lang w:val="es-MX"/>
              </w:rPr>
              <w:t>fue pagado antes el 17 de julio del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tbl>
      <w:tblPr>
        <w:tblW w:w="5245" w:type="dxa"/>
        <w:tblInd w:w="1913" w:type="dxa"/>
        <w:tblCellMar>
          <w:left w:w="70" w:type="dxa"/>
          <w:right w:w="70" w:type="dxa"/>
        </w:tblCellMar>
        <w:tblLook w:val="04A0" w:firstRow="1" w:lastRow="0" w:firstColumn="1" w:lastColumn="0" w:noHBand="0" w:noVBand="1"/>
      </w:tblPr>
      <w:tblGrid>
        <w:gridCol w:w="191"/>
        <w:gridCol w:w="3920"/>
        <w:gridCol w:w="1134"/>
      </w:tblGrid>
      <w:tr w:rsidR="00410AB9" w:rsidRPr="00744CAB" w:rsidTr="00DB2D54">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744CAB">
            <w:pPr>
              <w:spacing w:after="0"/>
              <w:rPr>
                <w:rFonts w:ascii="Arial" w:eastAsia="Times New Roman" w:hAnsi="Arial" w:cs="Arial"/>
                <w:b/>
                <w:color w:val="000000"/>
                <w:sz w:val="18"/>
                <w:szCs w:val="18"/>
                <w:lang w:eastAsia="es-MX"/>
              </w:rPr>
            </w:pPr>
            <w:r w:rsidRPr="00744CAB">
              <w:rPr>
                <w:rFonts w:ascii="Arial" w:eastAsia="Times New Roman" w:hAnsi="Arial" w:cs="Arial"/>
                <w:b/>
                <w:color w:val="000000"/>
                <w:sz w:val="18"/>
                <w:szCs w:val="18"/>
                <w:lang w:eastAsia="es-MX"/>
              </w:rPr>
              <w:t>Ingresos</w:t>
            </w:r>
          </w:p>
        </w:tc>
        <w:tc>
          <w:tcPr>
            <w:tcW w:w="1134" w:type="dxa"/>
            <w:tcBorders>
              <w:top w:val="nil"/>
              <w:left w:val="nil"/>
              <w:bottom w:val="nil"/>
              <w:right w:val="single" w:sz="4" w:space="0" w:color="auto"/>
            </w:tcBorders>
            <w:shd w:val="clear" w:color="000000" w:fill="FFFFFF"/>
            <w:vAlign w:val="center"/>
            <w:hideMark/>
          </w:tcPr>
          <w:p w:rsidR="00410AB9" w:rsidRPr="00744CAB" w:rsidRDefault="00410AB9" w:rsidP="00744CAB">
            <w:pPr>
              <w:spacing w:after="0"/>
              <w:jc w:val="right"/>
              <w:rPr>
                <w:rFonts w:ascii="Arial" w:eastAsia="Times New Roman" w:hAnsi="Arial" w:cs="Arial"/>
                <w:color w:val="000000"/>
                <w:sz w:val="18"/>
                <w:szCs w:val="18"/>
                <w:lang w:eastAsia="es-MX"/>
              </w:rPr>
            </w:pPr>
          </w:p>
        </w:tc>
      </w:tr>
      <w:tr w:rsidR="00410AB9" w:rsidRPr="00744CAB" w:rsidTr="00DB2D54">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Derechos</w:t>
            </w:r>
            <w:r w:rsidR="00DB2D54" w:rsidRPr="00744CAB">
              <w:rPr>
                <w:rFonts w:ascii="Arial" w:eastAsia="Times New Roman" w:hAnsi="Arial" w:cs="Arial"/>
                <w:color w:val="000000"/>
                <w:sz w:val="18"/>
                <w:szCs w:val="18"/>
                <w:lang w:eastAsia="es-MX"/>
              </w:rPr>
              <w:t xml:space="preserve">   (Copias Certificadas)</w:t>
            </w:r>
          </w:p>
        </w:tc>
        <w:tc>
          <w:tcPr>
            <w:tcW w:w="1134" w:type="dxa"/>
            <w:tcBorders>
              <w:top w:val="nil"/>
              <w:left w:val="nil"/>
              <w:bottom w:val="nil"/>
              <w:right w:val="single" w:sz="4" w:space="0" w:color="auto"/>
            </w:tcBorders>
            <w:shd w:val="clear" w:color="000000" w:fill="FFFFFF"/>
            <w:vAlign w:val="center"/>
            <w:hideMark/>
          </w:tcPr>
          <w:p w:rsidR="00410AB9" w:rsidRPr="00744CAB" w:rsidRDefault="00E91BAF" w:rsidP="00744CAB">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6,205</w:t>
            </w:r>
          </w:p>
        </w:tc>
      </w:tr>
      <w:tr w:rsidR="00410AB9" w:rsidRPr="00744CAB" w:rsidTr="00DB2D54">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DB2D54"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P</w:t>
            </w:r>
            <w:r w:rsidR="00410AB9" w:rsidRPr="00744CAB">
              <w:rPr>
                <w:rFonts w:ascii="Arial" w:eastAsia="Times New Roman" w:hAnsi="Arial" w:cs="Arial"/>
                <w:color w:val="000000"/>
                <w:sz w:val="18"/>
                <w:szCs w:val="18"/>
                <w:lang w:eastAsia="es-MX"/>
              </w:rPr>
              <w:t>roductos</w:t>
            </w:r>
          </w:p>
        </w:tc>
        <w:tc>
          <w:tcPr>
            <w:tcW w:w="1134" w:type="dxa"/>
            <w:tcBorders>
              <w:top w:val="nil"/>
              <w:left w:val="nil"/>
              <w:bottom w:val="nil"/>
              <w:right w:val="single" w:sz="4" w:space="0" w:color="auto"/>
            </w:tcBorders>
            <w:shd w:val="clear" w:color="000000" w:fill="FFFFFF"/>
            <w:vAlign w:val="center"/>
            <w:hideMark/>
          </w:tcPr>
          <w:p w:rsidR="00410AB9" w:rsidRPr="00744CAB" w:rsidRDefault="00E91BAF" w:rsidP="00744CAB">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16,102</w:t>
            </w:r>
          </w:p>
        </w:tc>
      </w:tr>
      <w:tr w:rsidR="00410AB9" w:rsidRPr="00744CAB" w:rsidTr="00DB2D54">
        <w:trPr>
          <w:gridAfter w:val="1"/>
          <w:wAfter w:w="1134" w:type="dxa"/>
          <w:trHeight w:val="240"/>
        </w:trPr>
        <w:tc>
          <w:tcPr>
            <w:tcW w:w="185" w:type="dxa"/>
            <w:tcBorders>
              <w:top w:val="nil"/>
              <w:left w:val="nil"/>
              <w:bottom w:val="nil"/>
              <w:right w:val="nil"/>
            </w:tcBorders>
            <w:shd w:val="clear" w:color="000000" w:fill="FFFFFF"/>
            <w:noWrap/>
            <w:vAlign w:val="bottom"/>
            <w:hideMark/>
          </w:tcPr>
          <w:p w:rsidR="00410AB9" w:rsidRPr="00744CAB" w:rsidRDefault="00410AB9"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 </w:t>
            </w:r>
          </w:p>
        </w:tc>
        <w:tc>
          <w:tcPr>
            <w:tcW w:w="3926" w:type="dxa"/>
            <w:tcBorders>
              <w:top w:val="nil"/>
              <w:left w:val="nil"/>
              <w:bottom w:val="nil"/>
              <w:right w:val="single" w:sz="4" w:space="0" w:color="auto"/>
            </w:tcBorders>
            <w:shd w:val="clear" w:color="000000" w:fill="FFFFFF"/>
            <w:vAlign w:val="center"/>
            <w:hideMark/>
          </w:tcPr>
          <w:p w:rsidR="00410AB9" w:rsidRPr="00744CAB" w:rsidRDefault="00410AB9"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Capital</w:t>
            </w:r>
            <w:r w:rsidR="00DB2D54" w:rsidRPr="00744CAB">
              <w:rPr>
                <w:rFonts w:ascii="Arial" w:eastAsia="Times New Roman" w:hAnsi="Arial" w:cs="Arial"/>
                <w:color w:val="000000"/>
                <w:sz w:val="18"/>
                <w:szCs w:val="18"/>
                <w:lang w:eastAsia="es-MX"/>
              </w:rPr>
              <w:t xml:space="preserve">   (Rendimientos bancarios)</w:t>
            </w:r>
          </w:p>
        </w:tc>
      </w:tr>
      <w:tr w:rsidR="00410AB9" w:rsidRPr="00744CAB" w:rsidTr="00DB2D54">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Aprovechamientos</w:t>
            </w:r>
          </w:p>
        </w:tc>
        <w:tc>
          <w:tcPr>
            <w:tcW w:w="1134" w:type="dxa"/>
            <w:tcBorders>
              <w:top w:val="nil"/>
              <w:left w:val="nil"/>
              <w:bottom w:val="nil"/>
              <w:right w:val="single" w:sz="4" w:space="0" w:color="auto"/>
            </w:tcBorders>
            <w:shd w:val="clear" w:color="000000" w:fill="FFFFFF"/>
            <w:vAlign w:val="center"/>
            <w:hideMark/>
          </w:tcPr>
          <w:p w:rsidR="00410AB9" w:rsidRPr="00744CAB" w:rsidRDefault="00E91BAF" w:rsidP="00744CAB">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214,045</w:t>
            </w:r>
          </w:p>
        </w:tc>
      </w:tr>
      <w:tr w:rsidR="00410AB9" w:rsidRPr="00744CAB" w:rsidTr="00DB2D54">
        <w:trPr>
          <w:gridAfter w:val="1"/>
          <w:wAfter w:w="1134" w:type="dxa"/>
          <w:trHeight w:val="240"/>
        </w:trPr>
        <w:tc>
          <w:tcPr>
            <w:tcW w:w="185" w:type="dxa"/>
            <w:tcBorders>
              <w:top w:val="nil"/>
              <w:left w:val="nil"/>
              <w:bottom w:val="nil"/>
              <w:right w:val="nil"/>
            </w:tcBorders>
            <w:shd w:val="clear" w:color="000000" w:fill="FFFFFF"/>
            <w:noWrap/>
            <w:vAlign w:val="bottom"/>
            <w:hideMark/>
          </w:tcPr>
          <w:p w:rsidR="00410AB9" w:rsidRPr="00744CAB" w:rsidRDefault="00410AB9"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 </w:t>
            </w:r>
          </w:p>
        </w:tc>
        <w:tc>
          <w:tcPr>
            <w:tcW w:w="3926" w:type="dxa"/>
            <w:tcBorders>
              <w:top w:val="nil"/>
              <w:left w:val="nil"/>
              <w:bottom w:val="nil"/>
              <w:right w:val="single" w:sz="4" w:space="0" w:color="auto"/>
            </w:tcBorders>
            <w:shd w:val="clear" w:color="000000" w:fill="FFFFFF"/>
            <w:vAlign w:val="center"/>
            <w:hideMark/>
          </w:tcPr>
          <w:p w:rsidR="00410AB9" w:rsidRPr="00744CAB" w:rsidRDefault="00410AB9"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Corriente</w:t>
            </w:r>
            <w:r w:rsidR="00DB2D54" w:rsidRPr="00744CAB">
              <w:rPr>
                <w:rFonts w:ascii="Arial" w:eastAsia="Times New Roman" w:hAnsi="Arial" w:cs="Arial"/>
                <w:color w:val="000000"/>
                <w:sz w:val="18"/>
                <w:szCs w:val="18"/>
                <w:lang w:eastAsia="es-MX"/>
              </w:rPr>
              <w:t xml:space="preserve">  (Sanciones a partidos políticos)</w:t>
            </w:r>
          </w:p>
        </w:tc>
      </w:tr>
      <w:tr w:rsidR="00410AB9" w:rsidRPr="00744CAB" w:rsidTr="00DB2D54">
        <w:trPr>
          <w:trHeight w:val="240"/>
        </w:trPr>
        <w:tc>
          <w:tcPr>
            <w:tcW w:w="4111" w:type="dxa"/>
            <w:gridSpan w:val="2"/>
            <w:tcBorders>
              <w:top w:val="nil"/>
              <w:left w:val="nil"/>
              <w:bottom w:val="nil"/>
              <w:right w:val="single" w:sz="4" w:space="0" w:color="000000"/>
            </w:tcBorders>
            <w:shd w:val="clear" w:color="000000" w:fill="FFFFFF"/>
            <w:vAlign w:val="center"/>
            <w:hideMark/>
          </w:tcPr>
          <w:p w:rsidR="00410AB9" w:rsidRPr="00744CAB" w:rsidRDefault="00410AB9" w:rsidP="00744CAB">
            <w:pPr>
              <w:spacing w:after="0"/>
              <w:rPr>
                <w:rFonts w:ascii="Arial" w:eastAsia="Times New Roman" w:hAnsi="Arial" w:cs="Arial"/>
                <w:color w:val="000000"/>
                <w:sz w:val="18"/>
                <w:szCs w:val="18"/>
                <w:lang w:eastAsia="es-MX"/>
              </w:rPr>
            </w:pPr>
            <w:r w:rsidRPr="00744CAB">
              <w:rPr>
                <w:rFonts w:ascii="Arial" w:eastAsia="Times New Roman" w:hAnsi="Arial" w:cs="Arial"/>
                <w:color w:val="000000"/>
                <w:sz w:val="18"/>
                <w:szCs w:val="18"/>
                <w:lang w:eastAsia="es-MX"/>
              </w:rPr>
              <w:t>Participaciones y Aportaciones</w:t>
            </w:r>
            <w:r w:rsidR="00DB2D54" w:rsidRPr="00744CAB">
              <w:rPr>
                <w:rFonts w:ascii="Arial" w:eastAsia="Times New Roman" w:hAnsi="Arial" w:cs="Arial"/>
                <w:color w:val="000000"/>
                <w:sz w:val="18"/>
                <w:szCs w:val="18"/>
                <w:lang w:eastAsia="es-MX"/>
              </w:rPr>
              <w:t xml:space="preserve"> (Recursos estatales</w:t>
            </w:r>
          </w:p>
        </w:tc>
        <w:tc>
          <w:tcPr>
            <w:tcW w:w="1134" w:type="dxa"/>
            <w:tcBorders>
              <w:top w:val="nil"/>
              <w:left w:val="nil"/>
              <w:bottom w:val="nil"/>
              <w:right w:val="single" w:sz="4" w:space="0" w:color="auto"/>
            </w:tcBorders>
            <w:shd w:val="clear" w:color="000000" w:fill="FFFFFF"/>
            <w:vAlign w:val="center"/>
            <w:hideMark/>
          </w:tcPr>
          <w:p w:rsidR="00410AB9" w:rsidRPr="00744CAB" w:rsidRDefault="00E91BAF" w:rsidP="00744CAB">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27,140,719</w:t>
            </w:r>
          </w:p>
        </w:tc>
      </w:tr>
      <w:tr w:rsidR="00DB2D54" w:rsidRPr="00744CAB" w:rsidTr="00DB2D54">
        <w:trPr>
          <w:trHeight w:val="240"/>
        </w:trPr>
        <w:tc>
          <w:tcPr>
            <w:tcW w:w="4111" w:type="dxa"/>
            <w:gridSpan w:val="2"/>
            <w:tcBorders>
              <w:top w:val="nil"/>
              <w:left w:val="nil"/>
              <w:bottom w:val="nil"/>
              <w:right w:val="single" w:sz="4" w:space="0" w:color="000000"/>
            </w:tcBorders>
            <w:shd w:val="clear" w:color="000000" w:fill="FFFFFF"/>
            <w:vAlign w:val="center"/>
            <w:hideMark/>
          </w:tcPr>
          <w:p w:rsidR="00DB2D54" w:rsidRPr="00744CAB" w:rsidRDefault="00DB2D54" w:rsidP="00744CAB">
            <w:pPr>
              <w:spacing w:after="0"/>
              <w:rPr>
                <w:rFonts w:ascii="Arial" w:eastAsia="Times New Roman" w:hAnsi="Arial" w:cs="Arial"/>
                <w:color w:val="000000"/>
                <w:sz w:val="18"/>
                <w:szCs w:val="18"/>
                <w:lang w:eastAsia="es-MX"/>
              </w:rPr>
            </w:pPr>
          </w:p>
        </w:tc>
        <w:tc>
          <w:tcPr>
            <w:tcW w:w="1134" w:type="dxa"/>
            <w:tcBorders>
              <w:top w:val="nil"/>
              <w:left w:val="nil"/>
              <w:bottom w:val="nil"/>
              <w:right w:val="single" w:sz="4" w:space="0" w:color="auto"/>
            </w:tcBorders>
            <w:shd w:val="clear" w:color="000000" w:fill="FFFFFF"/>
            <w:vAlign w:val="center"/>
            <w:hideMark/>
          </w:tcPr>
          <w:p w:rsidR="00DB2D54" w:rsidRPr="00744CAB" w:rsidRDefault="00DB2D54" w:rsidP="00744CAB">
            <w:pPr>
              <w:spacing w:after="0"/>
              <w:jc w:val="right"/>
              <w:rPr>
                <w:rFonts w:ascii="Arial" w:eastAsia="Times New Roman" w:hAnsi="Arial" w:cs="Arial"/>
                <w:color w:val="000000"/>
                <w:sz w:val="18"/>
                <w:szCs w:val="18"/>
                <w:lang w:eastAsia="es-MX"/>
              </w:rPr>
            </w:pPr>
          </w:p>
        </w:tc>
      </w:tr>
    </w:tbl>
    <w:p w:rsidR="00540418" w:rsidRPr="00744CAB" w:rsidRDefault="00540418" w:rsidP="00744CAB">
      <w:pPr>
        <w:pStyle w:val="ROMANOS"/>
        <w:spacing w:after="0" w:line="276" w:lineRule="auto"/>
        <w:rPr>
          <w:b/>
          <w:lang w:val="es-MX"/>
        </w:rPr>
      </w:pPr>
      <w:r w:rsidRPr="00744CAB">
        <w:rPr>
          <w:b/>
          <w:lang w:val="es-MX"/>
        </w:rPr>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193FE6" w:rsidRPr="00744CAB">
        <w:rPr>
          <w:lang w:val="es-MX"/>
        </w:rPr>
        <w:t xml:space="preserve"> derechos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CC1D29" w:rsidRPr="00744CAB">
        <w:rPr>
          <w:lang w:val="es-MX"/>
        </w:rPr>
        <w:t xml:space="preserve"> </w:t>
      </w:r>
      <w:r w:rsidRPr="00744CAB">
        <w:rPr>
          <w:lang w:val="es-MX"/>
        </w:rPr>
        <w:t xml:space="preserve">cabe hacer mención  que en cuanto </w:t>
      </w:r>
      <w:r w:rsidR="00CC1D29" w:rsidRPr="00744CAB">
        <w:rPr>
          <w:lang w:val="es-MX"/>
        </w:rPr>
        <w:t xml:space="preserve"> </w:t>
      </w:r>
      <w:r w:rsidRPr="00744CAB">
        <w:rPr>
          <w:lang w:val="es-MX"/>
        </w:rPr>
        <w:t xml:space="preserve">al </w:t>
      </w:r>
      <w:r w:rsidR="00CC1D29" w:rsidRPr="00744CAB">
        <w:rPr>
          <w:lang w:val="es-MX"/>
        </w:rPr>
        <w:t>presupuesto autorizado al Instituto</w:t>
      </w:r>
      <w:r w:rsidR="00D66C34" w:rsidRPr="00744CAB">
        <w:rPr>
          <w:lang w:val="es-MX"/>
        </w:rPr>
        <w:t>,</w:t>
      </w:r>
      <w:r w:rsidRPr="00744CAB">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CC1D29" w:rsidRPr="00744CAB">
        <w:rPr>
          <w:lang w:val="es-MX"/>
        </w:rPr>
        <w:t xml:space="preserve"> </w:t>
      </w:r>
      <w:r w:rsidR="00193FE6" w:rsidRPr="00744CAB">
        <w:rPr>
          <w:lang w:val="es-MX"/>
        </w:rPr>
        <w:t>Derivado de</w:t>
      </w:r>
      <w:r w:rsidR="00341E1E">
        <w:rPr>
          <w:lang w:val="es-MX"/>
        </w:rPr>
        <w:t xml:space="preserve"> la disminución del presupuesto.</w:t>
      </w:r>
    </w:p>
    <w:p w:rsidR="0087426A" w:rsidRDefault="0087426A" w:rsidP="0087426A">
      <w:pPr>
        <w:pStyle w:val="ROMANOS"/>
        <w:spacing w:after="0" w:line="276" w:lineRule="auto"/>
        <w:ind w:left="288" w:firstLine="0"/>
        <w:rPr>
          <w:lang w:val="es-MX"/>
        </w:rPr>
      </w:pPr>
    </w:p>
    <w:p w:rsidR="0087426A" w:rsidRDefault="0087426A" w:rsidP="0087426A">
      <w:pPr>
        <w:pStyle w:val="ROMANOS"/>
        <w:spacing w:after="0" w:line="276" w:lineRule="auto"/>
        <w:ind w:left="288" w:firstLine="0"/>
        <w:rPr>
          <w:lang w:val="es-MX"/>
        </w:rPr>
      </w:pPr>
      <w:r>
        <w:rPr>
          <w:lang w:val="es-MX"/>
        </w:rPr>
        <w:t>En el rubro de Transferencias, Asignaciones, Subsidios y Otras Ayudas el importe 318,011.81, corresponde a remanentes del ejercicio fiscal 2014, y derivado de que no fue integrado en el presupuesto inicial.</w:t>
      </w:r>
    </w:p>
    <w:p w:rsidR="00E91BAF" w:rsidRDefault="00E91BAF" w:rsidP="00744CAB">
      <w:pPr>
        <w:pStyle w:val="INCISO"/>
        <w:spacing w:after="0" w:line="276" w:lineRule="auto"/>
        <w:ind w:left="360"/>
        <w:rPr>
          <w:b/>
          <w:smallCaps/>
        </w:rPr>
      </w:pP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rsidR="00D66C34" w:rsidRPr="00744CAB" w:rsidRDefault="00540418" w:rsidP="00744CAB">
      <w:pPr>
        <w:pStyle w:val="ROMANOS"/>
        <w:spacing w:after="0" w:line="276" w:lineRule="auto"/>
        <w:rPr>
          <w:lang w:val="es-MX"/>
        </w:rPr>
      </w:pPr>
      <w:r w:rsidRPr="00744CAB">
        <w:rPr>
          <w:lang w:val="es-MX"/>
        </w:rPr>
        <w:tab/>
      </w:r>
    </w:p>
    <w:p w:rsidR="00540418" w:rsidRPr="00744CAB" w:rsidRDefault="00D66C34" w:rsidP="00744CAB">
      <w:pPr>
        <w:pStyle w:val="ROMANOS"/>
        <w:tabs>
          <w:tab w:val="clear" w:pos="720"/>
          <w:tab w:val="left" w:pos="284"/>
        </w:tabs>
        <w:spacing w:after="0" w:line="276" w:lineRule="auto"/>
        <w:ind w:left="277" w:firstLine="0"/>
        <w:rPr>
          <w:lang w:val="es-MX"/>
        </w:rPr>
      </w:pPr>
      <w:r w:rsidRPr="00744CAB">
        <w:rPr>
          <w:lang w:val="es-MX"/>
        </w:rPr>
        <w:t>Muestra el patrimonio generado</w:t>
      </w:r>
      <w:r w:rsidR="00341E1E">
        <w:rPr>
          <w:lang w:val="es-MX"/>
        </w:rPr>
        <w:t xml:space="preserve"> derivado de los ejercicios 2014</w:t>
      </w:r>
      <w:r w:rsidRPr="00744CAB">
        <w:rPr>
          <w:lang w:val="es-MX"/>
        </w:rPr>
        <w:t xml:space="preserve">, </w:t>
      </w:r>
      <w:r w:rsidR="00D03A22" w:rsidRPr="00744CAB">
        <w:rPr>
          <w:lang w:val="es-MX"/>
        </w:rPr>
        <w:t xml:space="preserve">mismos que </w:t>
      </w:r>
      <w:r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Pr="00744CAB"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CC1196" w:rsidRPr="00744CAB" w:rsidRDefault="00CC1196" w:rsidP="00744CAB">
      <w:pPr>
        <w:pStyle w:val="ROMANOS"/>
        <w:spacing w:after="0" w:line="276" w:lineRule="auto"/>
        <w:ind w:left="0" w:firstLine="0"/>
        <w:rPr>
          <w:lang w:val="es-MX"/>
        </w:rPr>
      </w:pPr>
    </w:p>
    <w:p w:rsidR="00540418" w:rsidRPr="00744CAB" w:rsidRDefault="00540418" w:rsidP="00744CAB">
      <w:pPr>
        <w:pStyle w:val="ROMANOS"/>
        <w:spacing w:after="0" w:line="276" w:lineRule="auto"/>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2015</w:t>
            </w: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2014</w:t>
            </w: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E91BAF" w:rsidP="00744CAB">
            <w:pPr>
              <w:pStyle w:val="Texto"/>
              <w:spacing w:after="0" w:line="276" w:lineRule="auto"/>
              <w:ind w:firstLine="0"/>
              <w:jc w:val="center"/>
              <w:rPr>
                <w:szCs w:val="18"/>
                <w:lang w:val="es-MX"/>
              </w:rPr>
            </w:pPr>
            <w:r>
              <w:rPr>
                <w:szCs w:val="18"/>
                <w:lang w:val="es-MX"/>
              </w:rPr>
              <w:t>1,221,238</w:t>
            </w: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777,363</w:t>
            </w: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540418" w:rsidRPr="00744CAB" w:rsidRDefault="00E91BAF" w:rsidP="00744CAB">
            <w:pPr>
              <w:pStyle w:val="Texto"/>
              <w:spacing w:after="0" w:line="276" w:lineRule="auto"/>
              <w:ind w:firstLine="0"/>
              <w:jc w:val="center"/>
              <w:rPr>
                <w:szCs w:val="18"/>
                <w:lang w:val="es-MX"/>
              </w:rPr>
            </w:pPr>
            <w:r>
              <w:rPr>
                <w:szCs w:val="18"/>
                <w:lang w:val="es-MX"/>
              </w:rPr>
              <w:t>1,221,238</w:t>
            </w:r>
          </w:p>
        </w:tc>
        <w:tc>
          <w:tcPr>
            <w:tcW w:w="1031"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777,363</w:t>
            </w:r>
          </w:p>
        </w:tc>
      </w:tr>
    </w:tbl>
    <w:p w:rsidR="00540418" w:rsidRPr="00744CAB" w:rsidRDefault="00540418" w:rsidP="00744CAB">
      <w:pPr>
        <w:pStyle w:val="Texto"/>
        <w:spacing w:after="0" w:line="276" w:lineRule="auto"/>
        <w:rPr>
          <w:szCs w:val="18"/>
          <w:lang w:val="es-MX"/>
        </w:rPr>
      </w:pPr>
    </w:p>
    <w:p w:rsidR="00CC1196" w:rsidRPr="00744CAB" w:rsidRDefault="00CC1196" w:rsidP="00744CAB">
      <w:pPr>
        <w:pStyle w:val="Texto"/>
        <w:spacing w:after="0" w:line="276" w:lineRule="auto"/>
        <w:rPr>
          <w:szCs w:val="18"/>
          <w:lang w:val="es-MX"/>
        </w:rPr>
      </w:pPr>
    </w:p>
    <w:p w:rsidR="00540418" w:rsidRPr="00744CAB" w:rsidRDefault="00540418" w:rsidP="00744CAB">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B22C9D" w:rsidRPr="00744CAB" w:rsidRDefault="00B22C9D" w:rsidP="00744CAB">
      <w:pPr>
        <w:pStyle w:val="ROMANOS"/>
        <w:spacing w:after="0" w:line="276" w:lineRule="auto"/>
        <w:ind w:left="648" w:firstLine="0"/>
        <w:rPr>
          <w:lang w:val="es-MX"/>
        </w:rPr>
      </w:pP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Ahorro/Desahorro antes de Rubros Extraordinarios. A continuación se presenta un ejemplo de la elaboración de la conciliación.</w:t>
      </w:r>
      <w:r w:rsidR="0087426A">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Pr="00744CAB" w:rsidRDefault="00CC1196" w:rsidP="00744CAB">
      <w:pPr>
        <w:pStyle w:val="ROMANOS"/>
        <w:spacing w:after="0" w:line="276" w:lineRule="auto"/>
        <w:rPr>
          <w:lang w:val="es-MX"/>
        </w:rPr>
      </w:pPr>
      <w:r w:rsidRPr="00744CAB">
        <w:rPr>
          <w:lang w:val="es-MX"/>
        </w:rPr>
        <w:tab/>
      </w: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2015</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szCs w:val="18"/>
                <w:lang w:val="es-MX"/>
              </w:rPr>
            </w:pPr>
            <w:r>
              <w:rPr>
                <w:szCs w:val="18"/>
                <w:lang w:val="es-MX"/>
              </w:rPr>
              <w:t>2014</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E91BAF" w:rsidP="00744CAB">
            <w:pPr>
              <w:pStyle w:val="Texto"/>
              <w:spacing w:after="0" w:line="276" w:lineRule="auto"/>
              <w:ind w:firstLine="0"/>
              <w:jc w:val="center"/>
              <w:rPr>
                <w:b/>
                <w:szCs w:val="18"/>
                <w:lang w:val="es-MX"/>
              </w:rPr>
            </w:pPr>
            <w:r>
              <w:rPr>
                <w:b/>
                <w:szCs w:val="18"/>
                <w:lang w:val="es-MX"/>
              </w:rPr>
              <w:t>510,232</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E640F0" w:rsidP="00744CAB">
            <w:pPr>
              <w:pStyle w:val="Texto"/>
              <w:spacing w:after="0" w:line="276" w:lineRule="auto"/>
              <w:ind w:firstLine="0"/>
              <w:jc w:val="center"/>
              <w:rPr>
                <w:b/>
                <w:szCs w:val="18"/>
                <w:lang w:val="es-MX"/>
              </w:rPr>
            </w:pPr>
            <w:r>
              <w:rPr>
                <w:b/>
                <w:szCs w:val="18"/>
                <w:lang w:val="es-MX"/>
              </w:rPr>
              <w:t>1,595,118</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744CAB">
            <w:pPr>
              <w:pStyle w:val="Texto"/>
              <w:spacing w:after="0" w:line="276" w:lineRule="auto"/>
              <w:ind w:firstLine="0"/>
              <w:jc w:val="center"/>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DC4D70" w:rsidP="00744CAB">
            <w:pPr>
              <w:pStyle w:val="Texto"/>
              <w:spacing w:after="0" w:line="276" w:lineRule="auto"/>
              <w:ind w:firstLine="0"/>
              <w:jc w:val="right"/>
              <w:rPr>
                <w:szCs w:val="18"/>
                <w:lang w:val="es-MX"/>
              </w:rPr>
            </w:pPr>
            <w:r w:rsidRPr="00DC4D70">
              <w:rPr>
                <w:szCs w:val="18"/>
                <w:lang w:val="es-MX"/>
              </w:rPr>
              <w:t>14,671</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40418" w:rsidRPr="00744CAB" w:rsidRDefault="00540418" w:rsidP="00744CAB">
      <w:pPr>
        <w:pStyle w:val="Texto"/>
        <w:spacing w:after="0" w:line="276" w:lineRule="auto"/>
        <w:rPr>
          <w:szCs w:val="18"/>
          <w:lang w:val="es-MX"/>
        </w:rPr>
      </w:pPr>
    </w:p>
    <w:p w:rsidR="00540418" w:rsidRDefault="00540418"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Default="00DC4D70" w:rsidP="00744CAB">
      <w:pPr>
        <w:pStyle w:val="Texto"/>
        <w:spacing w:after="0" w:line="276" w:lineRule="auto"/>
        <w:rPr>
          <w:szCs w:val="18"/>
          <w:lang w:val="es-MX"/>
        </w:rPr>
      </w:pPr>
    </w:p>
    <w:p w:rsidR="00DC4D70" w:rsidRPr="00744CAB" w:rsidRDefault="00DC4D70" w:rsidP="00744CAB">
      <w:pPr>
        <w:pStyle w:val="Texto"/>
        <w:spacing w:after="0" w:line="276" w:lineRule="auto"/>
        <w:rPr>
          <w:szCs w:val="18"/>
          <w:lang w:val="es-MX"/>
        </w:rPr>
      </w:pPr>
    </w:p>
    <w:p w:rsidR="00540418" w:rsidRPr="00744CAB" w:rsidRDefault="00540418" w:rsidP="00744CAB">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5D5413" w:rsidP="00744CAB">
      <w:pPr>
        <w:pStyle w:val="Texto"/>
        <w:spacing w:after="0" w:line="276" w:lineRule="auto"/>
        <w:rPr>
          <w:szCs w:val="18"/>
          <w:lang w:val="es-MX"/>
        </w:rPr>
      </w:pPr>
      <w:r>
        <w:rPr>
          <w:rFonts w:ascii="Soberana Sans Light" w:hAnsi="Soberana Sans Light"/>
          <w:noProof/>
          <w:sz w:val="22"/>
          <w:szCs w:val="22"/>
          <w:lang w:val="es-MX" w:eastAsia="es-MX"/>
        </w:rPr>
        <w:object w:dxaOrig="1440" w:dyaOrig="1440">
          <v:shape id="_x0000_s1028" type="#_x0000_t75" style="position:absolute;left:0;text-align:left;margin-left:9.65pt;margin-top:43.8pt;width:268.55pt;height:182.6pt;z-index:251658240">
            <v:imagedata r:id="rId22" o:title=""/>
            <w10:wrap type="topAndBottom"/>
          </v:shape>
          <o:OLEObject Type="Embed" ProgID="Excel.Sheet.12" ShapeID="_x0000_s1028" DrawAspect="Content" ObjectID="_1499175056" r:id="rId23"/>
        </w:object>
      </w:r>
      <w:r w:rsidR="00540418"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40418" w:rsidRDefault="005D5413" w:rsidP="00B849EE">
      <w:pPr>
        <w:pStyle w:val="Texto"/>
        <w:spacing w:after="0" w:line="240" w:lineRule="exact"/>
        <w:ind w:firstLine="0"/>
        <w:rPr>
          <w:rFonts w:ascii="Soberana Sans Light" w:hAnsi="Soberana Sans Light"/>
          <w:sz w:val="22"/>
          <w:szCs w:val="22"/>
          <w:lang w:val="es-MX"/>
        </w:rPr>
      </w:pPr>
      <w:r>
        <w:rPr>
          <w:noProof/>
        </w:rPr>
        <w:object w:dxaOrig="1440" w:dyaOrig="1440">
          <v:shape id="_x0000_s1030" type="#_x0000_t75" style="position:absolute;left:0;text-align:left;margin-left:325.4pt;margin-top:16pt;width:269.75pt;height:272.65pt;z-index:251660288">
            <v:imagedata r:id="rId24" o:title=""/>
            <w10:wrap type="topAndBottom"/>
          </v:shape>
          <o:OLEObject Type="Embed" ProgID="Excel.Sheet.12" ShapeID="_x0000_s1030" DrawAspect="Content" ObjectID="_1499175057" r:id="rId25"/>
        </w:object>
      </w:r>
    </w:p>
    <w:p w:rsidR="0044253C" w:rsidRDefault="0044253C" w:rsidP="00540418">
      <w:pPr>
        <w:pStyle w:val="Texto"/>
        <w:spacing w:after="0" w:line="240" w:lineRule="exact"/>
        <w:jc w:val="center"/>
        <w:rPr>
          <w:rFonts w:ascii="Soberana Sans Light" w:hAnsi="Soberana Sans Light"/>
          <w:b/>
          <w:smallCaps/>
          <w:sz w:val="22"/>
          <w:szCs w:val="22"/>
          <w:lang w:val="es-MX"/>
        </w:rPr>
      </w:pPr>
    </w:p>
    <w:p w:rsidR="00B849EE" w:rsidRPr="00540418" w:rsidRDefault="00B849EE" w:rsidP="00540418">
      <w:pPr>
        <w:pStyle w:val="Texto"/>
        <w:spacing w:after="0" w:line="240" w:lineRule="exact"/>
        <w:jc w:val="center"/>
        <w:rPr>
          <w:rFonts w:ascii="Soberana Sans Light" w:hAnsi="Soberana Sans Light"/>
          <w:b/>
          <w:smallCaps/>
          <w:sz w:val="22"/>
          <w:szCs w:val="22"/>
          <w:lang w:val="es-MX"/>
        </w:rPr>
      </w:pPr>
    </w:p>
    <w:p w:rsidR="006F03BC" w:rsidRDefault="006F03BC" w:rsidP="00540418">
      <w:pPr>
        <w:pStyle w:val="Texto"/>
        <w:spacing w:after="0" w:line="240" w:lineRule="exact"/>
        <w:ind w:firstLine="0"/>
        <w:jc w:val="center"/>
        <w:rPr>
          <w:rFonts w:ascii="Soberana Sans Light" w:hAnsi="Soberana Sans Light"/>
          <w:b/>
          <w:sz w:val="22"/>
          <w:szCs w:val="22"/>
        </w:rPr>
      </w:pPr>
    </w:p>
    <w:p w:rsidR="00DC4D70" w:rsidRDefault="00DC4D70" w:rsidP="00540418">
      <w:pPr>
        <w:pStyle w:val="Texto"/>
        <w:spacing w:after="0" w:line="240" w:lineRule="exact"/>
        <w:ind w:firstLine="0"/>
        <w:jc w:val="center"/>
        <w:rPr>
          <w:rFonts w:ascii="Soberana Sans Light" w:hAnsi="Soberana Sans Light"/>
          <w:b/>
          <w:sz w:val="22"/>
          <w:szCs w:val="22"/>
        </w:rPr>
      </w:pPr>
    </w:p>
    <w:p w:rsidR="00DC4D70" w:rsidRDefault="00DC4D70" w:rsidP="00540418">
      <w:pPr>
        <w:pStyle w:val="Texto"/>
        <w:spacing w:after="0" w:line="240" w:lineRule="exact"/>
        <w:ind w:firstLine="0"/>
        <w:jc w:val="center"/>
        <w:rPr>
          <w:rFonts w:ascii="Soberana Sans Light" w:hAnsi="Soberana Sans Light"/>
          <w:b/>
          <w:sz w:val="22"/>
          <w:szCs w:val="22"/>
        </w:rPr>
      </w:pPr>
    </w:p>
    <w:p w:rsidR="00DC4D70" w:rsidRDefault="00DC4D70" w:rsidP="00540418">
      <w:pPr>
        <w:pStyle w:val="Texto"/>
        <w:spacing w:after="0" w:line="240" w:lineRule="exact"/>
        <w:ind w:firstLine="0"/>
        <w:jc w:val="center"/>
        <w:rPr>
          <w:rFonts w:ascii="Soberana Sans Light" w:hAnsi="Soberana Sans Light"/>
          <w:b/>
          <w:sz w:val="22"/>
          <w:szCs w:val="22"/>
        </w:rPr>
      </w:pPr>
    </w:p>
    <w:p w:rsidR="00DC4D70" w:rsidRDefault="00DC4D70" w:rsidP="00540418">
      <w:pPr>
        <w:pStyle w:val="Texto"/>
        <w:spacing w:after="0" w:line="240" w:lineRule="exact"/>
        <w:ind w:firstLine="0"/>
        <w:jc w:val="center"/>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rPr>
        <w:t>b)</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87426A">
        <w:rPr>
          <w:szCs w:val="18"/>
        </w:rPr>
        <w:t xml:space="preserve"> </w:t>
      </w:r>
      <w:r w:rsidR="005D06DF" w:rsidRPr="005D06DF">
        <w:rPr>
          <w:szCs w:val="18"/>
        </w:rPr>
        <w:t>No aplica</w:t>
      </w:r>
    </w:p>
    <w:p w:rsidR="00540418" w:rsidRDefault="00540418"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Pr="005D06DF" w:rsidRDefault="00540418" w:rsidP="00744CAB">
      <w:pPr>
        <w:pStyle w:val="Texto"/>
        <w:spacing w:after="0" w:line="276" w:lineRule="auto"/>
        <w:rPr>
          <w:b/>
          <w:szCs w:val="18"/>
        </w:rPr>
      </w:pPr>
      <w:r w:rsidRPr="005D06DF">
        <w:rPr>
          <w:b/>
          <w:szCs w:val="18"/>
          <w:lang w:val="es-MX"/>
        </w:rPr>
        <w:t>1.</w:t>
      </w:r>
      <w:r w:rsidRPr="005D06DF">
        <w:rPr>
          <w:b/>
          <w:szCs w:val="18"/>
          <w:lang w:val="es-MX"/>
        </w:rPr>
        <w:tab/>
        <w:t>Introducción</w:t>
      </w:r>
    </w:p>
    <w:p w:rsidR="00540418" w:rsidRPr="005D06DF" w:rsidRDefault="00540418" w:rsidP="00744CAB">
      <w:pPr>
        <w:pStyle w:val="Texto"/>
        <w:spacing w:after="0" w:line="276" w:lineRule="auto"/>
        <w:rPr>
          <w:szCs w:val="18"/>
        </w:rPr>
      </w:pPr>
      <w:r w:rsidRPr="005D06DF">
        <w:rPr>
          <w:szCs w:val="18"/>
        </w:rPr>
        <w:t>Los Estados Financieros de los entes públicos, proveen de información financiera a los principales usuarios de la misma, al Congreso y a los ciudadanos.</w:t>
      </w:r>
    </w:p>
    <w:p w:rsidR="00540418" w:rsidRPr="005D06DF" w:rsidRDefault="00540418" w:rsidP="00744CAB">
      <w:pPr>
        <w:pStyle w:val="Texto"/>
        <w:spacing w:after="0" w:line="276" w:lineRule="auto"/>
        <w:rPr>
          <w:szCs w:val="18"/>
        </w:rPr>
      </w:pPr>
    </w:p>
    <w:p w:rsidR="005D06DF" w:rsidRDefault="005D06DF" w:rsidP="00744CAB">
      <w:pPr>
        <w:pStyle w:val="NormalWeb"/>
        <w:spacing w:line="276" w:lineRule="auto"/>
        <w:jc w:val="both"/>
        <w:rPr>
          <w:rFonts w:ascii="Arial" w:hAnsi="Arial" w:cs="Arial"/>
          <w:color w:val="000000"/>
          <w:sz w:val="18"/>
          <w:szCs w:val="18"/>
        </w:rPr>
      </w:pPr>
      <w:r w:rsidRPr="00987D05">
        <w:rPr>
          <w:rFonts w:ascii="Arial" w:hAnsi="Arial" w:cs="Arial"/>
          <w:color w:val="000000"/>
          <w:sz w:val="18"/>
          <w:szCs w:val="18"/>
        </w:rPr>
        <w:t>El Instituto Electoral de Tlaxcala,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el Código de Instituciones y Procedimientos Electorales para el estado de Tlaxcala.</w:t>
      </w:r>
    </w:p>
    <w:p w:rsidR="005D06DF" w:rsidRPr="00987D05" w:rsidRDefault="005D06DF" w:rsidP="00744CAB">
      <w:pPr>
        <w:pStyle w:val="NormalWeb"/>
        <w:spacing w:line="276" w:lineRule="auto"/>
        <w:jc w:val="both"/>
        <w:rPr>
          <w:rFonts w:ascii="Arial" w:hAnsi="Arial" w:cs="Arial"/>
          <w:color w:val="000000"/>
          <w:sz w:val="18"/>
          <w:szCs w:val="18"/>
        </w:rPr>
      </w:pPr>
    </w:p>
    <w:p w:rsidR="005D06DF" w:rsidRDefault="005D06DF" w:rsidP="00744CAB">
      <w:pPr>
        <w:pStyle w:val="NormalWeb"/>
        <w:spacing w:line="276" w:lineRule="auto"/>
        <w:jc w:val="both"/>
        <w:rPr>
          <w:rFonts w:ascii="Arial" w:hAnsi="Arial" w:cs="Arial"/>
          <w:color w:val="000000"/>
          <w:sz w:val="18"/>
          <w:szCs w:val="18"/>
        </w:rPr>
      </w:pPr>
      <w:r w:rsidRPr="00987D05">
        <w:rPr>
          <w:rFonts w:ascii="Arial"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5D06DF" w:rsidRDefault="005D06DF" w:rsidP="00744CAB">
      <w:pPr>
        <w:pStyle w:val="NormalWeb"/>
        <w:spacing w:line="276" w:lineRule="auto"/>
        <w:jc w:val="both"/>
        <w:rPr>
          <w:rFonts w:ascii="Arial" w:hAnsi="Arial" w:cs="Arial"/>
          <w:color w:val="000000"/>
          <w:sz w:val="18"/>
          <w:szCs w:val="18"/>
        </w:rPr>
      </w:pPr>
    </w:p>
    <w:p w:rsidR="005D06DF" w:rsidRPr="00987D05" w:rsidRDefault="005D06DF" w:rsidP="00744CAB">
      <w:pPr>
        <w:tabs>
          <w:tab w:val="left" w:pos="340"/>
        </w:tabs>
        <w:spacing w:before="120" w:after="0"/>
        <w:jc w:val="both"/>
        <w:rPr>
          <w:rFonts w:ascii="Arial" w:hAnsi="Arial" w:cs="Arial"/>
          <w:sz w:val="18"/>
          <w:szCs w:val="18"/>
        </w:rPr>
      </w:pPr>
      <w:r w:rsidRPr="00987D05">
        <w:rPr>
          <w:rFonts w:ascii="Arial" w:hAnsi="Arial" w:cs="Arial"/>
          <w:sz w:val="18"/>
          <w:szCs w:val="18"/>
        </w:rPr>
        <w:t>Aumentar la eficiencia y transparencia de la administración de los recursos financieros, optimizando el uso de  los recursos financieros estableciendo estrategias administrativas que fortalezcan la transparencia y la rendición de cuentas.</w:t>
      </w:r>
    </w:p>
    <w:p w:rsidR="005D06DF" w:rsidRDefault="005D06DF" w:rsidP="00744CAB">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rsidR="005D06DF" w:rsidRDefault="005D06DF" w:rsidP="00744CAB">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5D06DF" w:rsidRDefault="00540418" w:rsidP="00744CAB">
      <w:pPr>
        <w:pStyle w:val="Texto"/>
        <w:spacing w:after="0" w:line="276" w:lineRule="auto"/>
        <w:rPr>
          <w:szCs w:val="18"/>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540418" w:rsidRDefault="00540418" w:rsidP="00744CAB">
      <w:pPr>
        <w:pStyle w:val="Texto"/>
        <w:spacing w:after="0" w:line="276" w:lineRule="auto"/>
        <w:rPr>
          <w:szCs w:val="18"/>
        </w:rPr>
      </w:pPr>
    </w:p>
    <w:p w:rsidR="00570B25" w:rsidRPr="005D06DF" w:rsidRDefault="00570B25" w:rsidP="00744CAB">
      <w:pPr>
        <w:pStyle w:val="Texto"/>
        <w:spacing w:after="0" w:line="276" w:lineRule="auto"/>
        <w:rPr>
          <w:szCs w:val="18"/>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Amido Vergara Sabbagh, José Maldonado Barba, Willebaldo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Temoltzin Méndez, Jesús Ortiz Xilotl, Macario Pérez Sánchez y Beatriz Eugenia Carpintero Mendivil.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Con las reformas a la Constitución Política de Tlaxcala de 2003, se renueva el Consejo General del Instituto Electoral de Tlaxcala, quedando integrado por un Consejero Presidente, recayendo la responsabilidad en Jesús Ortiz Xilotl; y seis Consejeros Electorales: Miguel González Madrid, Manuel Guillermo Ruiz Salas, José Lumbreras García, Cesáreo Santamaría Madrid, Enrique Zempoalteca</w:t>
      </w:r>
      <w:r w:rsidR="00744CAB">
        <w:rPr>
          <w:rFonts w:ascii="Arial" w:hAnsi="Arial" w:cs="Arial"/>
          <w:color w:val="000000"/>
          <w:sz w:val="18"/>
          <w:szCs w:val="18"/>
        </w:rPr>
        <w:t xml:space="preserve"> </w:t>
      </w:r>
      <w:r w:rsidRPr="000A51CF">
        <w:rPr>
          <w:rFonts w:ascii="Arial" w:hAnsi="Arial" w:cs="Arial"/>
          <w:color w:val="000000"/>
          <w:sz w:val="18"/>
          <w:szCs w:val="18"/>
        </w:rPr>
        <w:t xml:space="preserve">Mejia y Maximino Hernández Pulido con sus respectivos suplentes, a demás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Zempoalteca</w:t>
      </w:r>
      <w:r w:rsidR="00744CAB">
        <w:rPr>
          <w:rFonts w:ascii="Arial" w:hAnsi="Arial" w:cs="Arial"/>
          <w:color w:val="000000"/>
          <w:sz w:val="18"/>
          <w:szCs w:val="18"/>
        </w:rPr>
        <w:t xml:space="preserve"> </w:t>
      </w:r>
      <w:r w:rsidRPr="000A51CF">
        <w:rPr>
          <w:rFonts w:ascii="Arial" w:hAnsi="Arial" w:cs="Arial"/>
          <w:color w:val="000000"/>
          <w:sz w:val="18"/>
          <w:szCs w:val="18"/>
        </w:rPr>
        <w:t xml:space="preserve">Mejia, Melecio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Cuahutencos</w:t>
      </w:r>
      <w:r w:rsidR="00744CAB">
        <w:rPr>
          <w:rFonts w:ascii="Arial" w:hAnsi="Arial" w:cs="Arial"/>
          <w:color w:val="000000"/>
          <w:sz w:val="18"/>
          <w:szCs w:val="18"/>
        </w:rPr>
        <w:t xml:space="preserve"> </w:t>
      </w:r>
      <w:r w:rsidRPr="000A51CF">
        <w:rPr>
          <w:rFonts w:ascii="Arial" w:hAnsi="Arial" w:cs="Arial"/>
          <w:color w:val="000000"/>
          <w:sz w:val="18"/>
          <w:szCs w:val="18"/>
        </w:rPr>
        <w:t>Amieva como Consejero Presidente, Toribio Moreno Carpinteyro, Oscar Lobatón Corona, Carlos Mora García, Dagoberto Martínez García, José Conrado Delgado Teloxa,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5D06DF" w:rsidRDefault="005D06DF" w:rsidP="00744CAB">
      <w:pPr>
        <w:pStyle w:val="Texto"/>
        <w:spacing w:after="0" w:line="276" w:lineRule="auto"/>
        <w:rPr>
          <w:b/>
          <w:szCs w:val="18"/>
          <w:lang w:val="es-MX"/>
        </w:rPr>
      </w:pP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E640F0" w:rsidP="00744CAB">
      <w:pPr>
        <w:pStyle w:val="INCISO"/>
        <w:spacing w:after="0" w:line="276" w:lineRule="auto"/>
      </w:pPr>
      <w:r>
        <w:t>c)</w:t>
      </w:r>
      <w:r>
        <w:tab/>
        <w:t>Ejercicio Fiscal.- 2015</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5D06DF" w:rsidRDefault="005D06DF" w:rsidP="00744CAB">
      <w:pPr>
        <w:pStyle w:val="INCISO"/>
        <w:spacing w:after="0" w:line="276" w:lineRule="auto"/>
      </w:pPr>
    </w:p>
    <w:p w:rsidR="001D147D" w:rsidRDefault="001D147D" w:rsidP="00744CAB">
      <w:pPr>
        <w:pStyle w:val="INCISO"/>
        <w:spacing w:after="0" w:line="276" w:lineRule="auto"/>
      </w:pPr>
    </w:p>
    <w:p w:rsidR="001D147D" w:rsidRDefault="001D147D" w:rsidP="00744CAB">
      <w:pPr>
        <w:pStyle w:val="INCISO"/>
        <w:spacing w:after="0" w:line="276" w:lineRule="auto"/>
      </w:pPr>
    </w:p>
    <w:p w:rsidR="001D147D" w:rsidRDefault="001D147D" w:rsidP="00744CAB">
      <w:pPr>
        <w:pStyle w:val="INCISO"/>
        <w:spacing w:after="0" w:line="276" w:lineRule="auto"/>
      </w:pPr>
      <w:bookmarkStart w:id="3" w:name="_GoBack"/>
      <w:bookmarkEnd w:id="3"/>
    </w:p>
    <w:p w:rsidR="00570B25" w:rsidRPr="00744CAB" w:rsidRDefault="00570B25" w:rsidP="00744CAB">
      <w:pPr>
        <w:pStyle w:val="INCISO"/>
        <w:spacing w:after="0" w:line="276" w:lineRule="auto"/>
      </w:pPr>
    </w:p>
    <w:p w:rsidR="00540418" w:rsidRPr="00744CAB" w:rsidRDefault="00540418" w:rsidP="00744CAB">
      <w:pPr>
        <w:pStyle w:val="INCISO"/>
        <w:spacing w:after="0" w:line="276" w:lineRule="auto"/>
      </w:pPr>
      <w:r w:rsidRPr="00744CAB">
        <w:t>f)</w:t>
      </w:r>
      <w:r w:rsidRPr="00744CAB">
        <w:tab/>
        <w:t>Estructura organizacional básica</w:t>
      </w:r>
      <w:r w:rsidR="00DF0048" w:rsidRPr="00744CAB">
        <w:t>:</w:t>
      </w:r>
    </w:p>
    <w:p w:rsidR="00DF0048" w:rsidRDefault="00DF0048" w:rsidP="00540418">
      <w:pPr>
        <w:pStyle w:val="INCISO"/>
        <w:spacing w:after="0" w:line="240" w:lineRule="exact"/>
        <w:rPr>
          <w:rFonts w:ascii="Soberana Sans Light" w:hAnsi="Soberana Sans Light"/>
          <w:sz w:val="22"/>
          <w:szCs w:val="22"/>
        </w:rPr>
      </w:pPr>
      <w:r w:rsidRPr="00DF0048">
        <w:rPr>
          <w:rFonts w:ascii="Soberana Sans Light" w:hAnsi="Soberana Sans Light"/>
          <w:noProof/>
          <w:sz w:val="22"/>
          <w:szCs w:val="22"/>
          <w:lang w:val="es-MX" w:eastAsia="es-MX"/>
        </w:rPr>
        <w:drawing>
          <wp:anchor distT="0" distB="0" distL="114300" distR="114300" simplePos="0" relativeHeight="251666432" behindDoc="1" locked="0" layoutInCell="1" allowOverlap="1">
            <wp:simplePos x="0" y="0"/>
            <wp:positionH relativeFrom="column">
              <wp:posOffset>909566</wp:posOffset>
            </wp:positionH>
            <wp:positionV relativeFrom="paragraph">
              <wp:posOffset>65965</wp:posOffset>
            </wp:positionV>
            <wp:extent cx="6960984" cy="3534770"/>
            <wp:effectExtent l="1905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GANIGRAMA 2013.jpg"/>
                    <pic:cNvPicPr/>
                  </pic:nvPicPr>
                  <pic:blipFill>
                    <a:blip r:embed="rId26">
                      <a:extLst>
                        <a:ext uri="{28A0092B-C50C-407E-A947-70E740481C1C}">
                          <a14:useLocalDpi xmlns:a14="http://schemas.microsoft.com/office/drawing/2010/main" val="0"/>
                        </a:ext>
                      </a:extLst>
                    </a:blip>
                    <a:stretch>
                      <a:fillRect/>
                    </a:stretch>
                  </pic:blipFill>
                  <pic:spPr>
                    <a:xfrm>
                      <a:off x="0" y="0"/>
                      <a:ext cx="6967656" cy="3538158"/>
                    </a:xfrm>
                    <a:prstGeom prst="rect">
                      <a:avLst/>
                    </a:prstGeom>
                  </pic:spPr>
                </pic:pic>
              </a:graphicData>
            </a:graphic>
          </wp:anchor>
        </w:drawing>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6935" w:rsidRDefault="00D06935" w:rsidP="003A0303">
      <w:pPr>
        <w:pStyle w:val="INCISO"/>
        <w:spacing w:after="0" w:line="240" w:lineRule="exact"/>
      </w:pPr>
    </w:p>
    <w:p w:rsidR="00540418" w:rsidRDefault="003A0303" w:rsidP="003A0303">
      <w:pPr>
        <w:pStyle w:val="INCISO"/>
        <w:spacing w:after="0" w:line="240" w:lineRule="exact"/>
      </w:pPr>
      <w:r w:rsidRPr="00DF0048">
        <w:t xml:space="preserve">g)   </w:t>
      </w:r>
      <w:r w:rsidR="00540418" w:rsidRPr="00DF0048">
        <w:t>Fideicomisos, mandatos y análogos de los cuales es fideicomitente o fiduciario</w:t>
      </w:r>
      <w:r w:rsidR="00DF0048" w:rsidRPr="00DF0048">
        <w:t>. No aplica.</w:t>
      </w:r>
    </w:p>
    <w:p w:rsidR="000A51CF" w:rsidRDefault="000A51CF" w:rsidP="003A0303">
      <w:pPr>
        <w:pStyle w:val="INCISO"/>
        <w:spacing w:after="0" w:line="240" w:lineRule="exact"/>
      </w:pPr>
    </w:p>
    <w:p w:rsidR="00D06935" w:rsidRPr="00DF0048" w:rsidRDefault="00D06935" w:rsidP="003A0303">
      <w:pPr>
        <w:pStyle w:val="INCISO"/>
        <w:spacing w:after="0" w:line="240" w:lineRule="exact"/>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9B1F8B">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0A51CF"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 requisitar 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570B25">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p>
    <w:p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744CAB" w:rsidRDefault="00540418" w:rsidP="00744CAB">
      <w:pPr>
        <w:pStyle w:val="INCISO"/>
        <w:spacing w:after="0" w:line="276" w:lineRule="auto"/>
        <w:ind w:left="0" w:firstLine="0"/>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Lo anterior por cada tipo de moneda extranjera que se encuentre en los rubros de activo y pasivo.</w:t>
      </w:r>
    </w:p>
    <w:p w:rsidR="00540418" w:rsidRPr="00744CAB" w:rsidRDefault="00540418"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informará sobre los métodos de protección de riesgo por variaciones en el tipo de cambio</w:t>
      </w:r>
    </w:p>
    <w:p w:rsidR="00540418" w:rsidRPr="00744CAB" w:rsidRDefault="00540418"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Independientemente de las participaciones que le otorga Gobierno del Estado a este Instituto, se obtienen ingresos propios por copias certificadas, teniendo una recaudación mínima, esta recaudación aumenta o disminuye de acuerdo cuando son años electorales, pero no supera el 0.5% del presupuesto otorgado al Instituto para su operatividad.</w:t>
      </w:r>
    </w:p>
    <w:p w:rsidR="00570B25" w:rsidRDefault="00570B25"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p>
    <w:p w:rsidR="000A51CF" w:rsidRDefault="000A51CF" w:rsidP="005F1EED">
      <w:pPr>
        <w:pStyle w:val="Texto"/>
        <w:spacing w:after="0" w:line="276" w:lineRule="auto"/>
        <w:rPr>
          <w:b/>
          <w:szCs w:val="18"/>
          <w:lang w:val="es-MX"/>
        </w:rPr>
      </w:pPr>
    </w:p>
    <w:p w:rsidR="00570B25" w:rsidRPr="00744CAB" w:rsidRDefault="00570B25"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p>
    <w:p w:rsidR="00540418" w:rsidRPr="00744CAB" w:rsidRDefault="00540418"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Pr="00744CAB" w:rsidRDefault="00540418" w:rsidP="005F1EED">
      <w:pPr>
        <w:pStyle w:val="Texto"/>
        <w:spacing w:after="0" w:line="276" w:lineRule="auto"/>
        <w:rPr>
          <w:szCs w:val="18"/>
        </w:rPr>
      </w:pPr>
      <w:r w:rsidRPr="00744CAB">
        <w:rPr>
          <w:szCs w:val="18"/>
        </w:rPr>
        <w:t>Se informará de:</w:t>
      </w: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540418" w:rsidRPr="00744CAB" w:rsidRDefault="00540418"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p>
    <w:p w:rsidR="005D06DF" w:rsidRPr="00744CAB" w:rsidRDefault="005D06DF" w:rsidP="005F1EED">
      <w:pPr>
        <w:pStyle w:val="Texto"/>
        <w:spacing w:after="0" w:line="276" w:lineRule="auto"/>
        <w:rPr>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p>
    <w:p w:rsidR="005D06DF" w:rsidRPr="00744CAB" w:rsidRDefault="005D06DF" w:rsidP="005F1EED">
      <w:pPr>
        <w:pStyle w:val="Texto"/>
        <w:spacing w:after="0" w:line="276" w:lineRule="auto"/>
        <w:rPr>
          <w:szCs w:val="18"/>
        </w:rPr>
      </w:pPr>
    </w:p>
    <w:p w:rsidR="00574266" w:rsidRPr="00744CAB"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574266" w:rsidP="005F1EED">
      <w:pPr>
        <w:pStyle w:val="Texto"/>
        <w:spacing w:after="0" w:line="276" w:lineRule="auto"/>
        <w:rPr>
          <w:szCs w:val="18"/>
        </w:rPr>
      </w:pPr>
    </w:p>
    <w:p w:rsidR="00574266" w:rsidRPr="00744CAB" w:rsidRDefault="00574266" w:rsidP="005F1EED">
      <w:pPr>
        <w:pStyle w:val="Texto"/>
        <w:spacing w:after="0" w:line="276" w:lineRule="auto"/>
        <w:rPr>
          <w:szCs w:val="18"/>
        </w:rPr>
      </w:pPr>
    </w:p>
    <w:p w:rsidR="00001107" w:rsidRDefault="005D5413" w:rsidP="005F1EED">
      <w:pPr>
        <w:pStyle w:val="Texto"/>
        <w:spacing w:after="0" w:line="276" w:lineRule="auto"/>
        <w:rPr>
          <w:rFonts w:ascii="Soberana Sans Light" w:hAnsi="Soberana Sans Light"/>
          <w:sz w:val="22"/>
          <w:szCs w:val="22"/>
        </w:rPr>
      </w:pPr>
      <w:r>
        <w:rPr>
          <w:noProof/>
        </w:rPr>
        <w:object w:dxaOrig="1440" w:dyaOrig="1440">
          <v:shape id="_x0000_s1038" type="#_x0000_t75" style="position:absolute;left:0;text-align:left;margin-left:5.35pt;margin-top:20.4pt;width:544.1pt;height:45.65pt;z-index:251662336">
            <v:imagedata r:id="rId27" o:title=""/>
            <w10:wrap type="topAndBottom"/>
          </v:shape>
          <o:OLEObject Type="Embed" ProgID="Excel.Sheet.12" ShapeID="_x0000_s1038" DrawAspect="Content" ObjectID="_1499175058" r:id="rId28"/>
        </w:object>
      </w:r>
    </w:p>
    <w:p w:rsidR="00001107" w:rsidRDefault="00001107" w:rsidP="005F1EED">
      <w:pPr>
        <w:pStyle w:val="Texto"/>
        <w:spacing w:after="0" w:line="276" w:lineRule="auto"/>
        <w:rPr>
          <w:rFonts w:ascii="Soberana Sans Light" w:hAnsi="Soberana Sans Light"/>
          <w:sz w:val="22"/>
          <w:szCs w:val="22"/>
        </w:rPr>
      </w:pPr>
    </w:p>
    <w:p w:rsidR="004311BE" w:rsidRDefault="004311BE" w:rsidP="005F1EED">
      <w:pPr>
        <w:pStyle w:val="Texto"/>
        <w:spacing w:after="0" w:line="276" w:lineRule="auto"/>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540418">
      <w:pPr>
        <w:pStyle w:val="Texto"/>
        <w:spacing w:after="0" w:line="240" w:lineRule="exact"/>
        <w:rPr>
          <w:rFonts w:ascii="Soberana Sans Light" w:hAnsi="Soberana Sans Light"/>
          <w:sz w:val="22"/>
          <w:szCs w:val="22"/>
        </w:rPr>
      </w:pPr>
    </w:p>
    <w:sectPr w:rsidR="004311BE" w:rsidRPr="00540418" w:rsidSect="008E3652">
      <w:headerReference w:type="even" r:id="rId29"/>
      <w:headerReference w:type="default" r:id="rId30"/>
      <w:footerReference w:type="even" r:id="rId31"/>
      <w:footerReference w:type="default" r:id="rId3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786" w:rsidRDefault="00556786" w:rsidP="00EA5418">
      <w:pPr>
        <w:spacing w:after="0" w:line="240" w:lineRule="auto"/>
      </w:pPr>
      <w:r>
        <w:separator/>
      </w:r>
    </w:p>
  </w:endnote>
  <w:endnote w:type="continuationSeparator" w:id="0">
    <w:p w:rsidR="00556786" w:rsidRDefault="0055678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22" w:rsidRPr="0013011C" w:rsidRDefault="00570B2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9EDB53"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D03A2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19294B" w:rsidRPr="0013011C">
          <w:rPr>
            <w:rFonts w:ascii="Soberana Sans Light" w:hAnsi="Soberana Sans Light"/>
          </w:rPr>
          <w:fldChar w:fldCharType="begin"/>
        </w:r>
        <w:r w:rsidR="00D03A22" w:rsidRPr="0013011C">
          <w:rPr>
            <w:rFonts w:ascii="Soberana Sans Light" w:hAnsi="Soberana Sans Light"/>
          </w:rPr>
          <w:instrText>PAGE   \* MERGEFORMAT</w:instrText>
        </w:r>
        <w:r w:rsidR="0019294B" w:rsidRPr="0013011C">
          <w:rPr>
            <w:rFonts w:ascii="Soberana Sans Light" w:hAnsi="Soberana Sans Light"/>
          </w:rPr>
          <w:fldChar w:fldCharType="separate"/>
        </w:r>
        <w:r w:rsidR="005D5413" w:rsidRPr="005D5413">
          <w:rPr>
            <w:rFonts w:ascii="Soberana Sans Light" w:hAnsi="Soberana Sans Light"/>
            <w:noProof/>
            <w:lang w:val="es-ES"/>
          </w:rPr>
          <w:t>20</w:t>
        </w:r>
        <w:r w:rsidR="0019294B" w:rsidRPr="0013011C">
          <w:rPr>
            <w:rFonts w:ascii="Soberana Sans Light" w:hAnsi="Soberana Sans Light"/>
          </w:rPr>
          <w:fldChar w:fldCharType="end"/>
        </w:r>
      </w:sdtContent>
    </w:sdt>
  </w:p>
  <w:p w:rsidR="00D03A22" w:rsidRDefault="00D03A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22" w:rsidRPr="008E3652" w:rsidRDefault="00570B2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7948C4"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D03A22" w:rsidRPr="008E3652">
          <w:rPr>
            <w:rFonts w:ascii="Soberana Sans Light" w:hAnsi="Soberana Sans Light"/>
          </w:rPr>
          <w:t xml:space="preserve">Contable / </w:t>
        </w:r>
        <w:r w:rsidR="0019294B" w:rsidRPr="008E3652">
          <w:rPr>
            <w:rFonts w:ascii="Soberana Sans Light" w:hAnsi="Soberana Sans Light"/>
          </w:rPr>
          <w:fldChar w:fldCharType="begin"/>
        </w:r>
        <w:r w:rsidR="00D03A22" w:rsidRPr="008E3652">
          <w:rPr>
            <w:rFonts w:ascii="Soberana Sans Light" w:hAnsi="Soberana Sans Light"/>
          </w:rPr>
          <w:instrText>PAGE   \* MERGEFORMAT</w:instrText>
        </w:r>
        <w:r w:rsidR="0019294B" w:rsidRPr="008E3652">
          <w:rPr>
            <w:rFonts w:ascii="Soberana Sans Light" w:hAnsi="Soberana Sans Light"/>
          </w:rPr>
          <w:fldChar w:fldCharType="separate"/>
        </w:r>
        <w:r w:rsidR="005D5413" w:rsidRPr="005D5413">
          <w:rPr>
            <w:rFonts w:ascii="Soberana Sans Light" w:hAnsi="Soberana Sans Light"/>
            <w:noProof/>
            <w:lang w:val="es-ES"/>
          </w:rPr>
          <w:t>21</w:t>
        </w:r>
        <w:r w:rsidR="0019294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786" w:rsidRDefault="00556786" w:rsidP="00EA5418">
      <w:pPr>
        <w:spacing w:after="0" w:line="240" w:lineRule="auto"/>
      </w:pPr>
      <w:r>
        <w:separator/>
      </w:r>
    </w:p>
  </w:footnote>
  <w:footnote w:type="continuationSeparator" w:id="0">
    <w:p w:rsidR="00556786" w:rsidRDefault="0055678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22" w:rsidRDefault="00570B25">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3A22" w:rsidRDefault="00D03A2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03A22" w:rsidRDefault="00D03A2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03A22" w:rsidRPr="00275FC6" w:rsidRDefault="00D03A2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3A22" w:rsidRDefault="00D03A2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F14059">
                                <w:rPr>
                                  <w:rFonts w:ascii="Soberana Titular" w:hAnsi="Soberana Titular" w:cs="Arial"/>
                                  <w:color w:val="808080" w:themeColor="background1" w:themeShade="80"/>
                                  <w:sz w:val="42"/>
                                  <w:szCs w:val="42"/>
                                </w:rPr>
                                <w:t>5</w:t>
                              </w:r>
                            </w:p>
                            <w:p w:rsidR="00D03A22" w:rsidRDefault="00D03A2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03A22" w:rsidRPr="00275FC6" w:rsidRDefault="00D03A2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03A22" w:rsidRDefault="00D03A2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03A22" w:rsidRDefault="00D03A2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03A22" w:rsidRPr="00275FC6" w:rsidRDefault="00D03A22"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03A22" w:rsidRDefault="00D03A2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F14059">
                          <w:rPr>
                            <w:rFonts w:ascii="Soberana Titular" w:hAnsi="Soberana Titular" w:cs="Arial"/>
                            <w:color w:val="808080" w:themeColor="background1" w:themeShade="80"/>
                            <w:sz w:val="42"/>
                            <w:szCs w:val="42"/>
                          </w:rPr>
                          <w:t>5</w:t>
                        </w:r>
                      </w:p>
                      <w:p w:rsidR="00D03A22" w:rsidRDefault="00D03A2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03A22" w:rsidRPr="00275FC6" w:rsidRDefault="00D03A2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565342"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A22" w:rsidRPr="0013011C" w:rsidRDefault="00570B2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0CA13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D03A22">
      <w:rPr>
        <w:rFonts w:ascii="Soberana Sans Light" w:hAnsi="Soberana Sans Light"/>
      </w:rPr>
      <w:t xml:space="preserve"> AUTÓNOMO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B70"/>
    <w:rsid w:val="00001107"/>
    <w:rsid w:val="00003AB0"/>
    <w:rsid w:val="00015EF2"/>
    <w:rsid w:val="000337B7"/>
    <w:rsid w:val="00040466"/>
    <w:rsid w:val="00045A10"/>
    <w:rsid w:val="00062BEB"/>
    <w:rsid w:val="00070157"/>
    <w:rsid w:val="000861A9"/>
    <w:rsid w:val="000A51CF"/>
    <w:rsid w:val="000A5F85"/>
    <w:rsid w:val="000D43E4"/>
    <w:rsid w:val="00106A74"/>
    <w:rsid w:val="0010794B"/>
    <w:rsid w:val="001225AF"/>
    <w:rsid w:val="00125ABD"/>
    <w:rsid w:val="0013011C"/>
    <w:rsid w:val="00147341"/>
    <w:rsid w:val="00165BB4"/>
    <w:rsid w:val="0019294B"/>
    <w:rsid w:val="00193FE6"/>
    <w:rsid w:val="001A03A8"/>
    <w:rsid w:val="001B1B72"/>
    <w:rsid w:val="001C3F5C"/>
    <w:rsid w:val="001C6FD8"/>
    <w:rsid w:val="001D147D"/>
    <w:rsid w:val="001E5A56"/>
    <w:rsid w:val="001E7072"/>
    <w:rsid w:val="001F32BA"/>
    <w:rsid w:val="00204C86"/>
    <w:rsid w:val="0025659D"/>
    <w:rsid w:val="00264426"/>
    <w:rsid w:val="002A2C14"/>
    <w:rsid w:val="002A70B3"/>
    <w:rsid w:val="002D478F"/>
    <w:rsid w:val="002D5968"/>
    <w:rsid w:val="00341E1E"/>
    <w:rsid w:val="00371306"/>
    <w:rsid w:val="00372F0B"/>
    <w:rsid w:val="00372F40"/>
    <w:rsid w:val="00396C2B"/>
    <w:rsid w:val="003A0303"/>
    <w:rsid w:val="003C25ED"/>
    <w:rsid w:val="003D5DBF"/>
    <w:rsid w:val="003E7FD0"/>
    <w:rsid w:val="003F0EA4"/>
    <w:rsid w:val="003F70BF"/>
    <w:rsid w:val="00405CCF"/>
    <w:rsid w:val="00410AB9"/>
    <w:rsid w:val="0042300D"/>
    <w:rsid w:val="004311BE"/>
    <w:rsid w:val="0044253C"/>
    <w:rsid w:val="004525C2"/>
    <w:rsid w:val="004714CF"/>
    <w:rsid w:val="004813B8"/>
    <w:rsid w:val="00484C0D"/>
    <w:rsid w:val="00497D8B"/>
    <w:rsid w:val="004D41B8"/>
    <w:rsid w:val="004F3C2F"/>
    <w:rsid w:val="004F3E37"/>
    <w:rsid w:val="004F5641"/>
    <w:rsid w:val="00522632"/>
    <w:rsid w:val="00522EF3"/>
    <w:rsid w:val="00540418"/>
    <w:rsid w:val="00556786"/>
    <w:rsid w:val="005625AE"/>
    <w:rsid w:val="005637AA"/>
    <w:rsid w:val="00564D5B"/>
    <w:rsid w:val="00570B25"/>
    <w:rsid w:val="00574266"/>
    <w:rsid w:val="005748FF"/>
    <w:rsid w:val="005821CD"/>
    <w:rsid w:val="005D06DF"/>
    <w:rsid w:val="005D3D25"/>
    <w:rsid w:val="005D5413"/>
    <w:rsid w:val="005F1EED"/>
    <w:rsid w:val="005F6D4E"/>
    <w:rsid w:val="00656CCB"/>
    <w:rsid w:val="006B1FE7"/>
    <w:rsid w:val="006E77DD"/>
    <w:rsid w:val="006F03BC"/>
    <w:rsid w:val="00704242"/>
    <w:rsid w:val="00744CAB"/>
    <w:rsid w:val="007525A1"/>
    <w:rsid w:val="00786189"/>
    <w:rsid w:val="007876A7"/>
    <w:rsid w:val="0079582C"/>
    <w:rsid w:val="007B1641"/>
    <w:rsid w:val="007D2B1C"/>
    <w:rsid w:val="007D6E9A"/>
    <w:rsid w:val="00811DAC"/>
    <w:rsid w:val="00863D8B"/>
    <w:rsid w:val="0087426A"/>
    <w:rsid w:val="0089054E"/>
    <w:rsid w:val="00895773"/>
    <w:rsid w:val="008A6E4D"/>
    <w:rsid w:val="008A793D"/>
    <w:rsid w:val="008B0017"/>
    <w:rsid w:val="008E3652"/>
    <w:rsid w:val="008E4671"/>
    <w:rsid w:val="008F6D58"/>
    <w:rsid w:val="00917D7E"/>
    <w:rsid w:val="0093492C"/>
    <w:rsid w:val="00944B10"/>
    <w:rsid w:val="00953520"/>
    <w:rsid w:val="009540FC"/>
    <w:rsid w:val="00957043"/>
    <w:rsid w:val="00961AFD"/>
    <w:rsid w:val="009766EF"/>
    <w:rsid w:val="009B1F8B"/>
    <w:rsid w:val="009C709B"/>
    <w:rsid w:val="009D5D4C"/>
    <w:rsid w:val="009F23C4"/>
    <w:rsid w:val="00A11BC8"/>
    <w:rsid w:val="00A363B6"/>
    <w:rsid w:val="00A46BF5"/>
    <w:rsid w:val="00A67360"/>
    <w:rsid w:val="00A830E1"/>
    <w:rsid w:val="00AF36F2"/>
    <w:rsid w:val="00B146E2"/>
    <w:rsid w:val="00B22C9D"/>
    <w:rsid w:val="00B825E2"/>
    <w:rsid w:val="00B849EE"/>
    <w:rsid w:val="00B84D02"/>
    <w:rsid w:val="00BA2940"/>
    <w:rsid w:val="00BA2A3C"/>
    <w:rsid w:val="00C16E53"/>
    <w:rsid w:val="00C26020"/>
    <w:rsid w:val="00C270A2"/>
    <w:rsid w:val="00C431B4"/>
    <w:rsid w:val="00C86C59"/>
    <w:rsid w:val="00C91C5A"/>
    <w:rsid w:val="00CA3826"/>
    <w:rsid w:val="00CA4BC1"/>
    <w:rsid w:val="00CB3448"/>
    <w:rsid w:val="00CC1196"/>
    <w:rsid w:val="00CC1D29"/>
    <w:rsid w:val="00CC4015"/>
    <w:rsid w:val="00CD4191"/>
    <w:rsid w:val="00CD6D9A"/>
    <w:rsid w:val="00D00E92"/>
    <w:rsid w:val="00D02DD7"/>
    <w:rsid w:val="00D03A22"/>
    <w:rsid w:val="00D055EC"/>
    <w:rsid w:val="00D06935"/>
    <w:rsid w:val="00D109A4"/>
    <w:rsid w:val="00D22F24"/>
    <w:rsid w:val="00D41B28"/>
    <w:rsid w:val="00D44728"/>
    <w:rsid w:val="00D562FF"/>
    <w:rsid w:val="00D57F57"/>
    <w:rsid w:val="00D66C34"/>
    <w:rsid w:val="00DB2D54"/>
    <w:rsid w:val="00DC4D47"/>
    <w:rsid w:val="00DC4D70"/>
    <w:rsid w:val="00DC5E3A"/>
    <w:rsid w:val="00DF0048"/>
    <w:rsid w:val="00DF2479"/>
    <w:rsid w:val="00DF56C9"/>
    <w:rsid w:val="00E1086B"/>
    <w:rsid w:val="00E30318"/>
    <w:rsid w:val="00E32708"/>
    <w:rsid w:val="00E640F0"/>
    <w:rsid w:val="00E91BAF"/>
    <w:rsid w:val="00EA5418"/>
    <w:rsid w:val="00EE46FB"/>
    <w:rsid w:val="00F14059"/>
    <w:rsid w:val="00F17C0D"/>
    <w:rsid w:val="00F755D0"/>
    <w:rsid w:val="00FB1010"/>
    <w:rsid w:val="00FD5A63"/>
    <w:rsid w:val="00FD6DF1"/>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7096FE0-8587-4821-B643-1C740750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F0048"/>
    <w:pPr>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package" Target="embeddings/Hoja_de_c_lculo_de_Microsoft_Excel10.xlsx"/><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92DE-EAB5-426C-8A32-5F55961A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4228</Words>
  <Characters>23256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Luffi</cp:lastModifiedBy>
  <cp:revision>2</cp:revision>
  <cp:lastPrinted>2015-07-23T21:37:00Z</cp:lastPrinted>
  <dcterms:created xsi:type="dcterms:W3CDTF">2015-07-23T21:41:00Z</dcterms:created>
  <dcterms:modified xsi:type="dcterms:W3CDTF">2015-07-23T21:41:00Z</dcterms:modified>
</cp:coreProperties>
</file>