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F0548" w:rsidP="00791044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8pt;height:417.05pt" o:ole="">
            <v:imagedata r:id="rId9" o:title=""/>
          </v:shape>
          <o:OLEObject Type="Embed" ProgID="Excel.Sheet.12" ShapeID="_x0000_i1025" DrawAspect="Content" ObjectID="_1497334252" r:id="rId10"/>
        </w:object>
      </w:r>
    </w:p>
    <w:p w:rsidR="00EA5418" w:rsidRDefault="00EA5418" w:rsidP="00372F40">
      <w:pPr>
        <w:jc w:val="center"/>
      </w:pPr>
    </w:p>
    <w:bookmarkStart w:id="0" w:name="_MON_1470805999"/>
    <w:bookmarkStart w:id="1" w:name="_MON_1497077869"/>
    <w:bookmarkStart w:id="2" w:name="_MON_1497082524"/>
    <w:bookmarkStart w:id="3" w:name="_MON_1497274449"/>
    <w:bookmarkStart w:id="4" w:name="_MON_1497275000"/>
    <w:bookmarkEnd w:id="0"/>
    <w:bookmarkEnd w:id="1"/>
    <w:bookmarkEnd w:id="2"/>
    <w:bookmarkEnd w:id="3"/>
    <w:bookmarkEnd w:id="4"/>
    <w:bookmarkStart w:id="5" w:name="_MON_1497082794"/>
    <w:bookmarkEnd w:id="5"/>
    <w:p w:rsidR="00EA5418" w:rsidRDefault="007D30CE" w:rsidP="0044253C">
      <w:pPr>
        <w:jc w:val="center"/>
      </w:pPr>
      <w:r>
        <w:object w:dxaOrig="25023" w:dyaOrig="18658">
          <v:shape id="_x0000_i1026" type="#_x0000_t75" style="width:582.1pt;height:6in" o:ole="">
            <v:imagedata r:id="rId11" o:title=""/>
          </v:shape>
          <o:OLEObject Type="Embed" ProgID="Excel.Sheet.12" ShapeID="_x0000_i1026" DrawAspect="Content" ObjectID="_1497334253" r:id="rId12"/>
        </w:object>
      </w:r>
    </w:p>
    <w:p w:rsidR="00372F40" w:rsidRDefault="00001BE7" w:rsidP="00AF0548">
      <w:pPr>
        <w:ind w:left="-371" w:hanging="709"/>
      </w:pPr>
      <w:bookmarkStart w:id="6" w:name="_MON_1470806992"/>
      <w:bookmarkEnd w:id="6"/>
      <w:r>
        <w:rPr>
          <w:noProof/>
        </w:rPr>
        <w:lastRenderedPageBreak/>
        <w:pict>
          <v:shape id="_x0000_s1046" type="#_x0000_t75" style="position:absolute;left:0;text-align:left;margin-left:-22.2pt;margin-top:1.35pt;width:715.35pt;height:470.75pt;z-index:251664384">
            <v:imagedata r:id="rId13" o:title=""/>
            <w10:wrap type="square" side="left"/>
          </v:shape>
          <o:OLEObject Type="Embed" ProgID="Excel.Sheet.12" ShapeID="_x0000_s1046" DrawAspect="Content" ObjectID="_1497334258" r:id="rId14"/>
        </w:pict>
      </w:r>
      <w:r w:rsidR="008E2D13">
        <w:br w:type="textWrapping" w:clear="all"/>
      </w:r>
    </w:p>
    <w:bookmarkStart w:id="7" w:name="_MON_1497275018"/>
    <w:bookmarkStart w:id="8" w:name="_MON_1497275033"/>
    <w:bookmarkStart w:id="9" w:name="_MON_1497275273"/>
    <w:bookmarkStart w:id="10" w:name="_MON_1497098984"/>
    <w:bookmarkStart w:id="11" w:name="_MON_1497099010"/>
    <w:bookmarkStart w:id="12" w:name="_MON_1497099030"/>
    <w:bookmarkStart w:id="13" w:name="_MON_1497099077"/>
    <w:bookmarkStart w:id="14" w:name="_MON_1470807348"/>
    <w:bookmarkStart w:id="15" w:name="_MON_1497252972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6" w:name="_MON_1497098978"/>
    <w:bookmarkEnd w:id="16"/>
    <w:p w:rsidR="00372F40" w:rsidRPr="000836A7" w:rsidRDefault="00001BE7" w:rsidP="00001BE7">
      <w:pPr>
        <w:tabs>
          <w:tab w:val="left" w:pos="5670"/>
          <w:tab w:val="left" w:pos="6379"/>
        </w:tabs>
        <w:jc w:val="center"/>
        <w:rPr>
          <w:b/>
        </w:rPr>
      </w:pPr>
      <w:r w:rsidRPr="000836A7">
        <w:rPr>
          <w:b/>
        </w:rPr>
        <w:object w:dxaOrig="17756" w:dyaOrig="12389">
          <v:shape id="_x0000_i1053" type="#_x0000_t75" style="width:646.65pt;height:6in" o:ole="">
            <v:imagedata r:id="rId15" o:title=""/>
          </v:shape>
          <o:OLEObject Type="Embed" ProgID="Excel.Sheet.12" ShapeID="_x0000_i1053" DrawAspect="Content" ObjectID="_1497334254" r:id="rId16"/>
        </w:object>
      </w:r>
      <w:bookmarkStart w:id="17" w:name="_GoBack"/>
      <w:bookmarkEnd w:id="17"/>
    </w:p>
    <w:bookmarkStart w:id="18" w:name="_MON_1470809138"/>
    <w:bookmarkEnd w:id="18"/>
    <w:p w:rsidR="00372F40" w:rsidRDefault="002B4458" w:rsidP="00A32E65">
      <w:r>
        <w:object w:dxaOrig="17850" w:dyaOrig="12235">
          <v:shape id="_x0000_i1029" type="#_x0000_t75" style="width:633.75pt;height:433.35pt" o:ole="">
            <v:imagedata r:id="rId17" o:title=""/>
          </v:shape>
          <o:OLEObject Type="Embed" ProgID="Excel.Sheet.12" ShapeID="_x0000_i1029" DrawAspect="Content" ObjectID="_1497334255" r:id="rId18"/>
        </w:object>
      </w:r>
      <w:r w:rsidR="00A32E6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19" w:name="_MON_1470814596"/>
    <w:bookmarkStart w:id="20" w:name="_MON_1497275362"/>
    <w:bookmarkEnd w:id="19"/>
    <w:bookmarkEnd w:id="20"/>
    <w:bookmarkStart w:id="21" w:name="_MON_1497332256"/>
    <w:bookmarkEnd w:id="21"/>
    <w:p w:rsidR="00E32708" w:rsidRDefault="007B0A4F" w:rsidP="00E32708">
      <w:pPr>
        <w:tabs>
          <w:tab w:val="left" w:pos="2430"/>
        </w:tabs>
        <w:jc w:val="center"/>
      </w:pPr>
      <w:r>
        <w:object w:dxaOrig="18275" w:dyaOrig="11555">
          <v:shape id="_x0000_i1030" type="#_x0000_t75" style="width:637.8pt;height:402.1pt" o:ole="">
            <v:imagedata r:id="rId19" o:title=""/>
          </v:shape>
          <o:OLEObject Type="Embed" ProgID="Excel.Sheet.12" ShapeID="_x0000_i1030" DrawAspect="Content" ObjectID="_1497334256" r:id="rId20"/>
        </w:object>
      </w:r>
    </w:p>
    <w:bookmarkStart w:id="22" w:name="_MON_1497329792"/>
    <w:bookmarkStart w:id="23" w:name="_MON_1497334081"/>
    <w:bookmarkStart w:id="24" w:name="_MON_1470810366"/>
    <w:bookmarkEnd w:id="22"/>
    <w:bookmarkEnd w:id="23"/>
    <w:bookmarkEnd w:id="24"/>
    <w:bookmarkStart w:id="25" w:name="_MON_1497275574"/>
    <w:bookmarkEnd w:id="25"/>
    <w:p w:rsidR="00D06975" w:rsidRDefault="004917D5" w:rsidP="00D06975">
      <w:pPr>
        <w:tabs>
          <w:tab w:val="left" w:pos="2430"/>
        </w:tabs>
        <w:jc w:val="center"/>
      </w:pPr>
      <w:r>
        <w:object w:dxaOrig="25987" w:dyaOrig="16750">
          <v:shape id="_x0000_i1031" type="#_x0000_t75" style="width:692.85pt;height:457.15pt" o:ole="">
            <v:imagedata r:id="rId21" o:title=""/>
          </v:shape>
          <o:OLEObject Type="Embed" ProgID="Excel.Sheet.12" ShapeID="_x0000_i1031" DrawAspect="Content" ObjectID="_1497334257" r:id="rId22"/>
        </w:object>
      </w:r>
    </w:p>
    <w:p w:rsidR="000B3A3C" w:rsidRDefault="000B3A3C" w:rsidP="00D06975">
      <w:pPr>
        <w:tabs>
          <w:tab w:val="left" w:pos="2430"/>
        </w:tabs>
        <w:jc w:val="center"/>
      </w:pPr>
    </w:p>
    <w:p w:rsidR="000B3A3C" w:rsidRDefault="00D06975" w:rsidP="00D06975">
      <w:pPr>
        <w:jc w:val="center"/>
      </w:pPr>
      <w:r>
        <w:t>Informe de Pasivos Contingentes</w:t>
      </w:r>
    </w:p>
    <w:p w:rsidR="000B3A3C" w:rsidRDefault="000B3A3C"/>
    <w:p w:rsidR="000B3A3C" w:rsidRDefault="00D06975" w:rsidP="00D06975">
      <w:pPr>
        <w:pStyle w:val="Prrafodelista"/>
        <w:numPr>
          <w:ilvl w:val="0"/>
          <w:numId w:val="9"/>
        </w:numPr>
      </w:pPr>
      <w:r>
        <w:t xml:space="preserve">No aplica para este Fideicomiso. </w:t>
      </w:r>
    </w:p>
    <w:p w:rsidR="000B3A3C" w:rsidRDefault="000B3A3C"/>
    <w:p w:rsidR="000B3A3C" w:rsidRDefault="000B3A3C"/>
    <w:p w:rsidR="000B3A3C" w:rsidRDefault="000B3A3C"/>
    <w:p w:rsidR="000B3A3C" w:rsidRDefault="000B3A3C"/>
    <w:p w:rsidR="000B3A3C" w:rsidRDefault="00001BE7">
      <w:r>
        <w:rPr>
          <w:noProof/>
          <w:lang w:eastAsia="es-MX"/>
        </w:rPr>
        <w:pict>
          <v:shape id="_x0000_s1067" type="#_x0000_t75" style="position:absolute;margin-left:-33.95pt;margin-top:26.45pt;width:842.45pt;height:69.3pt;z-index:251673600">
            <v:imagedata r:id="rId23" o:title=""/>
            <w10:wrap type="topAndBottom"/>
          </v:shape>
          <o:OLEObject Type="Embed" ProgID="Excel.Sheet.12" ShapeID="_x0000_s1067" DrawAspect="Content" ObjectID="_1497334259" r:id="rId24"/>
        </w:pict>
      </w:r>
    </w:p>
    <w:p w:rsidR="000B3A3C" w:rsidRDefault="000B3A3C"/>
    <w:p w:rsidR="000B3A3C" w:rsidRDefault="000B3A3C"/>
    <w:p w:rsidR="000B3A3C" w:rsidRDefault="000B3A3C"/>
    <w:p w:rsidR="000B3A3C" w:rsidRDefault="000B3A3C"/>
    <w:p w:rsidR="00D06975" w:rsidRDefault="00D06975"/>
    <w:p w:rsidR="00D06975" w:rsidRDefault="00D06975"/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NOTAS A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a) NOTAS DE DESGLOSE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Activo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706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Se tiene un saldo al 31 de diciembre de 2014 de $ 887,720 mismo que será utilizado para dar más financiamiento en créditos a proyectos productivos a corto plazo.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 xml:space="preserve">Derechos a recibir Efectivo y Equivalentes y Bienes o Servicios a Recibir. 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saldo de 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$594,195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mismo que se encuentra pendiente de </w:t>
      </w:r>
      <w:r>
        <w:rPr>
          <w:rFonts w:ascii="Arial" w:eastAsia="Times New Roman" w:hAnsi="Arial" w:cs="Arial"/>
          <w:sz w:val="18"/>
          <w:szCs w:val="18"/>
          <w:lang w:eastAsia="es-ES"/>
        </w:rPr>
        <w:t>cobro al 31 de diciembre de 2015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Todos los créditos financiados por éste Fideicomiso con vencimiento menor o igual a 365 días.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Estimaciones y Deterioros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72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Se tiene un monto total en Ingresos de tipo corriente por una cantidad 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 xml:space="preserve">de $ </w:t>
      </w:r>
      <w:r w:rsidR="002501A3" w:rsidRPr="002501A3">
        <w:rPr>
          <w:rFonts w:ascii="Arial" w:eastAsia="Times New Roman" w:hAnsi="Arial" w:cs="Arial"/>
          <w:sz w:val="18"/>
          <w:szCs w:val="18"/>
          <w:lang w:eastAsia="es-ES"/>
        </w:rPr>
        <w:t>15,112 d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e ingresos financieros por un monto total de $</w:t>
      </w:r>
      <w:r w:rsidR="002501A3" w:rsidRPr="002501A3">
        <w:rPr>
          <w:rFonts w:ascii="Arial" w:eastAsia="Times New Roman" w:hAnsi="Arial" w:cs="Arial"/>
          <w:sz w:val="18"/>
          <w:szCs w:val="18"/>
          <w:lang w:eastAsia="es-ES"/>
        </w:rPr>
        <w:t>8,727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Los  Movimientos al Resultado de Ejercicios Anteriores por Ajustes y  Reclasificaciones.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patrimonio generado de ejercicios anteriores por un monto de </w:t>
      </w:r>
      <w:r w:rsidRPr="002501A3">
        <w:rPr>
          <w:rFonts w:ascii="Arial" w:eastAsia="Times New Roman" w:hAnsi="Arial" w:cs="Arial"/>
          <w:sz w:val="18"/>
          <w:szCs w:val="18"/>
          <w:lang w:eastAsia="es-ES"/>
        </w:rPr>
        <w:t>$ 31,968, así mismo se tiene un patrimonio generado del ejercicio 2014 por un monto 19,264  que será sumado al patrimonio del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La procedencia de los recursos es por intereses normales e intereses moratorios generados por los acreditados de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IV)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 xml:space="preserve">Notas al Estado de Flujos de Efectivo 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2014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681,230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681,630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</w:tbl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 contables, así como entre los egresos presupuestarios y los gastos contables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NOTAS DE MEMORIA (CUENTAS DE ORDEN)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c) NOTAS DE GESTIÓN ADMINISTRATIVA</w:t>
      </w:r>
    </w:p>
    <w:p w:rsidR="00AB797A" w:rsidRPr="00AB797A" w:rsidRDefault="00AB797A" w:rsidP="00AB797A">
      <w:pPr>
        <w:spacing w:after="0" w:line="240" w:lineRule="exact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Introducción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Panorama Económico y Financiero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D06975" w:rsidRPr="00D06975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D06975">
        <w:rPr>
          <w:rFonts w:ascii="Arial" w:eastAsia="Times New Roman" w:hAnsi="Arial" w:cs="Times New Roman"/>
          <w:b/>
          <w:sz w:val="18"/>
          <w:szCs w:val="18"/>
          <w:lang w:eastAsia="es-ES"/>
        </w:rPr>
        <w:t>Autorización e Historia</w:t>
      </w:r>
    </w:p>
    <w:p w:rsidR="00AB797A" w:rsidRPr="004D3E56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4D3E56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Fecha de creación del ente.   29 de Octubre de 1999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Principales cambios en su estructura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.  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tiene estructura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Organización y Objeto Social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Objeto social. Fortalecer la infraestructura y la prestación de servicios de los Sectores Público, Social e Iniciativa Privada, en diversos proyectos de inversión públicos o privados.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 actividad. Otorgar créditos a proyectos productivos para actividades Turísticas únicamente.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Ejercicio fiscal  201</w:t>
      </w:r>
      <w:r w:rsidR="002501A3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Régimen jurídico. Fideicomiso 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Bases de Preparación de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Si se ha observado la normatividad emitida por el CONAC y las disposiciones legales aplicables.  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>Si se ha observado la normatividad del CONAC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Postulados básicos.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Normatividad supletoria. En caso de emplear varios grupos de normatividades (normatividades supletorias), deberá realizar la justificación razonable correspondiente.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e)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Para las entidades que por primera vez estén implementando la base devengado de acuerdo a la Ley de Contabilidad, deberán: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las nuevas políticas de reconocimiento;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Su plan de implementación;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los cambios en las políticas, la clasificación y medición de las mismas, así como su impacto en la información financiera.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 xml:space="preserve">Presentar los últimos estados financieros con la normatividad anteriormente utilizada con las nuevas políticas para fines de comparación en la transición a la base </w:t>
      </w:r>
      <w:proofErr w:type="gramStart"/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devengado</w:t>
      </w:r>
      <w:proofErr w:type="gramEnd"/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Políticas de Contabilidad Significativas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7.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Posición en Moneda Extranjera y Protección por Riesgo Cambiario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8.     Reporte Analítico del Activo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4D3E56" w:rsidRDefault="004D3E56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9.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Fideicomisos, Mandatos y Análogos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       No aplica para éste Fideicomiso.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06975" w:rsidRDefault="00D06975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10.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Reporte de la Recaudación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sobre la Deuda y el Reporte Analítico de la Deuda.   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12. Calificaciones otorgadas   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13.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Proceso de Mejora     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por Segmentos    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Eventos Posteriores al Cierre   No aplica para éste Fideicomiso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Partes Relacionadas    No aplica para éste Fideicomiso</w:t>
      </w: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17.</w:t>
      </w: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Responsabilidad Sobre la Presentación Razonable de la Información Contable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001BE7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pict>
          <v:shape id="_x0000_s1061" type="#_x0000_t75" style="position:absolute;left:0;text-align:left;margin-left:3.75pt;margin-top:5.85pt;width:783.95pt;height:71.45pt;z-index:251672576">
            <v:imagedata r:id="rId25" o:title=""/>
            <w10:wrap type="topAndBottom"/>
          </v:shape>
          <o:OLEObject Type="Embed" ProgID="Excel.Sheet.12" ShapeID="_x0000_s1061" DrawAspect="Content" ObjectID="_1497334260" r:id="rId26"/>
        </w:pict>
      </w:r>
    </w:p>
    <w:p w:rsidR="00AB797A" w:rsidRPr="00AB797A" w:rsidRDefault="00AB797A" w:rsidP="00AB797A">
      <w:pPr>
        <w:tabs>
          <w:tab w:val="left" w:pos="2430"/>
        </w:tabs>
        <w:jc w:val="center"/>
        <w:rPr>
          <w:rFonts w:ascii="Calibri" w:eastAsia="Calibri" w:hAnsi="Calibri" w:cs="Times New Roman"/>
          <w:lang w:val="es-ES"/>
        </w:rPr>
      </w:pPr>
    </w:p>
    <w:p w:rsidR="00540418" w:rsidRPr="00AB797A" w:rsidRDefault="00540418">
      <w:pPr>
        <w:rPr>
          <w:rFonts w:ascii="Soberana Sans Light" w:hAnsi="Soberana Sans Light"/>
          <w:lang w:val="es-ES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0B3A3C" w:rsidRDefault="000B3A3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sectPr w:rsidR="000B3A3C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B" w:rsidRDefault="004E070B" w:rsidP="00EA5418">
      <w:pPr>
        <w:spacing w:after="0" w:line="240" w:lineRule="auto"/>
      </w:pPr>
      <w:r>
        <w:separator/>
      </w:r>
    </w:p>
  </w:endnote>
  <w:endnote w:type="continuationSeparator" w:id="0">
    <w:p w:rsidR="004E070B" w:rsidRDefault="004E07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001BE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BE046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169DE" w:rsidRPr="0013011C">
          <w:rPr>
            <w:rFonts w:ascii="Soberana Sans Light" w:hAnsi="Soberana Sans Light"/>
          </w:rPr>
          <w:fldChar w:fldCharType="begin"/>
        </w:r>
        <w:r w:rsidR="00BE046B" w:rsidRPr="0013011C">
          <w:rPr>
            <w:rFonts w:ascii="Soberana Sans Light" w:hAnsi="Soberana Sans Light"/>
          </w:rPr>
          <w:instrText>PAGE   \* MERGEFORMAT</w:instrText>
        </w:r>
        <w:r w:rsidR="003169DE" w:rsidRPr="0013011C">
          <w:rPr>
            <w:rFonts w:ascii="Soberana Sans Light" w:hAnsi="Soberana Sans Light"/>
          </w:rPr>
          <w:fldChar w:fldCharType="separate"/>
        </w:r>
        <w:r w:rsidRPr="00001BE7">
          <w:rPr>
            <w:rFonts w:ascii="Soberana Sans Light" w:hAnsi="Soberana Sans Light"/>
            <w:noProof/>
            <w:lang w:val="es-ES"/>
          </w:rPr>
          <w:t>10</w:t>
        </w:r>
        <w:r w:rsidR="003169DE" w:rsidRPr="0013011C">
          <w:rPr>
            <w:rFonts w:ascii="Soberana Sans Light" w:hAnsi="Soberana Sans Light"/>
          </w:rPr>
          <w:fldChar w:fldCharType="end"/>
        </w:r>
      </w:sdtContent>
    </w:sdt>
  </w:p>
  <w:p w:rsidR="00BE046B" w:rsidRDefault="00BE0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8E3652" w:rsidRDefault="00001BE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E046B" w:rsidRPr="008E3652">
          <w:rPr>
            <w:rFonts w:ascii="Soberana Sans Light" w:hAnsi="Soberana Sans Light"/>
          </w:rPr>
          <w:t xml:space="preserve">/ </w:t>
        </w:r>
        <w:r w:rsidR="003169DE" w:rsidRPr="008E3652">
          <w:rPr>
            <w:rFonts w:ascii="Soberana Sans Light" w:hAnsi="Soberana Sans Light"/>
          </w:rPr>
          <w:fldChar w:fldCharType="begin"/>
        </w:r>
        <w:r w:rsidR="00BE046B" w:rsidRPr="008E3652">
          <w:rPr>
            <w:rFonts w:ascii="Soberana Sans Light" w:hAnsi="Soberana Sans Light"/>
          </w:rPr>
          <w:instrText>PAGE   \* MERGEFORMAT</w:instrText>
        </w:r>
        <w:r w:rsidR="003169DE" w:rsidRPr="008E3652">
          <w:rPr>
            <w:rFonts w:ascii="Soberana Sans Light" w:hAnsi="Soberana Sans Light"/>
          </w:rPr>
          <w:fldChar w:fldCharType="separate"/>
        </w:r>
        <w:r w:rsidRPr="00001BE7">
          <w:rPr>
            <w:rFonts w:ascii="Soberana Sans Light" w:hAnsi="Soberana Sans Light"/>
            <w:noProof/>
            <w:lang w:val="es-ES"/>
          </w:rPr>
          <w:t>9</w:t>
        </w:r>
        <w:r w:rsidR="00316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B" w:rsidRDefault="004E070B" w:rsidP="00EA5418">
      <w:pPr>
        <w:spacing w:after="0" w:line="240" w:lineRule="auto"/>
      </w:pPr>
      <w:r>
        <w:separator/>
      </w:r>
    </w:p>
  </w:footnote>
  <w:footnote w:type="continuationSeparator" w:id="0">
    <w:p w:rsidR="004E070B" w:rsidRDefault="004E07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Default="00001BE7">
    <w:pPr>
      <w:pStyle w:val="Encabezado"/>
    </w:pPr>
    <w:r>
      <w:rPr>
        <w:noProof/>
        <w:lang w:eastAsia="es-MX"/>
      </w:rPr>
      <w:pict>
        <v:group id="6 Grupo" o:spid="_x0000_s2053" style="position:absolute;margin-left:151.5pt;margin-top:-27.1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E046B" w:rsidRDefault="00BE046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E046B" w:rsidRDefault="00BE046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E046B" w:rsidRPr="00275FC6" w:rsidRDefault="00BE046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A01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E046B" w:rsidRPr="00275FC6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16.05pt" to="73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001BE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BE046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8D040E"/>
    <w:multiLevelType w:val="hybridMultilevel"/>
    <w:tmpl w:val="9BACB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BE7"/>
    <w:rsid w:val="00040466"/>
    <w:rsid w:val="00045A10"/>
    <w:rsid w:val="000836A7"/>
    <w:rsid w:val="00083D4D"/>
    <w:rsid w:val="000A0FA7"/>
    <w:rsid w:val="000B3A3C"/>
    <w:rsid w:val="0013011C"/>
    <w:rsid w:val="00133C54"/>
    <w:rsid w:val="00142033"/>
    <w:rsid w:val="00144AB0"/>
    <w:rsid w:val="00157BBA"/>
    <w:rsid w:val="001650E7"/>
    <w:rsid w:val="00165BB4"/>
    <w:rsid w:val="00181F8D"/>
    <w:rsid w:val="001864F9"/>
    <w:rsid w:val="001919AC"/>
    <w:rsid w:val="001B166F"/>
    <w:rsid w:val="001B1B72"/>
    <w:rsid w:val="001C6FD8"/>
    <w:rsid w:val="001C78D8"/>
    <w:rsid w:val="001E7072"/>
    <w:rsid w:val="001F679F"/>
    <w:rsid w:val="00204C86"/>
    <w:rsid w:val="00215A0F"/>
    <w:rsid w:val="002501A3"/>
    <w:rsid w:val="00264426"/>
    <w:rsid w:val="00267CBF"/>
    <w:rsid w:val="002709C7"/>
    <w:rsid w:val="002A70B3"/>
    <w:rsid w:val="002B4458"/>
    <w:rsid w:val="002C1922"/>
    <w:rsid w:val="002C3132"/>
    <w:rsid w:val="003164D4"/>
    <w:rsid w:val="003169DE"/>
    <w:rsid w:val="00340731"/>
    <w:rsid w:val="00352732"/>
    <w:rsid w:val="00366D6A"/>
    <w:rsid w:val="00372F40"/>
    <w:rsid w:val="00396C2B"/>
    <w:rsid w:val="003A0169"/>
    <w:rsid w:val="003A0303"/>
    <w:rsid w:val="003B1002"/>
    <w:rsid w:val="003D5DBF"/>
    <w:rsid w:val="003E7FD0"/>
    <w:rsid w:val="003F0EA4"/>
    <w:rsid w:val="004311BE"/>
    <w:rsid w:val="0044253C"/>
    <w:rsid w:val="004714CF"/>
    <w:rsid w:val="00484C0D"/>
    <w:rsid w:val="004917D5"/>
    <w:rsid w:val="00497D8B"/>
    <w:rsid w:val="004C1B18"/>
    <w:rsid w:val="004D26F8"/>
    <w:rsid w:val="004D3E56"/>
    <w:rsid w:val="004D41B8"/>
    <w:rsid w:val="004E070B"/>
    <w:rsid w:val="004F5641"/>
    <w:rsid w:val="00522632"/>
    <w:rsid w:val="00522EF3"/>
    <w:rsid w:val="00540418"/>
    <w:rsid w:val="00574266"/>
    <w:rsid w:val="005B4DFA"/>
    <w:rsid w:val="005B7DA7"/>
    <w:rsid w:val="005D3D25"/>
    <w:rsid w:val="0060677A"/>
    <w:rsid w:val="00615B52"/>
    <w:rsid w:val="0065292B"/>
    <w:rsid w:val="00664FB0"/>
    <w:rsid w:val="00665F32"/>
    <w:rsid w:val="00686ADF"/>
    <w:rsid w:val="006945D8"/>
    <w:rsid w:val="006A1FF3"/>
    <w:rsid w:val="006B1FE7"/>
    <w:rsid w:val="006E546D"/>
    <w:rsid w:val="006E77DD"/>
    <w:rsid w:val="006F593E"/>
    <w:rsid w:val="00735686"/>
    <w:rsid w:val="0074102F"/>
    <w:rsid w:val="00765BE7"/>
    <w:rsid w:val="00791044"/>
    <w:rsid w:val="0079582C"/>
    <w:rsid w:val="007B0A4F"/>
    <w:rsid w:val="007B2DE0"/>
    <w:rsid w:val="007D30CE"/>
    <w:rsid w:val="007D6E9A"/>
    <w:rsid w:val="00811DAC"/>
    <w:rsid w:val="00823B85"/>
    <w:rsid w:val="00840885"/>
    <w:rsid w:val="00841338"/>
    <w:rsid w:val="00873C1E"/>
    <w:rsid w:val="00880B90"/>
    <w:rsid w:val="008903A9"/>
    <w:rsid w:val="008903F8"/>
    <w:rsid w:val="0089054E"/>
    <w:rsid w:val="00896BCA"/>
    <w:rsid w:val="008A32B0"/>
    <w:rsid w:val="008A6E4D"/>
    <w:rsid w:val="008A793D"/>
    <w:rsid w:val="008B0017"/>
    <w:rsid w:val="008B4469"/>
    <w:rsid w:val="008C5001"/>
    <w:rsid w:val="008D0779"/>
    <w:rsid w:val="008E2D13"/>
    <w:rsid w:val="008E3652"/>
    <w:rsid w:val="008E688B"/>
    <w:rsid w:val="008F6D58"/>
    <w:rsid w:val="008F7171"/>
    <w:rsid w:val="0092347F"/>
    <w:rsid w:val="00923FAD"/>
    <w:rsid w:val="0093492C"/>
    <w:rsid w:val="0094701A"/>
    <w:rsid w:val="00951FC9"/>
    <w:rsid w:val="009537A6"/>
    <w:rsid w:val="00957043"/>
    <w:rsid w:val="009707F0"/>
    <w:rsid w:val="009D249A"/>
    <w:rsid w:val="009D3E9F"/>
    <w:rsid w:val="009D5D4C"/>
    <w:rsid w:val="009E191B"/>
    <w:rsid w:val="009E305B"/>
    <w:rsid w:val="009F23C4"/>
    <w:rsid w:val="00A06C14"/>
    <w:rsid w:val="00A13084"/>
    <w:rsid w:val="00A258B4"/>
    <w:rsid w:val="00A25FAB"/>
    <w:rsid w:val="00A32E65"/>
    <w:rsid w:val="00A363B6"/>
    <w:rsid w:val="00A37954"/>
    <w:rsid w:val="00A46BF5"/>
    <w:rsid w:val="00A60E67"/>
    <w:rsid w:val="00A641A3"/>
    <w:rsid w:val="00A66E31"/>
    <w:rsid w:val="00A80A89"/>
    <w:rsid w:val="00A81A2F"/>
    <w:rsid w:val="00A829D4"/>
    <w:rsid w:val="00AB175B"/>
    <w:rsid w:val="00AB797A"/>
    <w:rsid w:val="00AF0548"/>
    <w:rsid w:val="00B02ADF"/>
    <w:rsid w:val="00B04FE0"/>
    <w:rsid w:val="00B146E2"/>
    <w:rsid w:val="00B34423"/>
    <w:rsid w:val="00B8423E"/>
    <w:rsid w:val="00B849EE"/>
    <w:rsid w:val="00B84D02"/>
    <w:rsid w:val="00B87D4D"/>
    <w:rsid w:val="00BA2940"/>
    <w:rsid w:val="00BE046B"/>
    <w:rsid w:val="00C114F1"/>
    <w:rsid w:val="00C16E53"/>
    <w:rsid w:val="00C176BB"/>
    <w:rsid w:val="00C1776E"/>
    <w:rsid w:val="00C25E16"/>
    <w:rsid w:val="00C431B4"/>
    <w:rsid w:val="00C46AFD"/>
    <w:rsid w:val="00C86C59"/>
    <w:rsid w:val="00C91C5A"/>
    <w:rsid w:val="00C930D4"/>
    <w:rsid w:val="00C957D5"/>
    <w:rsid w:val="00CA43E9"/>
    <w:rsid w:val="00CC46BD"/>
    <w:rsid w:val="00CD244B"/>
    <w:rsid w:val="00CD332A"/>
    <w:rsid w:val="00CD6D9A"/>
    <w:rsid w:val="00CE137F"/>
    <w:rsid w:val="00CE4658"/>
    <w:rsid w:val="00CE5A14"/>
    <w:rsid w:val="00CF6F3A"/>
    <w:rsid w:val="00D00E92"/>
    <w:rsid w:val="00D055EC"/>
    <w:rsid w:val="00D06975"/>
    <w:rsid w:val="00D22DE3"/>
    <w:rsid w:val="00D44728"/>
    <w:rsid w:val="00D562FF"/>
    <w:rsid w:val="00D82B7A"/>
    <w:rsid w:val="00DC6C64"/>
    <w:rsid w:val="00DF56C9"/>
    <w:rsid w:val="00DF5A51"/>
    <w:rsid w:val="00E30318"/>
    <w:rsid w:val="00E32708"/>
    <w:rsid w:val="00E44CE9"/>
    <w:rsid w:val="00E56D99"/>
    <w:rsid w:val="00EA5418"/>
    <w:rsid w:val="00EE46FB"/>
    <w:rsid w:val="00F17C0D"/>
    <w:rsid w:val="00F6594F"/>
    <w:rsid w:val="00F755D0"/>
    <w:rsid w:val="00FA27E1"/>
    <w:rsid w:val="00FB1010"/>
    <w:rsid w:val="00FB1CC0"/>
    <w:rsid w:val="00FC0E67"/>
    <w:rsid w:val="00FD5A63"/>
    <w:rsid w:val="00FD5F34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D9D3-4B86-4F15-809D-C441D74E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12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 RH</cp:lastModifiedBy>
  <cp:revision>109</cp:revision>
  <cp:lastPrinted>2015-07-02T13:54:00Z</cp:lastPrinted>
  <dcterms:created xsi:type="dcterms:W3CDTF">2014-08-29T13:13:00Z</dcterms:created>
  <dcterms:modified xsi:type="dcterms:W3CDTF">2015-07-02T14:24:00Z</dcterms:modified>
</cp:coreProperties>
</file>