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70806605"/>
    <w:bookmarkEnd w:id="0"/>
    <w:p w:rsidR="007D6E9A" w:rsidRDefault="00E73249" w:rsidP="003D5DBF">
      <w:pPr>
        <w:jc w:val="center"/>
      </w:pPr>
      <w:r>
        <w:object w:dxaOrig="23594" w:dyaOrig="15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25pt;height:416.95pt" o:ole="">
            <v:imagedata r:id="rId9" o:title=""/>
          </v:shape>
          <o:OLEObject Type="Embed" ProgID="Excel.Sheet.12" ShapeID="_x0000_i1025" DrawAspect="Content" ObjectID="_1497640883" r:id="rId10"/>
        </w:object>
      </w:r>
    </w:p>
    <w:p w:rsidR="00EA5418" w:rsidRDefault="00EA5418" w:rsidP="00372F40">
      <w:pPr>
        <w:jc w:val="center"/>
      </w:pPr>
    </w:p>
    <w:bookmarkStart w:id="1" w:name="_MON_1470805999"/>
    <w:bookmarkEnd w:id="1"/>
    <w:p w:rsidR="00EA5418" w:rsidRDefault="0098009A" w:rsidP="0044253C">
      <w:pPr>
        <w:jc w:val="center"/>
      </w:pPr>
      <w:r>
        <w:object w:dxaOrig="25223" w:dyaOrig="18902">
          <v:shape id="_x0000_i1026" type="#_x0000_t75" style="width:586.2pt;height:438.45pt" o:ole="">
            <v:imagedata r:id="rId11" o:title=""/>
          </v:shape>
          <o:OLEObject Type="Embed" ProgID="Excel.Sheet.12" ShapeID="_x0000_i1026" DrawAspect="Content" ObjectID="_1497640884" r:id="rId12"/>
        </w:object>
      </w:r>
    </w:p>
    <w:bookmarkStart w:id="2" w:name="_MON_1470806992"/>
    <w:bookmarkEnd w:id="2"/>
    <w:p w:rsidR="00372F40" w:rsidRDefault="0098009A" w:rsidP="003E7FD0">
      <w:pPr>
        <w:jc w:val="center"/>
      </w:pPr>
      <w:r>
        <w:object w:dxaOrig="22055" w:dyaOrig="15606">
          <v:shape id="_x0000_i1027" type="#_x0000_t75" style="width:650.7pt;height:464.25pt" o:ole="">
            <v:imagedata r:id="rId13" o:title=""/>
          </v:shape>
          <o:OLEObject Type="Embed" ProgID="Excel.Sheet.12" ShapeID="_x0000_i1027" DrawAspect="Content" ObjectID="_1497640885" r:id="rId14"/>
        </w:object>
      </w:r>
    </w:p>
    <w:bookmarkStart w:id="3" w:name="_MON_1470807348"/>
    <w:bookmarkEnd w:id="3"/>
    <w:p w:rsidR="00372F40" w:rsidRDefault="00450B89" w:rsidP="008E3652">
      <w:pPr>
        <w:jc w:val="center"/>
      </w:pPr>
      <w:r>
        <w:object w:dxaOrig="17761" w:dyaOrig="12385">
          <v:shape id="_x0000_i1028" type="#_x0000_t75" style="width:646.4pt;height:450.8pt" o:ole="">
            <v:imagedata r:id="rId15" o:title=""/>
          </v:shape>
          <o:OLEObject Type="Embed" ProgID="Excel.Sheet.12" ShapeID="_x0000_i1028" DrawAspect="Content" ObjectID="_1497640886" r:id="rId16"/>
        </w:object>
      </w:r>
    </w:p>
    <w:bookmarkStart w:id="4" w:name="_MON_1470809138"/>
    <w:bookmarkEnd w:id="4"/>
    <w:p w:rsidR="00372F40" w:rsidRDefault="00CB27FA" w:rsidP="00522632">
      <w:pPr>
        <w:jc w:val="center"/>
      </w:pPr>
      <w:r>
        <w:object w:dxaOrig="17854" w:dyaOrig="12467">
          <v:shape id="_x0000_i1029" type="#_x0000_t75" style="width:634.05pt;height:441.15pt" o:ole="">
            <v:imagedata r:id="rId17" o:title=""/>
          </v:shape>
          <o:OLEObject Type="Embed" ProgID="Excel.Sheet.12" ShapeID="_x0000_i1029" DrawAspect="Content" ObjectID="_1497640887" r:id="rId18"/>
        </w:object>
      </w:r>
    </w:p>
    <w:p w:rsidR="00372F40" w:rsidRDefault="00372F40" w:rsidP="002A70B3">
      <w:pPr>
        <w:tabs>
          <w:tab w:val="left" w:pos="2430"/>
        </w:tabs>
      </w:pPr>
    </w:p>
    <w:bookmarkStart w:id="5" w:name="_MON_1470814596"/>
    <w:bookmarkEnd w:id="5"/>
    <w:p w:rsidR="00E32708" w:rsidRDefault="00690EDF" w:rsidP="00E32708">
      <w:pPr>
        <w:tabs>
          <w:tab w:val="left" w:pos="2430"/>
        </w:tabs>
        <w:jc w:val="center"/>
      </w:pPr>
      <w:r>
        <w:object w:dxaOrig="18279" w:dyaOrig="11594">
          <v:shape id="_x0000_i1030" type="#_x0000_t75" style="width:637.25pt;height:403.5pt" o:ole="">
            <v:imagedata r:id="rId19" o:title=""/>
          </v:shape>
          <o:OLEObject Type="Embed" ProgID="Excel.Sheet.12" ShapeID="_x0000_i1030" DrawAspect="Content" ObjectID="_1497640888" r:id="rId20"/>
        </w:object>
      </w:r>
    </w:p>
    <w:bookmarkStart w:id="6" w:name="_MON_1470810366"/>
    <w:bookmarkEnd w:id="6"/>
    <w:p w:rsidR="00E32708" w:rsidRDefault="005B7953" w:rsidP="00E32708">
      <w:pPr>
        <w:tabs>
          <w:tab w:val="left" w:pos="2430"/>
        </w:tabs>
        <w:jc w:val="center"/>
      </w:pPr>
      <w:r>
        <w:object w:dxaOrig="25994" w:dyaOrig="16745">
          <v:shape id="_x0000_i1031" type="#_x0000_t75" style="width:692.6pt;height:447.05pt" o:ole="">
            <v:imagedata r:id="rId21" o:title=""/>
          </v:shape>
          <o:OLEObject Type="Embed" ProgID="Excel.Sheet.12" ShapeID="_x0000_i1031" DrawAspect="Content" ObjectID="_1497640889" r:id="rId22"/>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FB48AD">
      <w:pPr>
        <w:rPr>
          <w:rFonts w:ascii="Soberana Sans Light" w:hAnsi="Soberana Sans Light"/>
        </w:rPr>
      </w:pPr>
      <w:r>
        <w:rPr>
          <w:rFonts w:ascii="Soberana Sans Light" w:hAnsi="Soberana Sans Light"/>
        </w:rPr>
        <w:t>NO APLICA</w:t>
      </w:r>
    </w:p>
    <w:p w:rsidR="00372F40" w:rsidRPr="00540418" w:rsidRDefault="00540418" w:rsidP="0079582C">
      <w:pPr>
        <w:jc w:val="center"/>
        <w:rPr>
          <w:rFonts w:ascii="Soberana Sans Light" w:hAnsi="Soberana Sans Light"/>
        </w:rPr>
      </w:pPr>
      <w:proofErr w:type="spellStart"/>
      <w:r w:rsidRPr="00540418">
        <w:rPr>
          <w:rFonts w:ascii="Soberana Sans Light" w:hAnsi="Soberana Sans Light"/>
        </w:rPr>
        <w:t>XXXX</w:t>
      </w:r>
      <w:proofErr w:type="spellEnd"/>
    </w:p>
    <w:p w:rsidR="00540418" w:rsidRPr="00540418" w:rsidRDefault="00540418">
      <w:pPr>
        <w:rPr>
          <w:rFonts w:ascii="Soberana Sans Light" w:hAnsi="Soberana Sans Light"/>
        </w:rPr>
      </w:pPr>
    </w:p>
    <w:p w:rsidR="00540418" w:rsidRDefault="0079582C" w:rsidP="0079582C">
      <w:pPr>
        <w:pStyle w:val="Prrafodelista"/>
        <w:numPr>
          <w:ilvl w:val="0"/>
          <w:numId w:val="4"/>
        </w:numPr>
        <w:rPr>
          <w:rFonts w:ascii="Soberana Sans Light" w:hAnsi="Soberana Sans Light"/>
        </w:rPr>
      </w:pPr>
      <w:r w:rsidRPr="0079582C">
        <w:rPr>
          <w:rFonts w:ascii="Soberana Sans Light" w:hAnsi="Soberana Sans Light"/>
        </w:rPr>
        <w:t>Formato libre</w:t>
      </w:r>
    </w:p>
    <w:p w:rsidR="0079582C" w:rsidRDefault="0079582C" w:rsidP="0079582C">
      <w:pPr>
        <w:pStyle w:val="Prrafodelista"/>
        <w:numPr>
          <w:ilvl w:val="0"/>
          <w:numId w:val="4"/>
        </w:numPr>
        <w:rPr>
          <w:rFonts w:ascii="Soberana Sans Light" w:hAnsi="Soberana Sans Light"/>
        </w:rPr>
      </w:pPr>
      <w:r>
        <w:rPr>
          <w:rFonts w:ascii="Soberana Sans Light" w:hAnsi="Soberana Sans Light"/>
        </w:rPr>
        <w:t xml:space="preserve">En caso de no aplicar </w:t>
      </w:r>
      <w:r w:rsidR="00C16E53">
        <w:rPr>
          <w:rFonts w:ascii="Soberana Sans Light" w:hAnsi="Soberana Sans Light"/>
        </w:rPr>
        <w:t>se deberá asentar tal situación</w:t>
      </w:r>
    </w:p>
    <w:p w:rsidR="0079582C" w:rsidRPr="0079582C" w:rsidRDefault="0079582C" w:rsidP="0079582C">
      <w:pPr>
        <w:pStyle w:val="Prrafodelista"/>
        <w:numPr>
          <w:ilvl w:val="0"/>
          <w:numId w:val="4"/>
        </w:numPr>
        <w:rPr>
          <w:rFonts w:ascii="Soberana Sans Light" w:hAnsi="Soberana Sans Light"/>
        </w:rPr>
      </w:pPr>
      <w:r>
        <w:rPr>
          <w:rFonts w:ascii="Soberana Sans Light" w:hAnsi="Soberana Sans Light"/>
        </w:rPr>
        <w:t>En todos los caso debe de venir firmado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Default="00540418" w:rsidP="00540418">
      <w:pPr>
        <w:pStyle w:val="Texto"/>
        <w:spacing w:after="0" w:line="240" w:lineRule="exact"/>
        <w:rPr>
          <w:rFonts w:ascii="Soberana Sans Light" w:hAnsi="Soberana Sans Light"/>
          <w:sz w:val="22"/>
          <w:szCs w:val="22"/>
          <w:lang w:val="es-MX"/>
        </w:rPr>
      </w:pPr>
    </w:p>
    <w:p w:rsidR="00060242" w:rsidRPr="00540418" w:rsidRDefault="00060242"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acerca de los fondos con afectación específica, el tipo y monto de los mismos; de las inversiones financieras se revelará su tipo y monto, su clasificación en corto y largo plazo separando aquéllas que su vencimiento sea menor a 3 meses.</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r w:rsidR="00CF099B">
        <w:rPr>
          <w:rFonts w:ascii="Soberana Sans Light" w:hAnsi="Soberana Sans Light"/>
          <w:b/>
          <w:sz w:val="22"/>
          <w:szCs w:val="22"/>
          <w:lang w:val="es-MX"/>
        </w:rPr>
        <w:t xml:space="preserve">   </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sidR="00001107">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sidR="003A0303">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r w:rsidR="00CF099B">
        <w:rPr>
          <w:rFonts w:ascii="Soberana Sans Light" w:hAnsi="Soberana Sans Light"/>
          <w:b/>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proofErr w:type="gramStart"/>
      <w:r w:rsidRPr="00540418">
        <w:rPr>
          <w:rFonts w:ascii="Soberana Sans Light" w:hAnsi="Soberana Sans Light"/>
          <w:sz w:val="22"/>
          <w:szCs w:val="22"/>
          <w:lang w:val="es-MX"/>
        </w:rPr>
        <w:t>valuación aplicados</w:t>
      </w:r>
      <w:proofErr w:type="gramEnd"/>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r w:rsidR="00CF099B">
        <w:rPr>
          <w:rFonts w:ascii="Soberana Sans Light" w:hAnsi="Soberana Sans Light"/>
          <w:b/>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540418" w:rsidRPr="00540418" w:rsidRDefault="00B361AB"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B361AB">
        <w:rPr>
          <w:rFonts w:ascii="Soberana Sans Light" w:hAnsi="Soberana Sans Light"/>
          <w:sz w:val="22"/>
          <w:szCs w:val="22"/>
          <w:lang w:val="es-MX"/>
        </w:rPr>
        <w:t>Rectificaciones de Resultados de Ejercicios Anteriores</w:t>
      </w:r>
      <w:r>
        <w:rPr>
          <w:rFonts w:ascii="Soberana Sans Light" w:hAnsi="Soberana Sans Light"/>
          <w:sz w:val="22"/>
          <w:szCs w:val="22"/>
          <w:lang w:val="es-MX"/>
        </w:rPr>
        <w:t xml:space="preserve"> </w:t>
      </w:r>
      <w:r w:rsidR="002A4EBC">
        <w:rPr>
          <w:rFonts w:ascii="Soberana Sans Light" w:hAnsi="Soberana Sans Light"/>
          <w:sz w:val="22"/>
          <w:szCs w:val="22"/>
          <w:lang w:val="es-MX"/>
        </w:rPr>
        <w:t>incrementa</w:t>
      </w:r>
      <w:r>
        <w:rPr>
          <w:rFonts w:ascii="Soberana Sans Light" w:hAnsi="Soberana Sans Light"/>
          <w:sz w:val="22"/>
          <w:szCs w:val="22"/>
          <w:lang w:val="es-MX"/>
        </w:rPr>
        <w:t xml:space="preserve"> a la cantidad de </w:t>
      </w:r>
      <w:r w:rsidR="002A4EBC">
        <w:rPr>
          <w:rFonts w:ascii="Soberana Sans Light" w:hAnsi="Soberana Sans Light"/>
          <w:sz w:val="22"/>
          <w:szCs w:val="22"/>
          <w:lang w:val="es-MX"/>
        </w:rPr>
        <w:t>5</w:t>
      </w:r>
      <w:proofErr w:type="gramStart"/>
      <w:r>
        <w:rPr>
          <w:rFonts w:ascii="Soberana Sans Light" w:hAnsi="Soberana Sans Light"/>
          <w:sz w:val="22"/>
          <w:szCs w:val="22"/>
          <w:lang w:val="es-MX"/>
        </w:rPr>
        <w:t>,</w:t>
      </w:r>
      <w:r w:rsidR="002A4EBC">
        <w:rPr>
          <w:rFonts w:ascii="Soberana Sans Light" w:hAnsi="Soberana Sans Light"/>
          <w:sz w:val="22"/>
          <w:szCs w:val="22"/>
          <w:lang w:val="es-MX"/>
        </w:rPr>
        <w:t>603</w:t>
      </w:r>
      <w:r>
        <w:rPr>
          <w:rFonts w:ascii="Soberana Sans Light" w:hAnsi="Soberana Sans Light"/>
          <w:sz w:val="22"/>
          <w:szCs w:val="22"/>
          <w:lang w:val="es-MX"/>
        </w:rPr>
        <w:t>,</w:t>
      </w:r>
      <w:r w:rsidRPr="00B361AB">
        <w:rPr>
          <w:rFonts w:ascii="Soberana Sans Light" w:hAnsi="Soberana Sans Light"/>
          <w:sz w:val="22"/>
          <w:szCs w:val="22"/>
          <w:lang w:val="es-MX"/>
        </w:rPr>
        <w:t>2</w:t>
      </w:r>
      <w:r w:rsidR="002A4EBC">
        <w:rPr>
          <w:rFonts w:ascii="Soberana Sans Light" w:hAnsi="Soberana Sans Light"/>
          <w:sz w:val="22"/>
          <w:szCs w:val="22"/>
          <w:lang w:val="es-MX"/>
        </w:rPr>
        <w:t>1</w:t>
      </w:r>
      <w:r w:rsidRPr="00B361AB">
        <w:rPr>
          <w:rFonts w:ascii="Soberana Sans Light" w:hAnsi="Soberana Sans Light"/>
          <w:sz w:val="22"/>
          <w:szCs w:val="22"/>
          <w:lang w:val="es-MX"/>
        </w:rPr>
        <w:t>1</w:t>
      </w:r>
      <w:proofErr w:type="gramEnd"/>
      <w:r>
        <w:rPr>
          <w:rFonts w:ascii="Soberana Sans Light" w:hAnsi="Soberana Sans Light"/>
          <w:sz w:val="22"/>
          <w:szCs w:val="22"/>
          <w:lang w:val="es-MX"/>
        </w:rPr>
        <w:t xml:space="preserve"> por </w:t>
      </w:r>
      <w:r w:rsidR="002A4EBC">
        <w:rPr>
          <w:rFonts w:ascii="Soberana Sans Light" w:hAnsi="Soberana Sans Light"/>
          <w:sz w:val="22"/>
          <w:szCs w:val="22"/>
          <w:lang w:val="es-MX"/>
        </w:rPr>
        <w:t>el</w:t>
      </w:r>
      <w:r>
        <w:rPr>
          <w:rFonts w:ascii="Soberana Sans Light" w:hAnsi="Soberana Sans Light"/>
          <w:sz w:val="22"/>
          <w:szCs w:val="22"/>
          <w:lang w:val="es-MX"/>
        </w:rPr>
        <w:t xml:space="preserve"> </w:t>
      </w:r>
      <w:r w:rsidR="002A4EBC">
        <w:rPr>
          <w:rFonts w:ascii="Soberana Sans Light" w:hAnsi="Soberana Sans Light"/>
          <w:sz w:val="22"/>
          <w:szCs w:val="22"/>
          <w:lang w:val="es-MX"/>
        </w:rPr>
        <w:t>registro</w:t>
      </w:r>
      <w:r>
        <w:rPr>
          <w:rFonts w:ascii="Soberana Sans Light" w:hAnsi="Soberana Sans Light"/>
          <w:sz w:val="22"/>
          <w:szCs w:val="22"/>
          <w:lang w:val="es-MX"/>
        </w:rPr>
        <w:t xml:space="preserve"> de bienes muebles</w:t>
      </w:r>
      <w:r w:rsidR="00F70699">
        <w:rPr>
          <w:rFonts w:ascii="Soberana Sans Light" w:hAnsi="Soberana Sans Light"/>
          <w:sz w:val="22"/>
          <w:szCs w:val="22"/>
          <w:lang w:val="es-MX"/>
        </w:rPr>
        <w:t>.</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Estimaciones y Deterioros</w:t>
      </w:r>
      <w:r w:rsidR="00CF099B">
        <w:rPr>
          <w:rFonts w:ascii="Soberana Sans Light" w:hAnsi="Soberana Sans Light"/>
          <w:b/>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r w:rsidR="00CF099B">
        <w:rPr>
          <w:rFonts w:ascii="Soberana Sans Light" w:hAnsi="Soberana Sans Light"/>
          <w:b/>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sidR="00001107">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540418" w:rsidRPr="00540418" w:rsidRDefault="00540418" w:rsidP="00540418">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elaborará una relación de las cuentas y documentos por pagar en una desagregación por su vencimiento en días a 90, 180, menor o igual a 365 y mayor a 365. Asimismo, se informará sobre la factibilidad del pago de dichos pasivos.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sidR="003A0303">
        <w:rPr>
          <w:rFonts w:ascii="Soberana Sans Light" w:hAnsi="Soberana Sans Light"/>
          <w:sz w:val="22"/>
          <w:szCs w:val="22"/>
          <w:lang w:val="es-MX"/>
        </w:rPr>
        <w:t xml:space="preserve">demás </w:t>
      </w:r>
      <w:r w:rsidRPr="00540418">
        <w:rPr>
          <w:rFonts w:ascii="Soberana Sans Light" w:hAnsi="Soberana Sans Light"/>
          <w:sz w:val="22"/>
          <w:szCs w:val="22"/>
          <w:lang w:val="es-MX"/>
        </w:rPr>
        <w:t xml:space="preserve">cuentas de </w:t>
      </w:r>
      <w:proofErr w:type="gramStart"/>
      <w:r w:rsidRPr="00540418">
        <w:rPr>
          <w:rFonts w:ascii="Soberana Sans Light" w:hAnsi="Soberana Sans Light"/>
          <w:sz w:val="22"/>
          <w:szCs w:val="22"/>
          <w:lang w:val="es-MX"/>
        </w:rPr>
        <w:t>pasivos monto y características significativas</w:t>
      </w:r>
      <w:proofErr w:type="gramEnd"/>
      <w:r w:rsidRPr="00540418">
        <w:rPr>
          <w:rFonts w:ascii="Soberana Sans Light" w:hAnsi="Soberana Sans Light"/>
          <w:sz w:val="22"/>
          <w:szCs w:val="22"/>
          <w:lang w:val="es-MX"/>
        </w:rPr>
        <w:t xml:space="preserve"> que les impacten o pudieran impactarles financieramente.</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540418" w:rsidRP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540418" w:rsidRP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540418" w:rsidRPr="00540418" w:rsidRDefault="00540418" w:rsidP="00540418">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40418">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540418" w:rsidRPr="00540418" w:rsidRDefault="00540418" w:rsidP="00540418">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firstRow="0" w:lastRow="0" w:firstColumn="0" w:lastColumn="0" w:noHBand="0" w:noVBand="0"/>
      </w:tblPr>
      <w:tblGrid>
        <w:gridCol w:w="4000"/>
        <w:gridCol w:w="1545"/>
        <w:gridCol w:w="1393"/>
      </w:tblGrid>
      <w:tr w:rsidR="00540418" w:rsidRPr="00540418" w:rsidTr="00CF099B">
        <w:trPr>
          <w:cantSplit/>
          <w:jc w:val="center"/>
        </w:trPr>
        <w:tc>
          <w:tcPr>
            <w:tcW w:w="400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p>
        </w:tc>
        <w:tc>
          <w:tcPr>
            <w:tcW w:w="1545" w:type="dxa"/>
            <w:tcBorders>
              <w:top w:val="single" w:sz="6" w:space="0" w:color="auto"/>
              <w:left w:val="single" w:sz="6" w:space="0" w:color="auto"/>
              <w:bottom w:val="single" w:sz="6" w:space="0" w:color="auto"/>
              <w:right w:val="single" w:sz="6" w:space="0" w:color="auto"/>
            </w:tcBorders>
          </w:tcPr>
          <w:p w:rsidR="00540418" w:rsidRPr="00540418" w:rsidRDefault="002A4EBC"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393" w:type="dxa"/>
            <w:tcBorders>
              <w:top w:val="single" w:sz="6" w:space="0" w:color="auto"/>
              <w:left w:val="single" w:sz="6" w:space="0" w:color="auto"/>
              <w:bottom w:val="single" w:sz="6" w:space="0" w:color="auto"/>
              <w:right w:val="single" w:sz="6" w:space="0" w:color="auto"/>
            </w:tcBorders>
          </w:tcPr>
          <w:p w:rsidR="00540418" w:rsidRPr="00540418" w:rsidRDefault="002A4EBC"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540418" w:rsidRPr="00540418" w:rsidTr="00CF099B">
        <w:trPr>
          <w:cantSplit/>
          <w:jc w:val="center"/>
        </w:trPr>
        <w:tc>
          <w:tcPr>
            <w:tcW w:w="400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545" w:type="dxa"/>
            <w:tcBorders>
              <w:top w:val="single" w:sz="6" w:space="0" w:color="auto"/>
              <w:left w:val="single" w:sz="6" w:space="0" w:color="auto"/>
              <w:bottom w:val="single" w:sz="6" w:space="0" w:color="auto"/>
              <w:right w:val="single" w:sz="6" w:space="0" w:color="auto"/>
            </w:tcBorders>
          </w:tcPr>
          <w:p w:rsidR="00540418" w:rsidRPr="00540418" w:rsidRDefault="002A4EBC" w:rsidP="002A4EB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w:t>
            </w:r>
            <w:r w:rsidR="00CF099B">
              <w:rPr>
                <w:rFonts w:ascii="Soberana Sans Light" w:hAnsi="Soberana Sans Light"/>
                <w:sz w:val="22"/>
                <w:szCs w:val="22"/>
                <w:lang w:val="es-MX"/>
              </w:rPr>
              <w:t>,9</w:t>
            </w:r>
            <w:r>
              <w:rPr>
                <w:rFonts w:ascii="Soberana Sans Light" w:hAnsi="Soberana Sans Light"/>
                <w:sz w:val="22"/>
                <w:szCs w:val="22"/>
                <w:lang w:val="es-MX"/>
              </w:rPr>
              <w:t>98</w:t>
            </w:r>
            <w:r w:rsidR="00CF099B">
              <w:rPr>
                <w:rFonts w:ascii="Soberana Sans Light" w:hAnsi="Soberana Sans Light"/>
                <w:sz w:val="22"/>
                <w:szCs w:val="22"/>
                <w:lang w:val="es-MX"/>
              </w:rPr>
              <w:t>,7</w:t>
            </w:r>
            <w:r>
              <w:rPr>
                <w:rFonts w:ascii="Soberana Sans Light" w:hAnsi="Soberana Sans Light"/>
                <w:sz w:val="22"/>
                <w:szCs w:val="22"/>
                <w:lang w:val="es-MX"/>
              </w:rPr>
              <w:t>39</w:t>
            </w:r>
          </w:p>
        </w:tc>
        <w:tc>
          <w:tcPr>
            <w:tcW w:w="1393" w:type="dxa"/>
            <w:tcBorders>
              <w:top w:val="single" w:sz="6" w:space="0" w:color="auto"/>
              <w:left w:val="single" w:sz="6" w:space="0" w:color="auto"/>
              <w:bottom w:val="single" w:sz="6" w:space="0" w:color="auto"/>
              <w:right w:val="single" w:sz="6" w:space="0" w:color="auto"/>
            </w:tcBorders>
          </w:tcPr>
          <w:p w:rsidR="00540418" w:rsidRPr="00540418" w:rsidRDefault="00CF099B" w:rsidP="002A4EB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2,5</w:t>
            </w:r>
            <w:r w:rsidR="002A4EBC">
              <w:rPr>
                <w:rFonts w:ascii="Soberana Sans Light" w:hAnsi="Soberana Sans Light"/>
                <w:sz w:val="22"/>
                <w:szCs w:val="22"/>
                <w:lang w:val="es-MX"/>
              </w:rPr>
              <w:t>7</w:t>
            </w:r>
            <w:r>
              <w:rPr>
                <w:rFonts w:ascii="Soberana Sans Light" w:hAnsi="Soberana Sans Light"/>
                <w:sz w:val="22"/>
                <w:szCs w:val="22"/>
                <w:lang w:val="es-MX"/>
              </w:rPr>
              <w:t>9,</w:t>
            </w:r>
            <w:r w:rsidR="002A4EBC">
              <w:rPr>
                <w:rFonts w:ascii="Soberana Sans Light" w:hAnsi="Soberana Sans Light"/>
                <w:sz w:val="22"/>
                <w:szCs w:val="22"/>
                <w:lang w:val="es-MX"/>
              </w:rPr>
              <w:t>874</w:t>
            </w:r>
          </w:p>
        </w:tc>
      </w:tr>
      <w:tr w:rsidR="00540418" w:rsidRPr="00540418" w:rsidTr="00CF099B">
        <w:trPr>
          <w:cantSplit/>
          <w:jc w:val="center"/>
        </w:trPr>
        <w:tc>
          <w:tcPr>
            <w:tcW w:w="400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lastRenderedPageBreak/>
              <w:t>Efectivo en Bancos- Dependencias</w:t>
            </w:r>
          </w:p>
        </w:tc>
        <w:tc>
          <w:tcPr>
            <w:tcW w:w="154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393"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CF099B">
        <w:trPr>
          <w:cantSplit/>
          <w:jc w:val="center"/>
        </w:trPr>
        <w:tc>
          <w:tcPr>
            <w:tcW w:w="400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54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393"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CF099B">
        <w:trPr>
          <w:cantSplit/>
          <w:jc w:val="center"/>
        </w:trPr>
        <w:tc>
          <w:tcPr>
            <w:tcW w:w="400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54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393"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CF099B">
        <w:trPr>
          <w:cantSplit/>
          <w:jc w:val="center"/>
        </w:trPr>
        <w:tc>
          <w:tcPr>
            <w:tcW w:w="400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545"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393"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CF099B">
        <w:trPr>
          <w:cantSplit/>
          <w:jc w:val="center"/>
        </w:trPr>
        <w:tc>
          <w:tcPr>
            <w:tcW w:w="4000"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545" w:type="dxa"/>
            <w:tcBorders>
              <w:top w:val="single" w:sz="6" w:space="0" w:color="auto"/>
              <w:left w:val="single" w:sz="6" w:space="0" w:color="auto"/>
              <w:bottom w:val="single" w:sz="6" w:space="0" w:color="auto"/>
              <w:right w:val="single" w:sz="6" w:space="0" w:color="auto"/>
            </w:tcBorders>
          </w:tcPr>
          <w:p w:rsidR="00540418" w:rsidRPr="00540418" w:rsidRDefault="00553D2D"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1,998,739</w:t>
            </w:r>
          </w:p>
        </w:tc>
        <w:tc>
          <w:tcPr>
            <w:tcW w:w="1393" w:type="dxa"/>
            <w:tcBorders>
              <w:top w:val="single" w:sz="6" w:space="0" w:color="auto"/>
              <w:left w:val="single" w:sz="6" w:space="0" w:color="auto"/>
              <w:bottom w:val="single" w:sz="6" w:space="0" w:color="auto"/>
              <w:right w:val="single" w:sz="6" w:space="0" w:color="auto"/>
            </w:tcBorders>
          </w:tcPr>
          <w:p w:rsidR="00540418" w:rsidRPr="00540418" w:rsidRDefault="00553D2D"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2,579,874</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53D2D"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53D2D" w:rsidP="004D3E7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53D2D" w:rsidP="00553D2D">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522</w:t>
            </w:r>
            <w:r w:rsidR="00CF099B">
              <w:rPr>
                <w:rFonts w:ascii="Soberana Sans Light" w:hAnsi="Soberana Sans Light"/>
                <w:b/>
                <w:sz w:val="22"/>
                <w:szCs w:val="22"/>
                <w:lang w:val="es-MX"/>
              </w:rPr>
              <w:t>,</w:t>
            </w:r>
            <w:r>
              <w:rPr>
                <w:rFonts w:ascii="Soberana Sans Light" w:hAnsi="Soberana Sans Light"/>
                <w:b/>
                <w:sz w:val="22"/>
                <w:szCs w:val="22"/>
                <w:lang w:val="es-MX"/>
              </w:rPr>
              <w:t>770</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53D2D" w:rsidP="004D3E76">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3,503,645</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D3E76">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40418" w:rsidRPr="00540418" w:rsidRDefault="00540418" w:rsidP="00540418">
      <w:pPr>
        <w:pStyle w:val="Texto"/>
        <w:spacing w:after="0" w:line="240" w:lineRule="exact"/>
        <w:jc w:val="center"/>
        <w:rPr>
          <w:rFonts w:ascii="Soberana Sans Light" w:hAnsi="Soberana Sans Light"/>
          <w:b/>
          <w:smallCaps/>
          <w:sz w:val="22"/>
          <w:szCs w:val="22"/>
          <w:lang w:val="es-MX"/>
        </w:rPr>
      </w:pPr>
    </w:p>
    <w:p w:rsid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C36010" w:rsidP="00B849EE">
      <w:pPr>
        <w:pStyle w:val="Texto"/>
        <w:spacing w:after="0" w:line="240" w:lineRule="exact"/>
        <w:ind w:firstLine="0"/>
        <w:rPr>
          <w:rFonts w:ascii="Soberana Sans Light" w:hAnsi="Soberana Sans Light"/>
          <w:sz w:val="22"/>
          <w:szCs w:val="22"/>
          <w:lang w:val="es-MX"/>
        </w:rPr>
      </w:pPr>
      <w:bookmarkStart w:id="7" w:name="_GoBack"/>
      <w:r>
        <w:rPr>
          <w:noProof/>
        </w:rPr>
        <w:lastRenderedPageBreak/>
        <w:pict>
          <v:shape id="_x0000_s1030" type="#_x0000_t75" style="position:absolute;left:0;text-align:left;margin-left:360.35pt;margin-top:20pt;width:317.45pt;height:198.85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3" o:title=""/>
            <w10:wrap type="topAndBottom"/>
          </v:shape>
          <o:OLEObject Type="Embed" ProgID="Excel.Sheet.12" ShapeID="_x0000_s1030" DrawAspect="Content" ObjectID="_1497640890" r:id="rId24"/>
        </w:pict>
      </w:r>
      <w:bookmarkEnd w:id="7"/>
      <w:r>
        <w:rPr>
          <w:rFonts w:ascii="Soberana Sans Light" w:hAnsi="Soberana Sans Light"/>
          <w:noProof/>
          <w:sz w:val="22"/>
          <w:szCs w:val="22"/>
          <w:lang w:val="es-MX" w:eastAsia="es-MX"/>
        </w:rPr>
        <w:pict>
          <v:shape id="_x0000_s1028" type="#_x0000_t75" style="position:absolute;left:0;text-align:left;margin-left:9.65pt;margin-top:20pt;width:370.1pt;height:155.15pt;z-index:251658240;mso-position-horizontal-relative:text;mso-position-vertical-relative:text;mso-width-relative:page;mso-height-relative:page">
            <v:imagedata r:id="rId25" o:title=""/>
            <w10:wrap type="topAndBottom"/>
          </v:shape>
          <o:OLEObject Type="Embed" ProgID="Excel.Sheet.12" ShapeID="_x0000_s1028" DrawAspect="Content" ObjectID="_1497640891" r:id="rId26"/>
        </w:pi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B849EE" w:rsidRDefault="00B849EE" w:rsidP="00540418">
      <w:pPr>
        <w:pStyle w:val="Texto"/>
        <w:spacing w:after="0" w:line="240" w:lineRule="exact"/>
        <w:jc w:val="center"/>
        <w:rPr>
          <w:rFonts w:ascii="Soberana Sans Light" w:hAnsi="Soberana Sans Light"/>
          <w:b/>
          <w:smallCaps/>
          <w:sz w:val="22"/>
          <w:szCs w:val="22"/>
          <w:lang w:val="es-MX"/>
        </w:rPr>
      </w:pPr>
    </w:p>
    <w:p w:rsidR="00060242" w:rsidRPr="00540418" w:rsidRDefault="00060242" w:rsidP="00540418">
      <w:pPr>
        <w:pStyle w:val="Texto"/>
        <w:spacing w:after="0" w:line="240" w:lineRule="exact"/>
        <w:jc w:val="center"/>
        <w:rPr>
          <w:rFonts w:ascii="Soberana Sans Light" w:hAnsi="Soberana Sans Light"/>
          <w:b/>
          <w:smallCaps/>
          <w:sz w:val="22"/>
          <w:szCs w:val="22"/>
          <w:lang w:val="es-MX"/>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540418" w:rsidRDefault="00540418" w:rsidP="00540418">
      <w:pPr>
        <w:pStyle w:val="Texto"/>
        <w:spacing w:after="0" w:line="240" w:lineRule="exact"/>
        <w:ind w:firstLine="0"/>
        <w:rPr>
          <w:rFonts w:ascii="Soberana Sans Light" w:hAnsi="Soberana Sans Light"/>
          <w:b/>
          <w:sz w:val="22"/>
          <w:szCs w:val="22"/>
          <w:lang w:val="es-MX"/>
        </w:rPr>
      </w:pPr>
    </w:p>
    <w:p w:rsidR="00B849EE" w:rsidRPr="00540418" w:rsidRDefault="00B849EE" w:rsidP="00540418">
      <w:pPr>
        <w:pStyle w:val="Texto"/>
        <w:spacing w:after="0" w:line="240" w:lineRule="exact"/>
        <w:ind w:firstLine="0"/>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540418" w:rsidRDefault="00540418" w:rsidP="00540418">
      <w:pPr>
        <w:pStyle w:val="Texto"/>
        <w:spacing w:after="0" w:line="240" w:lineRule="exact"/>
        <w:rPr>
          <w:rFonts w:ascii="Soberana Sans Light" w:hAnsi="Soberana Sans Light"/>
          <w:sz w:val="22"/>
          <w:szCs w:val="22"/>
          <w:lang w:val="es-MX"/>
        </w:rPr>
      </w:pPr>
    </w:p>
    <w:p w:rsidR="00B849EE" w:rsidRDefault="00B849EE" w:rsidP="00540418">
      <w:pPr>
        <w:pStyle w:val="Texto"/>
        <w:spacing w:after="0" w:line="240" w:lineRule="exact"/>
        <w:rPr>
          <w:rFonts w:ascii="Soberana Sans Light" w:hAnsi="Soberana Sans Light"/>
          <w:sz w:val="22"/>
          <w:szCs w:val="22"/>
          <w:lang w:val="es-MX"/>
        </w:rPr>
      </w:pPr>
    </w:p>
    <w:p w:rsidR="00B849EE" w:rsidRDefault="00B849EE" w:rsidP="00540418">
      <w:pPr>
        <w:pStyle w:val="Texto"/>
        <w:spacing w:after="0" w:line="240" w:lineRule="exact"/>
        <w:rPr>
          <w:rFonts w:ascii="Soberana Sans Light" w:hAnsi="Soberana Sans Light"/>
          <w:sz w:val="22"/>
          <w:szCs w:val="22"/>
          <w:lang w:val="es-MX"/>
        </w:rPr>
      </w:pPr>
    </w:p>
    <w:p w:rsidR="00B849EE" w:rsidRPr="00540418" w:rsidRDefault="00B849EE"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540418" w:rsidRPr="00540418" w:rsidRDefault="00540418" w:rsidP="00540418">
      <w:pPr>
        <w:pStyle w:val="Texto"/>
        <w:spacing w:after="0" w:line="240" w:lineRule="exact"/>
        <w:rPr>
          <w:rFonts w:ascii="Soberana Sans Light" w:hAnsi="Soberana Sans Light"/>
          <w:b/>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lastRenderedPageBreak/>
        <w:tab/>
        <w:t>Avales y garantías</w:t>
      </w:r>
    </w:p>
    <w:p w:rsidR="00540418" w:rsidRDefault="00540418" w:rsidP="003A0303">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001107"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w:t>
      </w:r>
      <w:proofErr w:type="spellStart"/>
      <w:r>
        <w:rPr>
          <w:rFonts w:ascii="Soberana Sans Light" w:hAnsi="Soberana Sans Light"/>
          <w:sz w:val="22"/>
          <w:szCs w:val="22"/>
        </w:rPr>
        <w:t>PPS</w:t>
      </w:r>
      <w:proofErr w:type="spellEnd"/>
      <w:r>
        <w:rPr>
          <w:rFonts w:ascii="Soberana Sans Light" w:hAnsi="Soberana Sans Light"/>
          <w:sz w:val="22"/>
          <w:szCs w:val="22"/>
        </w:rPr>
        <w:t>) y Similares</w:t>
      </w:r>
    </w:p>
    <w:p w:rsidR="00001107" w:rsidRPr="00540418"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p>
    <w:p w:rsidR="00540418" w:rsidRDefault="00540418" w:rsidP="00540418">
      <w:pPr>
        <w:pStyle w:val="Texto"/>
        <w:spacing w:after="0" w:line="240" w:lineRule="exact"/>
        <w:rPr>
          <w:rFonts w:ascii="Soberana Sans Light" w:hAnsi="Soberana Sans Light"/>
          <w:sz w:val="22"/>
          <w:szCs w:val="22"/>
        </w:rPr>
      </w:pPr>
    </w:p>
    <w:p w:rsidR="00060242" w:rsidRPr="00540418" w:rsidRDefault="00060242"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540418" w:rsidRPr="00540418"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540418">
      <w:pPr>
        <w:pStyle w:val="Texto"/>
        <w:spacing w:after="0" w:line="240" w:lineRule="exact"/>
        <w:rPr>
          <w:rFonts w:ascii="Soberana Sans Light" w:hAnsi="Soberana Sans Light"/>
          <w:sz w:val="22"/>
          <w:szCs w:val="22"/>
        </w:rPr>
      </w:pPr>
    </w:p>
    <w:p w:rsidR="00522EF3" w:rsidRPr="00540418" w:rsidRDefault="00522EF3"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4.</w:t>
      </w:r>
      <w:r w:rsidRPr="00540418">
        <w:rPr>
          <w:rFonts w:ascii="Soberana Sans Light" w:hAnsi="Soberana Sans Light"/>
          <w:b/>
          <w:sz w:val="22"/>
          <w:szCs w:val="22"/>
          <w:lang w:val="es-MX"/>
        </w:rPr>
        <w:tab/>
        <w:t>Organización y Objeto Social</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 revelar el tipo de contribuciones que esté obligado a pagar o retener.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540418" w:rsidRPr="00540418" w:rsidRDefault="003A0303" w:rsidP="003A0303">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00540418" w:rsidRPr="00540418">
        <w:rPr>
          <w:rFonts w:ascii="Soberana Sans Light" w:hAnsi="Soberana Sans Light"/>
          <w:sz w:val="22"/>
          <w:szCs w:val="22"/>
        </w:rPr>
        <w:t>Fideicomisos, mandatos y análogos de los cuales es fideicomitente o fiduciario</w:t>
      </w: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Si se ha observado la normatividad emitida por el </w:t>
      </w:r>
      <w:proofErr w:type="spellStart"/>
      <w:r w:rsidRPr="00540418">
        <w:rPr>
          <w:rFonts w:ascii="Soberana Sans Light" w:hAnsi="Soberana Sans Light"/>
          <w:sz w:val="22"/>
          <w:szCs w:val="22"/>
        </w:rPr>
        <w:t>CONAC</w:t>
      </w:r>
      <w:proofErr w:type="spellEnd"/>
      <w:r w:rsidRPr="00540418">
        <w:rPr>
          <w:rFonts w:ascii="Soberana Sans Light" w:hAnsi="Soberana Sans Light"/>
          <w:sz w:val="22"/>
          <w:szCs w:val="22"/>
        </w:rPr>
        <w:t xml:space="preserve"> y las disposiciones legales aplicables.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sidR="003A0303">
        <w:rPr>
          <w:rFonts w:ascii="Soberana Sans Light" w:hAnsi="Soberana Sans Light"/>
          <w:sz w:val="22"/>
          <w:szCs w:val="22"/>
        </w:rPr>
        <w:t>ación razonable correspondiente</w:t>
      </w:r>
      <w:r w:rsidRPr="00540418">
        <w:rPr>
          <w:rFonts w:ascii="Soberana Sans Light" w:hAnsi="Soberana Sans Light"/>
          <w:sz w:val="22"/>
          <w:szCs w:val="22"/>
        </w:rPr>
        <w:t>.</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proofErr w:type="gramStart"/>
      <w:r w:rsidRPr="00540418">
        <w:rPr>
          <w:rFonts w:ascii="Soberana Sans Light" w:hAnsi="Soberana Sans Light"/>
          <w:sz w:val="22"/>
          <w:szCs w:val="22"/>
        </w:rPr>
        <w:t>devengado</w:t>
      </w:r>
      <w:proofErr w:type="gramEnd"/>
      <w:r w:rsidRPr="00540418">
        <w:rPr>
          <w:rFonts w:ascii="Soberana Sans Light" w:hAnsi="Soberana Sans Light"/>
          <w:sz w:val="22"/>
          <w:szCs w:val="22"/>
        </w:rPr>
        <w:t>.</w:t>
      </w:r>
    </w:p>
    <w:p w:rsidR="00540418" w:rsidRPr="00540418" w:rsidRDefault="00540418" w:rsidP="00540418">
      <w:pPr>
        <w:pStyle w:val="Texto"/>
        <w:spacing w:after="0" w:line="240" w:lineRule="exact"/>
        <w:ind w:left="1440" w:hanging="36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sidR="003A0303">
        <w:rPr>
          <w:rFonts w:ascii="Soberana Sans Light" w:hAnsi="Soberana Sans Light"/>
          <w:sz w:val="22"/>
          <w:szCs w:val="22"/>
        </w:rPr>
        <w:t>en el Sector Paraestatal</w:t>
      </w:r>
      <w:r w:rsidRPr="00540418">
        <w:rPr>
          <w:rFonts w:ascii="Soberana Sans Light" w:hAnsi="Soberana Sans Light"/>
          <w:sz w:val="22"/>
          <w:szCs w:val="22"/>
        </w:rPr>
        <w:t>.</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j)</w:t>
      </w:r>
      <w:r w:rsidRPr="00540418">
        <w:rPr>
          <w:rFonts w:ascii="Soberana Sans Light" w:hAnsi="Soberana Sans Light"/>
          <w:sz w:val="22"/>
          <w:szCs w:val="22"/>
        </w:rPr>
        <w:tab/>
        <w:t>Depuración y cancelación de saldos.</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r w:rsidR="00907F5D">
        <w:rPr>
          <w:rFonts w:ascii="Soberana Sans Light" w:hAnsi="Soberana Sans Light"/>
          <w:b/>
          <w:sz w:val="22"/>
          <w:szCs w:val="22"/>
          <w:lang w:val="es-MX"/>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sidR="003A0303">
        <w:rPr>
          <w:rFonts w:ascii="Soberana Sans Light" w:hAnsi="Soberana Sans Light"/>
          <w:sz w:val="22"/>
          <w:szCs w:val="22"/>
        </w:rPr>
        <w:t>o de o</w:t>
      </w:r>
      <w:r w:rsidRPr="00540418">
        <w:rPr>
          <w:rFonts w:ascii="Soberana Sans Light" w:hAnsi="Soberana Sans Light"/>
          <w:sz w:val="22"/>
          <w:szCs w:val="22"/>
        </w:rPr>
        <w:t>rganismos descentralizados.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r w:rsidR="008260A1">
        <w:rPr>
          <w:rFonts w:ascii="Soberana Sans Light" w:hAnsi="Soberana Sans Light"/>
          <w:b/>
          <w:sz w:val="22"/>
          <w:szCs w:val="22"/>
          <w:lang w:val="es-MX"/>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sidR="003A0303">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r w:rsidR="00907F5D">
        <w:rPr>
          <w:rFonts w:ascii="Soberana Sans Light" w:hAnsi="Soberana Sans Light"/>
          <w:b/>
          <w:sz w:val="22"/>
          <w:szCs w:val="22"/>
          <w:lang w:val="es-MX"/>
        </w:rPr>
        <w:t xml:space="preserve">            </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540418" w:rsidRPr="00540418" w:rsidRDefault="00540418" w:rsidP="00540418">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540418" w:rsidRPr="00540418" w:rsidRDefault="00540418" w:rsidP="00540418">
      <w:pPr>
        <w:pStyle w:val="INCIS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Principales Políticas de control interno</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540418" w:rsidRDefault="00540418" w:rsidP="00540418">
      <w:pPr>
        <w:pStyle w:val="Texto"/>
        <w:spacing w:after="0" w:line="240" w:lineRule="exact"/>
        <w:ind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r w:rsidR="008260A1">
        <w:rPr>
          <w:rFonts w:ascii="Soberana Sans Light" w:hAnsi="Soberana Sans Light"/>
          <w:b/>
          <w:sz w:val="22"/>
          <w:szCs w:val="22"/>
          <w:lang w:val="es-MX"/>
        </w:rPr>
        <w:t xml:space="preserve">                             NO APLICA</w:t>
      </w: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001107" w:rsidRDefault="00001107" w:rsidP="00540418">
      <w:pPr>
        <w:pStyle w:val="Texto"/>
        <w:spacing w:after="0" w:line="240" w:lineRule="exact"/>
        <w:rPr>
          <w:rFonts w:ascii="Soberana Sans Light" w:hAnsi="Soberana Sans Light"/>
          <w:sz w:val="22"/>
          <w:szCs w:val="22"/>
        </w:rPr>
      </w:pPr>
    </w:p>
    <w:p w:rsidR="00574266" w:rsidRPr="00574266" w:rsidRDefault="00574266" w:rsidP="00574266">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001107" w:rsidRDefault="00574266" w:rsidP="009827A0">
      <w:pPr>
        <w:pStyle w:val="Texto"/>
        <w:spacing w:line="240" w:lineRule="auto"/>
        <w:rPr>
          <w:rFonts w:ascii="Soberana Sans Light" w:hAnsi="Soberana Sans Light"/>
          <w:sz w:val="22"/>
          <w:szCs w:val="22"/>
        </w:rPr>
      </w:pPr>
      <w:r w:rsidRPr="00574266">
        <w:rPr>
          <w:rFonts w:ascii="Soberana Sans Light" w:hAnsi="Soberana Sans Light"/>
          <w:sz w:val="22"/>
          <w:szCs w:val="22"/>
        </w:rPr>
        <w:lastRenderedPageBreak/>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9E3BC5" w:rsidRDefault="009E3BC5" w:rsidP="009827A0">
      <w:pPr>
        <w:pStyle w:val="Texto"/>
        <w:spacing w:line="240" w:lineRule="auto"/>
        <w:rPr>
          <w:rFonts w:ascii="Soberana Sans Light" w:hAnsi="Soberana Sans Light"/>
          <w:sz w:val="22"/>
          <w:szCs w:val="22"/>
        </w:rPr>
      </w:pPr>
    </w:p>
    <w:p w:rsidR="009E3BC5" w:rsidRDefault="009E3BC5" w:rsidP="009827A0">
      <w:pPr>
        <w:pStyle w:val="Texto"/>
        <w:spacing w:line="240" w:lineRule="auto"/>
        <w:rPr>
          <w:rFonts w:ascii="Soberana Sans Light" w:hAnsi="Soberana Sans Light"/>
          <w:sz w:val="22"/>
          <w:szCs w:val="22"/>
        </w:rPr>
      </w:pPr>
    </w:p>
    <w:p w:rsidR="009E3BC5" w:rsidRDefault="009E3BC5" w:rsidP="009827A0">
      <w:pPr>
        <w:pStyle w:val="Texto"/>
        <w:spacing w:line="240" w:lineRule="auto"/>
        <w:rPr>
          <w:rFonts w:ascii="Soberana Sans Light" w:hAnsi="Soberana Sans Light"/>
          <w:sz w:val="22"/>
          <w:szCs w:val="22"/>
        </w:rPr>
      </w:pPr>
    </w:p>
    <w:p w:rsidR="009E3BC5" w:rsidRDefault="009E3BC5" w:rsidP="009E3BC5">
      <w:pPr>
        <w:pStyle w:val="Texto"/>
        <w:spacing w:line="240" w:lineRule="auto"/>
        <w:ind w:firstLine="0"/>
        <w:rPr>
          <w:rFonts w:ascii="Soberana Sans Light" w:hAnsi="Soberana Sans Light"/>
          <w:sz w:val="22"/>
          <w:szCs w:val="22"/>
        </w:rPr>
      </w:pPr>
    </w:p>
    <w:p w:rsidR="00001107" w:rsidRDefault="00C36010" w:rsidP="00540418">
      <w:pPr>
        <w:pStyle w:val="Texto"/>
        <w:spacing w:after="0" w:line="240" w:lineRule="exact"/>
        <w:rPr>
          <w:rFonts w:ascii="Soberana Sans Light" w:hAnsi="Soberana Sans Light"/>
          <w:sz w:val="22"/>
          <w:szCs w:val="22"/>
        </w:rPr>
      </w:pPr>
      <w:r>
        <w:rPr>
          <w:rFonts w:ascii="Soberana Sans Light" w:hAnsi="Soberana Sans Light"/>
          <w:noProof/>
        </w:rPr>
        <w:pict>
          <v:shape id="_x0000_s1038" type="#_x0000_t75" style="position:absolute;left:0;text-align:left;margin-left:3.75pt;margin-top:5.85pt;width:632.7pt;height:61.7pt;z-index:251662336;mso-position-horizontal-relative:text;mso-position-vertical-relative:text;mso-width-relative:page;mso-height-relative:page">
            <v:imagedata r:id="rId27" o:title=""/>
            <w10:wrap type="topAndBottom"/>
          </v:shape>
          <o:OLEObject Type="Embed" ProgID="Excel.Sheet.12" ShapeID="_x0000_s1038" DrawAspect="Content" ObjectID="_1497640892" r:id="rId28"/>
        </w:pic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540418">
      <w:pPr>
        <w:pStyle w:val="Texto"/>
        <w:spacing w:after="0" w:line="240" w:lineRule="exact"/>
        <w:rPr>
          <w:rFonts w:ascii="Soberana Sans Light" w:hAnsi="Soberana Sans Light"/>
          <w:sz w:val="22"/>
          <w:szCs w:val="22"/>
        </w:rPr>
      </w:pPr>
    </w:p>
    <w:sectPr w:rsidR="004311BE" w:rsidRPr="00540418"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10" w:rsidRDefault="00C36010" w:rsidP="00EA5418">
      <w:pPr>
        <w:spacing w:after="0" w:line="240" w:lineRule="auto"/>
      </w:pPr>
      <w:r>
        <w:separator/>
      </w:r>
    </w:p>
  </w:endnote>
  <w:endnote w:type="continuationSeparator" w:id="0">
    <w:p w:rsidR="00C36010" w:rsidRDefault="00C3601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E3435" w:rsidRPr="005E3435">
          <w:rPr>
            <w:rFonts w:ascii="Soberana Sans Light" w:hAnsi="Soberana Sans Light"/>
            <w:noProof/>
            <w:lang w:val="es-ES"/>
          </w:rPr>
          <w:t>16</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E3435" w:rsidRPr="005E3435">
          <w:rPr>
            <w:rFonts w:ascii="Soberana Sans Light" w:hAnsi="Soberana Sans Light"/>
            <w:noProof/>
            <w:lang w:val="es-ES"/>
          </w:rPr>
          <w:t>17</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10" w:rsidRDefault="00C36010" w:rsidP="00EA5418">
      <w:pPr>
        <w:spacing w:after="0" w:line="240" w:lineRule="auto"/>
      </w:pPr>
      <w:r>
        <w:separator/>
      </w:r>
    </w:p>
  </w:footnote>
  <w:footnote w:type="continuationSeparator" w:id="0">
    <w:p w:rsidR="00C36010" w:rsidRDefault="00C3601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170A">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170A">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A8C3F87" wp14:editId="016DFEDB">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FD5A6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60242"/>
    <w:rsid w:val="001273BD"/>
    <w:rsid w:val="0013011C"/>
    <w:rsid w:val="00160D40"/>
    <w:rsid w:val="00165BB4"/>
    <w:rsid w:val="001B1B72"/>
    <w:rsid w:val="001B4D37"/>
    <w:rsid w:val="001C6FD8"/>
    <w:rsid w:val="001E7072"/>
    <w:rsid w:val="00204C86"/>
    <w:rsid w:val="00264426"/>
    <w:rsid w:val="002A4EBC"/>
    <w:rsid w:val="002A70B3"/>
    <w:rsid w:val="00372F40"/>
    <w:rsid w:val="003846AC"/>
    <w:rsid w:val="00396C2B"/>
    <w:rsid w:val="003A0303"/>
    <w:rsid w:val="003D5DBF"/>
    <w:rsid w:val="003E7FD0"/>
    <w:rsid w:val="003F0EA4"/>
    <w:rsid w:val="004311BE"/>
    <w:rsid w:val="0044253C"/>
    <w:rsid w:val="00450B89"/>
    <w:rsid w:val="00466A17"/>
    <w:rsid w:val="004714CF"/>
    <w:rsid w:val="00484C0D"/>
    <w:rsid w:val="00497D8B"/>
    <w:rsid w:val="004C5CE5"/>
    <w:rsid w:val="004D41B8"/>
    <w:rsid w:val="004F5641"/>
    <w:rsid w:val="00522632"/>
    <w:rsid w:val="00522EF3"/>
    <w:rsid w:val="00540418"/>
    <w:rsid w:val="00553D2D"/>
    <w:rsid w:val="00574266"/>
    <w:rsid w:val="005A631B"/>
    <w:rsid w:val="005B7953"/>
    <w:rsid w:val="005D3D25"/>
    <w:rsid w:val="005E3435"/>
    <w:rsid w:val="00625757"/>
    <w:rsid w:val="00641D9A"/>
    <w:rsid w:val="00690EDF"/>
    <w:rsid w:val="006B1FE7"/>
    <w:rsid w:val="006B5CB0"/>
    <w:rsid w:val="006E77DD"/>
    <w:rsid w:val="00704947"/>
    <w:rsid w:val="00712BA8"/>
    <w:rsid w:val="00750C96"/>
    <w:rsid w:val="0079582C"/>
    <w:rsid w:val="007A09E1"/>
    <w:rsid w:val="007D6E9A"/>
    <w:rsid w:val="00811DAC"/>
    <w:rsid w:val="008260A1"/>
    <w:rsid w:val="008777DA"/>
    <w:rsid w:val="0089054E"/>
    <w:rsid w:val="008A6E4D"/>
    <w:rsid w:val="008A793D"/>
    <w:rsid w:val="008B0017"/>
    <w:rsid w:val="008E3652"/>
    <w:rsid w:val="008F6D58"/>
    <w:rsid w:val="00907F5D"/>
    <w:rsid w:val="0093492C"/>
    <w:rsid w:val="00957043"/>
    <w:rsid w:val="00960A0A"/>
    <w:rsid w:val="0098009A"/>
    <w:rsid w:val="009827A0"/>
    <w:rsid w:val="009C170A"/>
    <w:rsid w:val="009D3FE3"/>
    <w:rsid w:val="009D5D4C"/>
    <w:rsid w:val="009E3BC5"/>
    <w:rsid w:val="009F23C4"/>
    <w:rsid w:val="00A363B6"/>
    <w:rsid w:val="00A46BF5"/>
    <w:rsid w:val="00A535A3"/>
    <w:rsid w:val="00B146E2"/>
    <w:rsid w:val="00B361AB"/>
    <w:rsid w:val="00B849EE"/>
    <w:rsid w:val="00B84D02"/>
    <w:rsid w:val="00BA2940"/>
    <w:rsid w:val="00BF54EF"/>
    <w:rsid w:val="00C16E53"/>
    <w:rsid w:val="00C36010"/>
    <w:rsid w:val="00C431B4"/>
    <w:rsid w:val="00C43EFA"/>
    <w:rsid w:val="00C86C59"/>
    <w:rsid w:val="00C91C5A"/>
    <w:rsid w:val="00CB27FA"/>
    <w:rsid w:val="00CD6D9A"/>
    <w:rsid w:val="00CF099B"/>
    <w:rsid w:val="00D00E92"/>
    <w:rsid w:val="00D055EC"/>
    <w:rsid w:val="00D33976"/>
    <w:rsid w:val="00D44728"/>
    <w:rsid w:val="00D47595"/>
    <w:rsid w:val="00D562FF"/>
    <w:rsid w:val="00DF56C9"/>
    <w:rsid w:val="00E204CF"/>
    <w:rsid w:val="00E30318"/>
    <w:rsid w:val="00E32708"/>
    <w:rsid w:val="00E73249"/>
    <w:rsid w:val="00EA5418"/>
    <w:rsid w:val="00EE46FB"/>
    <w:rsid w:val="00F11393"/>
    <w:rsid w:val="00F17C0D"/>
    <w:rsid w:val="00F70699"/>
    <w:rsid w:val="00F755D0"/>
    <w:rsid w:val="00FB1010"/>
    <w:rsid w:val="00FB48AD"/>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26C39-7CCE-4B7E-8B32-319A4806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18</Pages>
  <Words>2737</Words>
  <Characters>15056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Nestor</cp:lastModifiedBy>
  <cp:revision>37</cp:revision>
  <cp:lastPrinted>2014-12-29T16:55:00Z</cp:lastPrinted>
  <dcterms:created xsi:type="dcterms:W3CDTF">2014-08-29T13:13:00Z</dcterms:created>
  <dcterms:modified xsi:type="dcterms:W3CDTF">2015-07-06T03:35:00Z</dcterms:modified>
</cp:coreProperties>
</file>