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E5" w:rsidRPr="008650FE" w:rsidRDefault="003F0EE5" w:rsidP="003F0EE5">
      <w:pPr>
        <w:jc w:val="center"/>
        <w:rPr>
          <w:rFonts w:ascii="Arial" w:hAnsi="Arial" w:cs="Arial"/>
          <w:b/>
          <w:sz w:val="18"/>
          <w:szCs w:val="18"/>
        </w:rPr>
      </w:pPr>
      <w:r w:rsidRPr="008650FE">
        <w:rPr>
          <w:rFonts w:ascii="Arial" w:hAnsi="Arial" w:cs="Arial"/>
          <w:b/>
          <w:sz w:val="18"/>
          <w:szCs w:val="18"/>
        </w:rPr>
        <w:t>INTRODUCCIÓN</w:t>
      </w:r>
    </w:p>
    <w:p w:rsidR="003F0EE5" w:rsidRPr="00DB563E" w:rsidRDefault="003F0EE5" w:rsidP="003F0EE5">
      <w:pPr>
        <w:spacing w:after="0"/>
        <w:jc w:val="both"/>
        <w:rPr>
          <w:rFonts w:ascii="Arial" w:eastAsia="Times New Roman" w:hAnsi="Arial" w:cs="Arial"/>
          <w:sz w:val="18"/>
          <w:szCs w:val="18"/>
          <w:lang w:eastAsia="es-MX"/>
        </w:rPr>
      </w:pPr>
    </w:p>
    <w:p w:rsidR="003F0EE5" w:rsidRPr="00DB563E" w:rsidRDefault="003F0EE5" w:rsidP="003F0EE5">
      <w:pPr>
        <w:spacing w:after="0"/>
        <w:jc w:val="both"/>
        <w:rPr>
          <w:rFonts w:ascii="Arial" w:eastAsia="Times New Roman" w:hAnsi="Arial" w:cs="Arial"/>
          <w:sz w:val="18"/>
          <w:szCs w:val="18"/>
          <w:lang w:eastAsia="es-MX"/>
        </w:rPr>
      </w:pPr>
      <w:r w:rsidRPr="00DB563E">
        <w:rPr>
          <w:rFonts w:ascii="Arial" w:eastAsia="Times New Roman" w:hAnsi="Arial" w:cs="Arial"/>
          <w:sz w:val="18"/>
          <w:szCs w:val="18"/>
          <w:lang w:eastAsia="es-MX"/>
        </w:rPr>
        <w:t xml:space="preserve">La Comisión Estatal de Derechos Humanos es un organismo  autónomo, con personalidad jurídica y patrimonio propio, cuya finalidad es la protección, observancia, promoción, estudio y divulgación de los derechos humanos. </w:t>
      </w:r>
    </w:p>
    <w:p w:rsidR="003F0EE5" w:rsidRPr="00DB563E" w:rsidRDefault="003F0EE5" w:rsidP="003F0EE5">
      <w:pPr>
        <w:spacing w:after="0"/>
        <w:jc w:val="both"/>
        <w:rPr>
          <w:rFonts w:ascii="Arial" w:eastAsia="Times New Roman" w:hAnsi="Arial" w:cs="Arial"/>
          <w:sz w:val="18"/>
          <w:szCs w:val="18"/>
          <w:lang w:eastAsia="es-MX"/>
        </w:rPr>
      </w:pPr>
    </w:p>
    <w:p w:rsidR="003F0EE5" w:rsidRPr="00DB563E" w:rsidRDefault="003F0EE5" w:rsidP="003F0EE5">
      <w:pPr>
        <w:spacing w:after="0"/>
        <w:jc w:val="both"/>
        <w:rPr>
          <w:rFonts w:ascii="Arial" w:hAnsi="Arial" w:cs="Arial"/>
          <w:sz w:val="18"/>
          <w:szCs w:val="18"/>
        </w:rPr>
      </w:pPr>
      <w:r w:rsidRPr="00DB563E">
        <w:rPr>
          <w:rFonts w:ascii="Arial" w:eastAsia="Times New Roman" w:hAnsi="Arial" w:cs="Arial"/>
          <w:sz w:val="18"/>
          <w:szCs w:val="18"/>
          <w:lang w:eastAsia="es-MX"/>
        </w:rPr>
        <w:t xml:space="preserve">En el marco de la armonización contable y en cumplimiento al artículo  </w:t>
      </w:r>
      <w:r w:rsidR="0028640E">
        <w:rPr>
          <w:rFonts w:ascii="Arial" w:eastAsia="Times New Roman" w:hAnsi="Arial" w:cs="Arial"/>
          <w:sz w:val="18"/>
          <w:szCs w:val="18"/>
          <w:lang w:eastAsia="es-MX"/>
        </w:rPr>
        <w:t xml:space="preserve">51, </w:t>
      </w:r>
      <w:r w:rsidRPr="00DB563E">
        <w:rPr>
          <w:rFonts w:ascii="Arial" w:eastAsia="Times New Roman" w:hAnsi="Arial" w:cs="Arial"/>
          <w:sz w:val="18"/>
          <w:szCs w:val="18"/>
          <w:lang w:eastAsia="es-MX"/>
        </w:rPr>
        <w:t xml:space="preserve">52 y 53 de la Ley de Contabilidad Gubernamental </w:t>
      </w:r>
      <w:r w:rsidRPr="00DB563E">
        <w:rPr>
          <w:rFonts w:ascii="Arial" w:hAnsi="Arial" w:cs="Arial"/>
          <w:sz w:val="18"/>
          <w:szCs w:val="18"/>
        </w:rPr>
        <w:t xml:space="preserve">y al acuerdo por el que se armoniza la estructura de las cuentas públicas, emitido por el Consejo de Armonización Contable y publicado en el Diario Oficial de la Federación el 30 de diciembre de 2013, en razón de lo anterior la Comisión Estatal de Derechos Humanos del Estado de Tlaxcala expone la Cuenta Pública del tercer trimestre comprendido por el periodo (julio- septiembre) del ejercicio 2015 con la siguiente estructura:  </w:t>
      </w:r>
    </w:p>
    <w:p w:rsidR="003F0EE5" w:rsidRDefault="003F0EE5" w:rsidP="003F0EE5">
      <w:pPr>
        <w:spacing w:after="0"/>
        <w:jc w:val="both"/>
        <w:rPr>
          <w:rFonts w:ascii="Arial" w:hAnsi="Arial" w:cs="Arial"/>
          <w:sz w:val="18"/>
          <w:szCs w:val="18"/>
        </w:rPr>
      </w:pPr>
    </w:p>
    <w:p w:rsidR="003F0EE5" w:rsidRPr="00D41481" w:rsidRDefault="003F0EE5" w:rsidP="003F0EE5">
      <w:pPr>
        <w:spacing w:after="0"/>
        <w:jc w:val="both"/>
        <w:rPr>
          <w:rFonts w:ascii="Arial" w:hAnsi="Arial" w:cs="Arial"/>
          <w:sz w:val="18"/>
          <w:szCs w:val="18"/>
        </w:rPr>
      </w:pPr>
    </w:p>
    <w:p w:rsidR="003F0EE5" w:rsidRPr="00D41481" w:rsidRDefault="003F0EE5" w:rsidP="003F0EE5">
      <w:pPr>
        <w:spacing w:after="0"/>
        <w:jc w:val="both"/>
        <w:rPr>
          <w:rFonts w:ascii="Arial" w:hAnsi="Arial" w:cs="Arial"/>
          <w:b/>
          <w:sz w:val="18"/>
          <w:szCs w:val="18"/>
        </w:rPr>
      </w:pPr>
      <w:r w:rsidRPr="00D41481">
        <w:rPr>
          <w:rFonts w:ascii="Arial" w:hAnsi="Arial" w:cs="Arial"/>
          <w:b/>
          <w:sz w:val="18"/>
          <w:szCs w:val="18"/>
        </w:rPr>
        <w:t xml:space="preserve">I. INTRODUCCIÓN </w:t>
      </w:r>
    </w:p>
    <w:p w:rsidR="003F0EE5" w:rsidRPr="00D41481" w:rsidRDefault="003F0EE5" w:rsidP="003F0EE5">
      <w:pPr>
        <w:spacing w:after="0"/>
        <w:jc w:val="both"/>
        <w:rPr>
          <w:rFonts w:ascii="Arial" w:hAnsi="Arial" w:cs="Arial"/>
          <w:sz w:val="18"/>
          <w:szCs w:val="18"/>
        </w:rPr>
      </w:pPr>
    </w:p>
    <w:p w:rsidR="003F0EE5" w:rsidRPr="00D41481" w:rsidRDefault="003F0EE5" w:rsidP="003F0EE5">
      <w:pPr>
        <w:spacing w:after="0"/>
        <w:jc w:val="both"/>
        <w:rPr>
          <w:rFonts w:ascii="Arial" w:hAnsi="Arial" w:cs="Arial"/>
          <w:b/>
          <w:sz w:val="18"/>
          <w:szCs w:val="18"/>
        </w:rPr>
      </w:pPr>
      <w:r w:rsidRPr="00D41481">
        <w:rPr>
          <w:rFonts w:ascii="Arial" w:hAnsi="Arial" w:cs="Arial"/>
          <w:b/>
          <w:sz w:val="18"/>
          <w:szCs w:val="18"/>
        </w:rPr>
        <w:t xml:space="preserve">II. INFORMACIÓN CONTABLE </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 xml:space="preserve">Estado de actividades </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situación financiera</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cambios en la situación financiera</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analítico del activo</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analítico de la deuda y otros pasivos</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de variación de la hacienda publica</w:t>
      </w:r>
    </w:p>
    <w:p w:rsidR="003F0EE5" w:rsidRPr="00D41481" w:rsidRDefault="003F0EE5" w:rsidP="003F0EE5">
      <w:pPr>
        <w:pStyle w:val="Prrafodelista"/>
        <w:numPr>
          <w:ilvl w:val="0"/>
          <w:numId w:val="5"/>
        </w:numPr>
        <w:spacing w:after="0"/>
        <w:jc w:val="both"/>
        <w:rPr>
          <w:rFonts w:ascii="Arial" w:hAnsi="Arial" w:cs="Arial"/>
          <w:sz w:val="18"/>
          <w:szCs w:val="18"/>
        </w:rPr>
      </w:pPr>
      <w:r w:rsidRPr="00D41481">
        <w:rPr>
          <w:rFonts w:ascii="Arial" w:hAnsi="Arial" w:cs="Arial"/>
          <w:sz w:val="18"/>
          <w:szCs w:val="18"/>
        </w:rPr>
        <w:t>Estado flujos de efectivo</w:t>
      </w:r>
    </w:p>
    <w:p w:rsidR="003F0EE5" w:rsidRPr="00D41481" w:rsidRDefault="003F0EE5" w:rsidP="003F0EE5">
      <w:pPr>
        <w:pStyle w:val="Prrafodelista"/>
        <w:numPr>
          <w:ilvl w:val="0"/>
          <w:numId w:val="6"/>
        </w:numPr>
        <w:spacing w:after="0"/>
        <w:jc w:val="both"/>
        <w:rPr>
          <w:rFonts w:ascii="Arial" w:hAnsi="Arial" w:cs="Arial"/>
          <w:sz w:val="18"/>
          <w:szCs w:val="18"/>
        </w:rPr>
      </w:pPr>
      <w:r w:rsidRPr="00D41481">
        <w:rPr>
          <w:rFonts w:ascii="Arial" w:hAnsi="Arial" w:cs="Arial"/>
          <w:sz w:val="18"/>
          <w:szCs w:val="18"/>
        </w:rPr>
        <w:t>Informe de pasivos contingentes</w:t>
      </w:r>
    </w:p>
    <w:p w:rsidR="003F0EE5" w:rsidRPr="00D41481" w:rsidRDefault="003F0EE5" w:rsidP="003F0EE5">
      <w:pPr>
        <w:pStyle w:val="Prrafodelista"/>
        <w:numPr>
          <w:ilvl w:val="0"/>
          <w:numId w:val="6"/>
        </w:numPr>
        <w:spacing w:after="0"/>
        <w:jc w:val="both"/>
        <w:rPr>
          <w:rFonts w:ascii="Arial" w:hAnsi="Arial" w:cs="Arial"/>
          <w:sz w:val="18"/>
          <w:szCs w:val="18"/>
        </w:rPr>
      </w:pPr>
      <w:r w:rsidRPr="00D41481">
        <w:rPr>
          <w:rFonts w:ascii="Arial" w:hAnsi="Arial" w:cs="Arial"/>
          <w:sz w:val="18"/>
          <w:szCs w:val="18"/>
        </w:rPr>
        <w:t xml:space="preserve">Notas a los estados financieros </w:t>
      </w:r>
    </w:p>
    <w:p w:rsidR="003F0EE5" w:rsidRPr="00D41481" w:rsidRDefault="003F0EE5" w:rsidP="003F0EE5">
      <w:pPr>
        <w:pStyle w:val="Prrafodelista"/>
        <w:numPr>
          <w:ilvl w:val="0"/>
          <w:numId w:val="7"/>
        </w:numPr>
        <w:spacing w:after="0"/>
        <w:jc w:val="both"/>
        <w:rPr>
          <w:rFonts w:ascii="Arial" w:hAnsi="Arial" w:cs="Arial"/>
          <w:sz w:val="18"/>
          <w:szCs w:val="18"/>
        </w:rPr>
      </w:pPr>
      <w:r w:rsidRPr="00D41481">
        <w:rPr>
          <w:rFonts w:ascii="Arial" w:hAnsi="Arial" w:cs="Arial"/>
          <w:sz w:val="18"/>
          <w:szCs w:val="18"/>
        </w:rPr>
        <w:t xml:space="preserve">Notas de desglose </w:t>
      </w:r>
    </w:p>
    <w:p w:rsidR="003F0EE5" w:rsidRPr="00D41481" w:rsidRDefault="003F0EE5" w:rsidP="003F0EE5">
      <w:pPr>
        <w:pStyle w:val="Prrafodelista"/>
        <w:numPr>
          <w:ilvl w:val="0"/>
          <w:numId w:val="7"/>
        </w:numPr>
        <w:spacing w:after="0"/>
        <w:jc w:val="both"/>
        <w:rPr>
          <w:rFonts w:ascii="Arial" w:hAnsi="Arial" w:cs="Arial"/>
          <w:sz w:val="18"/>
          <w:szCs w:val="18"/>
        </w:rPr>
      </w:pPr>
      <w:r w:rsidRPr="00D41481">
        <w:rPr>
          <w:rFonts w:ascii="Arial" w:hAnsi="Arial" w:cs="Arial"/>
          <w:sz w:val="18"/>
          <w:szCs w:val="18"/>
        </w:rPr>
        <w:t>Notas de memoria (cuentas de orden)</w:t>
      </w:r>
    </w:p>
    <w:p w:rsidR="003F0EE5" w:rsidRPr="00D41481" w:rsidRDefault="003F0EE5" w:rsidP="003F0EE5">
      <w:pPr>
        <w:pStyle w:val="Prrafodelista"/>
        <w:numPr>
          <w:ilvl w:val="0"/>
          <w:numId w:val="7"/>
        </w:numPr>
        <w:spacing w:after="0"/>
        <w:jc w:val="both"/>
        <w:rPr>
          <w:rFonts w:ascii="Arial" w:hAnsi="Arial" w:cs="Arial"/>
          <w:sz w:val="18"/>
          <w:szCs w:val="18"/>
        </w:rPr>
      </w:pPr>
      <w:r w:rsidRPr="00D41481">
        <w:rPr>
          <w:rFonts w:ascii="Arial" w:hAnsi="Arial" w:cs="Arial"/>
          <w:sz w:val="18"/>
          <w:szCs w:val="18"/>
        </w:rPr>
        <w:t xml:space="preserve">Notas de gestión administrativa </w:t>
      </w:r>
    </w:p>
    <w:p w:rsidR="003F0EE5" w:rsidRDefault="003F0EE5" w:rsidP="003F0EE5">
      <w:pPr>
        <w:spacing w:after="0"/>
        <w:jc w:val="both"/>
        <w:rPr>
          <w:rFonts w:ascii="Arial" w:hAnsi="Arial" w:cs="Arial"/>
          <w:b/>
          <w:sz w:val="18"/>
          <w:szCs w:val="18"/>
        </w:rPr>
      </w:pPr>
    </w:p>
    <w:p w:rsidR="003F0EE5" w:rsidRPr="00D41481" w:rsidRDefault="003F0EE5" w:rsidP="003F0EE5">
      <w:pPr>
        <w:spacing w:after="0"/>
        <w:jc w:val="both"/>
        <w:rPr>
          <w:rFonts w:ascii="Arial" w:hAnsi="Arial" w:cs="Arial"/>
          <w:b/>
          <w:sz w:val="18"/>
          <w:szCs w:val="18"/>
        </w:rPr>
      </w:pPr>
      <w:r w:rsidRPr="00D41481">
        <w:rPr>
          <w:rFonts w:ascii="Arial" w:hAnsi="Arial" w:cs="Arial"/>
          <w:b/>
          <w:sz w:val="18"/>
          <w:szCs w:val="18"/>
        </w:rPr>
        <w:t>III. INFORMACIÓN PRESUPUESTARIA</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 ingresos (por rubro y por fuete de financiamiento)</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Estado analítico del ejercicio del presupuesto de Egresos Clasificación Administrativa </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por Objeto de Gasto (capitulo y concepto)</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Económica (por Tipo de Gasto)</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Estado analítico del ejercicio del presupuesto de Egresos Clasificación Funcional (Finalidad y Función)</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Endeudamiento neto </w:t>
      </w:r>
    </w:p>
    <w:p w:rsidR="003F0EE5" w:rsidRPr="00D41481"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 xml:space="preserve">Interés de la deuda </w:t>
      </w:r>
    </w:p>
    <w:p w:rsidR="003F0EE5" w:rsidRDefault="003F0EE5" w:rsidP="003F0EE5">
      <w:pPr>
        <w:pStyle w:val="Prrafodelista"/>
        <w:numPr>
          <w:ilvl w:val="0"/>
          <w:numId w:val="8"/>
        </w:numPr>
        <w:spacing w:after="0"/>
        <w:jc w:val="both"/>
        <w:rPr>
          <w:rFonts w:ascii="Arial" w:hAnsi="Arial" w:cs="Arial"/>
          <w:sz w:val="18"/>
          <w:szCs w:val="18"/>
        </w:rPr>
      </w:pPr>
      <w:r w:rsidRPr="00D41481">
        <w:rPr>
          <w:rFonts w:ascii="Arial" w:hAnsi="Arial" w:cs="Arial"/>
          <w:sz w:val="18"/>
          <w:szCs w:val="18"/>
        </w:rPr>
        <w:t>Indicadores de postura fiscal</w:t>
      </w:r>
    </w:p>
    <w:p w:rsidR="003F0EE5" w:rsidRDefault="003F0EE5" w:rsidP="003F0EE5">
      <w:pPr>
        <w:spacing w:after="0"/>
        <w:jc w:val="both"/>
        <w:rPr>
          <w:rFonts w:ascii="Arial" w:hAnsi="Arial" w:cs="Arial"/>
          <w:sz w:val="18"/>
          <w:szCs w:val="18"/>
        </w:rPr>
      </w:pPr>
    </w:p>
    <w:p w:rsidR="003F0EE5" w:rsidRDefault="003F0EE5" w:rsidP="003F0EE5">
      <w:pPr>
        <w:spacing w:after="0"/>
        <w:jc w:val="both"/>
        <w:rPr>
          <w:rFonts w:ascii="Arial" w:hAnsi="Arial" w:cs="Arial"/>
          <w:sz w:val="18"/>
          <w:szCs w:val="18"/>
        </w:rPr>
      </w:pPr>
    </w:p>
    <w:p w:rsidR="003F0EE5" w:rsidRDefault="003F0EE5" w:rsidP="003F0EE5">
      <w:pPr>
        <w:spacing w:after="0"/>
        <w:jc w:val="both"/>
        <w:rPr>
          <w:rFonts w:ascii="Arial" w:hAnsi="Arial" w:cs="Arial"/>
          <w:sz w:val="18"/>
          <w:szCs w:val="18"/>
        </w:rPr>
      </w:pPr>
    </w:p>
    <w:p w:rsidR="003F0EE5" w:rsidRPr="00C72182" w:rsidRDefault="003F0EE5" w:rsidP="003F0EE5">
      <w:pPr>
        <w:spacing w:after="0"/>
        <w:jc w:val="both"/>
        <w:rPr>
          <w:rFonts w:ascii="Arial" w:hAnsi="Arial" w:cs="Arial"/>
          <w:sz w:val="18"/>
          <w:szCs w:val="18"/>
        </w:rPr>
      </w:pPr>
    </w:p>
    <w:p w:rsidR="003F0EE5" w:rsidRPr="00D41481" w:rsidRDefault="003F0EE5" w:rsidP="003F0EE5">
      <w:pPr>
        <w:pStyle w:val="Prrafodelista"/>
        <w:spacing w:after="0"/>
        <w:jc w:val="both"/>
        <w:rPr>
          <w:rFonts w:ascii="Arial" w:hAnsi="Arial" w:cs="Arial"/>
          <w:sz w:val="18"/>
          <w:szCs w:val="18"/>
        </w:rPr>
      </w:pPr>
    </w:p>
    <w:p w:rsidR="003F0EE5" w:rsidRPr="00D41481" w:rsidRDefault="003F0EE5" w:rsidP="003F0EE5">
      <w:pPr>
        <w:spacing w:after="0"/>
        <w:jc w:val="both"/>
        <w:rPr>
          <w:rFonts w:ascii="Arial" w:hAnsi="Arial" w:cs="Arial"/>
          <w:b/>
          <w:sz w:val="18"/>
          <w:szCs w:val="18"/>
        </w:rPr>
      </w:pPr>
      <w:r w:rsidRPr="00D41481">
        <w:rPr>
          <w:rFonts w:ascii="Arial" w:hAnsi="Arial" w:cs="Arial"/>
          <w:b/>
          <w:sz w:val="18"/>
          <w:szCs w:val="18"/>
        </w:rPr>
        <w:t xml:space="preserve">IV INFORMACIÓN PROGRAMÁTICA </w:t>
      </w:r>
    </w:p>
    <w:p w:rsidR="003F0EE5" w:rsidRPr="00D41481" w:rsidRDefault="003F0EE5" w:rsidP="003F0EE5">
      <w:pPr>
        <w:pStyle w:val="Prrafodelista"/>
        <w:numPr>
          <w:ilvl w:val="0"/>
          <w:numId w:val="9"/>
        </w:numPr>
        <w:spacing w:after="0"/>
        <w:jc w:val="both"/>
        <w:rPr>
          <w:rFonts w:ascii="Arial" w:hAnsi="Arial" w:cs="Arial"/>
          <w:sz w:val="18"/>
          <w:szCs w:val="18"/>
        </w:rPr>
      </w:pPr>
      <w:r w:rsidRPr="00D41481">
        <w:rPr>
          <w:rFonts w:ascii="Arial" w:hAnsi="Arial" w:cs="Arial"/>
          <w:sz w:val="18"/>
          <w:szCs w:val="18"/>
        </w:rPr>
        <w:t xml:space="preserve">Gasto por Categoría Programática </w:t>
      </w:r>
    </w:p>
    <w:p w:rsidR="003F0EE5" w:rsidRPr="00D41481" w:rsidRDefault="003F0EE5" w:rsidP="003F0EE5">
      <w:pPr>
        <w:pStyle w:val="Prrafodelista"/>
        <w:numPr>
          <w:ilvl w:val="0"/>
          <w:numId w:val="9"/>
        </w:numPr>
        <w:spacing w:after="0"/>
        <w:jc w:val="both"/>
        <w:rPr>
          <w:rFonts w:ascii="Arial" w:hAnsi="Arial" w:cs="Arial"/>
          <w:sz w:val="18"/>
          <w:szCs w:val="18"/>
        </w:rPr>
      </w:pPr>
      <w:r w:rsidRPr="00D41481">
        <w:rPr>
          <w:rFonts w:ascii="Arial" w:hAnsi="Arial" w:cs="Arial"/>
          <w:sz w:val="18"/>
          <w:szCs w:val="18"/>
        </w:rPr>
        <w:t xml:space="preserve">Indicadores de Resultados </w:t>
      </w:r>
    </w:p>
    <w:p w:rsidR="003F0EE5" w:rsidRDefault="003F0EE5" w:rsidP="003F0EE5">
      <w:pPr>
        <w:spacing w:after="0"/>
        <w:jc w:val="both"/>
        <w:rPr>
          <w:rFonts w:ascii="Arial" w:hAnsi="Arial" w:cs="Arial"/>
          <w:b/>
          <w:sz w:val="18"/>
          <w:szCs w:val="18"/>
        </w:rPr>
      </w:pPr>
    </w:p>
    <w:p w:rsidR="003F0EE5" w:rsidRPr="00D41481" w:rsidRDefault="003F0EE5" w:rsidP="003F0EE5">
      <w:pPr>
        <w:spacing w:after="0"/>
        <w:jc w:val="both"/>
        <w:rPr>
          <w:rFonts w:ascii="Arial" w:hAnsi="Arial" w:cs="Arial"/>
          <w:b/>
          <w:sz w:val="18"/>
          <w:szCs w:val="18"/>
        </w:rPr>
      </w:pPr>
      <w:r w:rsidRPr="00D41481">
        <w:rPr>
          <w:rFonts w:ascii="Arial" w:hAnsi="Arial" w:cs="Arial"/>
          <w:b/>
          <w:sz w:val="18"/>
          <w:szCs w:val="18"/>
        </w:rPr>
        <w:t xml:space="preserve">V. ANEXOS </w:t>
      </w:r>
    </w:p>
    <w:p w:rsidR="003F0EE5" w:rsidRPr="00D41481" w:rsidRDefault="003F0EE5" w:rsidP="003F0EE5">
      <w:pPr>
        <w:pStyle w:val="Prrafodelista"/>
        <w:numPr>
          <w:ilvl w:val="0"/>
          <w:numId w:val="10"/>
        </w:numPr>
        <w:spacing w:after="0"/>
        <w:jc w:val="both"/>
        <w:rPr>
          <w:rFonts w:ascii="Arial" w:hAnsi="Arial" w:cs="Arial"/>
          <w:sz w:val="18"/>
          <w:szCs w:val="18"/>
        </w:rPr>
      </w:pPr>
      <w:r w:rsidRPr="00D41481">
        <w:rPr>
          <w:rFonts w:ascii="Arial" w:hAnsi="Arial" w:cs="Arial"/>
          <w:sz w:val="18"/>
          <w:szCs w:val="18"/>
        </w:rPr>
        <w:t>Relación de Bienes Muebles que Componen el Patrimonio</w:t>
      </w:r>
    </w:p>
    <w:p w:rsidR="003F0EE5" w:rsidRPr="00D41481" w:rsidRDefault="003F0EE5" w:rsidP="003F0EE5">
      <w:pPr>
        <w:pStyle w:val="Prrafodelista"/>
        <w:numPr>
          <w:ilvl w:val="0"/>
          <w:numId w:val="10"/>
        </w:numPr>
        <w:spacing w:after="0"/>
        <w:jc w:val="both"/>
        <w:rPr>
          <w:rFonts w:ascii="Arial" w:hAnsi="Arial" w:cs="Arial"/>
          <w:sz w:val="18"/>
          <w:szCs w:val="18"/>
        </w:rPr>
      </w:pPr>
      <w:r w:rsidRPr="00D41481">
        <w:rPr>
          <w:rFonts w:ascii="Arial" w:hAnsi="Arial" w:cs="Arial"/>
          <w:sz w:val="18"/>
          <w:szCs w:val="18"/>
        </w:rPr>
        <w:t xml:space="preserve">Relación de Bienes Inmuebles que Componen el Patrimonio </w:t>
      </w:r>
    </w:p>
    <w:p w:rsidR="003F0EE5" w:rsidRPr="00D41481" w:rsidRDefault="003F0EE5" w:rsidP="003F0EE5">
      <w:pPr>
        <w:pStyle w:val="Prrafodelista"/>
        <w:numPr>
          <w:ilvl w:val="0"/>
          <w:numId w:val="10"/>
        </w:numPr>
        <w:spacing w:after="0"/>
        <w:jc w:val="both"/>
        <w:rPr>
          <w:rFonts w:ascii="Arial" w:hAnsi="Arial" w:cs="Arial"/>
          <w:sz w:val="18"/>
          <w:szCs w:val="18"/>
        </w:rPr>
      </w:pPr>
      <w:r w:rsidRPr="00D41481">
        <w:rPr>
          <w:rFonts w:ascii="Arial" w:hAnsi="Arial" w:cs="Arial"/>
          <w:sz w:val="18"/>
          <w:szCs w:val="18"/>
        </w:rPr>
        <w:t>Relación de Cuentas Bancarias Productivas Especificas</w:t>
      </w:r>
    </w:p>
    <w:p w:rsidR="003F0EE5" w:rsidRDefault="003F0EE5" w:rsidP="003F0EE5">
      <w:pPr>
        <w:jc w:val="both"/>
        <w:rPr>
          <w:rFonts w:ascii="Arial" w:hAnsi="Arial" w:cs="Arial"/>
          <w:sz w:val="18"/>
          <w:szCs w:val="18"/>
        </w:rPr>
      </w:pPr>
    </w:p>
    <w:p w:rsidR="003F0EE5" w:rsidRDefault="003F0EE5" w:rsidP="003F0EE5">
      <w:pPr>
        <w:jc w:val="both"/>
        <w:rPr>
          <w:rFonts w:ascii="Arial" w:hAnsi="Arial" w:cs="Arial"/>
          <w:sz w:val="18"/>
          <w:szCs w:val="18"/>
        </w:rPr>
      </w:pPr>
    </w:p>
    <w:p w:rsidR="003F0EE5" w:rsidRDefault="003F0EE5" w:rsidP="003F0EE5">
      <w:pPr>
        <w:jc w:val="both"/>
        <w:rPr>
          <w:rFonts w:ascii="Arial" w:hAnsi="Arial" w:cs="Arial"/>
          <w:sz w:val="18"/>
          <w:szCs w:val="18"/>
        </w:rPr>
      </w:pPr>
      <w:r w:rsidRPr="00D41481">
        <w:rPr>
          <w:rFonts w:ascii="Arial" w:hAnsi="Arial" w:cs="Arial"/>
          <w:sz w:val="18"/>
          <w:szCs w:val="18"/>
        </w:rPr>
        <w:t>La Cuen</w:t>
      </w:r>
      <w:r>
        <w:rPr>
          <w:rFonts w:ascii="Arial" w:hAnsi="Arial" w:cs="Arial"/>
          <w:sz w:val="18"/>
          <w:szCs w:val="18"/>
        </w:rPr>
        <w:t xml:space="preserve">ta Pública del tercer trimestre (julio-septiembre) 2015 de la </w:t>
      </w:r>
      <w:proofErr w:type="spellStart"/>
      <w:r>
        <w:rPr>
          <w:rFonts w:ascii="Arial" w:hAnsi="Arial" w:cs="Arial"/>
          <w:sz w:val="18"/>
          <w:szCs w:val="18"/>
        </w:rPr>
        <w:t>Cedht</w:t>
      </w:r>
      <w:proofErr w:type="spellEnd"/>
      <w:r w:rsidRPr="00D41481">
        <w:rPr>
          <w:rFonts w:ascii="Arial" w:hAnsi="Arial" w:cs="Arial"/>
          <w:sz w:val="18"/>
          <w:szCs w:val="18"/>
        </w:rPr>
        <w:t>,</w:t>
      </w:r>
      <w:r>
        <w:rPr>
          <w:rFonts w:ascii="Arial" w:hAnsi="Arial" w:cs="Arial"/>
          <w:sz w:val="18"/>
          <w:szCs w:val="18"/>
        </w:rPr>
        <w:t xml:space="preserve"> </w:t>
      </w:r>
      <w:r w:rsidRPr="00D41481">
        <w:rPr>
          <w:rFonts w:ascii="Arial" w:hAnsi="Arial" w:cs="Arial"/>
          <w:sz w:val="18"/>
          <w:szCs w:val="18"/>
        </w:rPr>
        <w:t>con</w:t>
      </w:r>
      <w:r>
        <w:rPr>
          <w:rFonts w:ascii="Arial" w:hAnsi="Arial" w:cs="Arial"/>
          <w:sz w:val="18"/>
          <w:szCs w:val="18"/>
        </w:rPr>
        <w:t>tribuye a la fiscalización de su</w:t>
      </w:r>
      <w:bookmarkStart w:id="0" w:name="_GoBack"/>
      <w:bookmarkEnd w:id="0"/>
      <w:r w:rsidRPr="00D41481">
        <w:rPr>
          <w:rFonts w:ascii="Arial" w:hAnsi="Arial" w:cs="Arial"/>
          <w:sz w:val="18"/>
          <w:szCs w:val="18"/>
        </w:rPr>
        <w:t>s activos, pasivos, ingresos y gastos, así como a la transparencia y a la rendición de cuentas.</w:t>
      </w:r>
    </w:p>
    <w:p w:rsidR="003F0EE5" w:rsidRPr="00CA2D37" w:rsidRDefault="003F0EE5" w:rsidP="003F0EE5">
      <w:pPr>
        <w:jc w:val="both"/>
        <w:rPr>
          <w:rFonts w:ascii="Soberana Sans Light" w:hAnsi="Soberana Sans Light"/>
        </w:rPr>
      </w:pPr>
    </w:p>
    <w:p w:rsidR="00056042" w:rsidRPr="003F0EE5" w:rsidRDefault="00056042" w:rsidP="003F0EE5"/>
    <w:sectPr w:rsidR="00056042" w:rsidRPr="003F0EE5"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F6" w:rsidRDefault="00572CF6" w:rsidP="00EA5418">
      <w:pPr>
        <w:spacing w:after="0" w:line="240" w:lineRule="auto"/>
      </w:pPr>
      <w:r>
        <w:separator/>
      </w:r>
    </w:p>
  </w:endnote>
  <w:endnote w:type="continuationSeparator" w:id="0">
    <w:p w:rsidR="00572CF6" w:rsidRDefault="00572CF6"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Pr="0013011C" w:rsidRDefault="001A5CCE"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13011C" w:rsidRPr="0013011C">
          <w:rPr>
            <w:rFonts w:ascii="Soberana Sans Light" w:hAnsi="Soberana Sans Light"/>
          </w:rPr>
          <w:instrText>PAGE   \* MERGEFORMAT</w:instrText>
        </w:r>
        <w:r w:rsidRPr="0013011C">
          <w:rPr>
            <w:rFonts w:ascii="Soberana Sans Light" w:hAnsi="Soberana Sans Light"/>
          </w:rPr>
          <w:fldChar w:fldCharType="separate"/>
        </w:r>
        <w:r w:rsidR="0028640E" w:rsidRPr="0028640E">
          <w:rPr>
            <w:rFonts w:ascii="Soberana Sans Light" w:hAnsi="Soberana Sans Light"/>
            <w:noProof/>
            <w:lang w:val="es-ES"/>
          </w:rPr>
          <w:t>2</w:t>
        </w:r>
        <w:r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8E3652" w:rsidRDefault="001A5CCE"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Pr="008E3652">
          <w:rPr>
            <w:rFonts w:ascii="Soberana Sans Light" w:hAnsi="Soberana Sans Light"/>
          </w:rPr>
          <w:fldChar w:fldCharType="begin"/>
        </w:r>
        <w:r w:rsidR="008E3652" w:rsidRPr="008E3652">
          <w:rPr>
            <w:rFonts w:ascii="Soberana Sans Light" w:hAnsi="Soberana Sans Light"/>
          </w:rPr>
          <w:instrText>PAGE   \* MERGEFORMAT</w:instrText>
        </w:r>
        <w:r w:rsidRPr="008E3652">
          <w:rPr>
            <w:rFonts w:ascii="Soberana Sans Light" w:hAnsi="Soberana Sans Light"/>
          </w:rPr>
          <w:fldChar w:fldCharType="separate"/>
        </w:r>
        <w:r w:rsidR="0028640E" w:rsidRPr="0028640E">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F6" w:rsidRDefault="00572CF6" w:rsidP="00EA5418">
      <w:pPr>
        <w:spacing w:after="0" w:line="240" w:lineRule="auto"/>
      </w:pPr>
      <w:r>
        <w:separator/>
      </w:r>
    </w:p>
  </w:footnote>
  <w:footnote w:type="continuationSeparator" w:id="0">
    <w:p w:rsidR="00572CF6" w:rsidRDefault="00572CF6"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1C" w:rsidRDefault="001A5CCE">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946C7D">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sidRPr="001A5CCE">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652" w:rsidRPr="0013011C" w:rsidRDefault="001A5CCE"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729B">
      <w:rPr>
        <w:rFonts w:ascii="Soberana Sans Light" w:hAnsi="Soberana Sans Light"/>
      </w:rPr>
      <w:t xml:space="preserve"> AUTÓNOMO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12479E"/>
    <w:multiLevelType w:val="hybridMultilevel"/>
    <w:tmpl w:val="1A64C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283173C"/>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856013C"/>
    <w:multiLevelType w:val="hybridMultilevel"/>
    <w:tmpl w:val="05D61B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397E5B78"/>
    <w:multiLevelType w:val="hybridMultilevel"/>
    <w:tmpl w:val="914CA2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D114292"/>
    <w:multiLevelType w:val="hybridMultilevel"/>
    <w:tmpl w:val="C78848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E631232"/>
    <w:multiLevelType w:val="hybridMultilevel"/>
    <w:tmpl w:val="220A2A7C"/>
    <w:lvl w:ilvl="0" w:tplc="33F241A0">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9"/>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EA5418"/>
    <w:rsid w:val="00040466"/>
    <w:rsid w:val="00055104"/>
    <w:rsid w:val="00056042"/>
    <w:rsid w:val="000E03DD"/>
    <w:rsid w:val="0013011C"/>
    <w:rsid w:val="001646D9"/>
    <w:rsid w:val="001A5CCE"/>
    <w:rsid w:val="001B1B72"/>
    <w:rsid w:val="0026308F"/>
    <w:rsid w:val="0028640E"/>
    <w:rsid w:val="002865A7"/>
    <w:rsid w:val="002A70B3"/>
    <w:rsid w:val="002E5897"/>
    <w:rsid w:val="00307635"/>
    <w:rsid w:val="00355821"/>
    <w:rsid w:val="003575A4"/>
    <w:rsid w:val="003610E0"/>
    <w:rsid w:val="00372F40"/>
    <w:rsid w:val="003D5DBF"/>
    <w:rsid w:val="003E7FD0"/>
    <w:rsid w:val="003F0EE5"/>
    <w:rsid w:val="0044253C"/>
    <w:rsid w:val="00447F1B"/>
    <w:rsid w:val="00486AE1"/>
    <w:rsid w:val="00497D8B"/>
    <w:rsid w:val="004C54D9"/>
    <w:rsid w:val="004D41B8"/>
    <w:rsid w:val="00502D8E"/>
    <w:rsid w:val="005117F4"/>
    <w:rsid w:val="00522632"/>
    <w:rsid w:val="005306C3"/>
    <w:rsid w:val="00531310"/>
    <w:rsid w:val="00534982"/>
    <w:rsid w:val="00540418"/>
    <w:rsid w:val="00572CF6"/>
    <w:rsid w:val="00582405"/>
    <w:rsid w:val="005859FA"/>
    <w:rsid w:val="006048D2"/>
    <w:rsid w:val="00611E39"/>
    <w:rsid w:val="006B729B"/>
    <w:rsid w:val="006E6B8E"/>
    <w:rsid w:val="006E77DD"/>
    <w:rsid w:val="0079582C"/>
    <w:rsid w:val="007D6E9A"/>
    <w:rsid w:val="00850E90"/>
    <w:rsid w:val="008650FE"/>
    <w:rsid w:val="008A6E4D"/>
    <w:rsid w:val="008B0017"/>
    <w:rsid w:val="008D4272"/>
    <w:rsid w:val="008E3652"/>
    <w:rsid w:val="00946C7D"/>
    <w:rsid w:val="009B712E"/>
    <w:rsid w:val="00A14B74"/>
    <w:rsid w:val="00AB13B7"/>
    <w:rsid w:val="00B17423"/>
    <w:rsid w:val="00B42A02"/>
    <w:rsid w:val="00B82230"/>
    <w:rsid w:val="00B849EE"/>
    <w:rsid w:val="00BC2010"/>
    <w:rsid w:val="00C44F01"/>
    <w:rsid w:val="00CA2D37"/>
    <w:rsid w:val="00CC5CB6"/>
    <w:rsid w:val="00D055EC"/>
    <w:rsid w:val="00D404ED"/>
    <w:rsid w:val="00D51261"/>
    <w:rsid w:val="00D748D3"/>
    <w:rsid w:val="00D91114"/>
    <w:rsid w:val="00DB563E"/>
    <w:rsid w:val="00DD230F"/>
    <w:rsid w:val="00E32708"/>
    <w:rsid w:val="00EA5418"/>
    <w:rsid w:val="00F96944"/>
    <w:rsid w:val="00FD6F63"/>
    <w:rsid w:val="00FD7A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E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9C369-B07F-427C-8711-D59D811C1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CEDH</cp:lastModifiedBy>
  <cp:revision>20</cp:revision>
  <cp:lastPrinted>2015-10-12T17:22:00Z</cp:lastPrinted>
  <dcterms:created xsi:type="dcterms:W3CDTF">2014-09-01T14:30:00Z</dcterms:created>
  <dcterms:modified xsi:type="dcterms:W3CDTF">2015-10-12T17:23:00Z</dcterms:modified>
</cp:coreProperties>
</file>