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CE" w:rsidRPr="001334CE" w:rsidRDefault="001334CE" w:rsidP="00342994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1334CE">
        <w:rPr>
          <w:rFonts w:ascii="Arial" w:hAnsi="Arial" w:cs="Arial"/>
          <w:b/>
          <w:color w:val="000000"/>
          <w:sz w:val="18"/>
          <w:szCs w:val="18"/>
        </w:rPr>
        <w:t>Introducción</w:t>
      </w:r>
    </w:p>
    <w:p w:rsidR="001334CE" w:rsidRPr="00987D05" w:rsidRDefault="001334CE" w:rsidP="00342994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El Instituto Electoral de Tlaxcala, es un organismo público, autónomo en su funcionamiento e independiente en sus decisiones con relación a los poderes públicos y a los particulares; de carácter permanente, con personalidad jurídica y patrimonio propio. Se rige en su organización, funcionamiento y control, por las disposiciones contenidas en la Constitución Política del Estado de Tlaxcala y en el Código de Instituciones y Procedimientos Electorales para el estado de Tlaxcala.</w:t>
      </w:r>
    </w:p>
    <w:p w:rsidR="001334CE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Este organismo electoral, es depositario de la autoridad electoral de carácter político administrativo del régimen interior del Estado; es responsable de la organización, dirección, vigilancia y desarrollo de los procesos electorales y de consulta ciudadana, del ejercicio de la función pública estatal de preparación, organización, desarrollo, vigilancia y validez de los procesos de elección para renovar los poderes Legislativo y Ejecutivo del Estado, los Ayuntamientos y las Presidencias de Comunidad de la salvaguarda del sistema de Partidos Políticos y de los derechos Político Electorales de los ciudadanos, de acuerdo con lo que prescriben la Constitución Local y las leyes aplicables.</w:t>
      </w:r>
    </w:p>
    <w:p w:rsidR="00342994" w:rsidRPr="00987D05" w:rsidRDefault="00342994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De acuerdo a lo estipulado en el artículo 138 del Código de Instituciones y Procedimientos Electorales para el Estado de Tlaxcala, los fines de este Órgano son:</w:t>
      </w:r>
    </w:p>
    <w:p w:rsidR="00342994" w:rsidRDefault="00342994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I. Contribuir al desarrollo de la vida política democrática del Estado;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II. Promover, fomentar y preservar el fortalecimiento democrático del sistema de partidos políticos en el Estado;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III. Promover, fomentar y preservar el ejercicio de los derechos político-electorales de los ciudadanos;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IV. Garantizar la celebración libre, auténtica y periódica de las elecciones para renovar los poderes Legislativo y Ejecutivo, así como los ayuntamientos y las presidencias de Comunidad;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V. Velar por la libertad, autenticidad y efectividad del sufragio y el voto popular;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VI. Llevar a cabo la promoción del sufragio y el voto,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VII. Difundir la cultura política democrática y la educación cívica, y</w:t>
      </w:r>
    </w:p>
    <w:p w:rsidR="001334CE" w:rsidRPr="00987D05" w:rsidRDefault="001334CE" w:rsidP="003429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87D05">
        <w:rPr>
          <w:rFonts w:ascii="Arial" w:hAnsi="Arial" w:cs="Arial"/>
          <w:color w:val="000000"/>
          <w:sz w:val="18"/>
          <w:szCs w:val="18"/>
        </w:rPr>
        <w:t>VIII. Difundir, planear, desarrollar y realizar los procesos de consulta ciudadana de acuerdo con lo que prescriben la Constitución local y las leyes aplicables.</w:t>
      </w:r>
    </w:p>
    <w:p w:rsidR="00342994" w:rsidRDefault="00342994" w:rsidP="00342994">
      <w:pPr>
        <w:tabs>
          <w:tab w:val="left" w:pos="340"/>
        </w:tabs>
        <w:spacing w:before="120" w:after="0"/>
        <w:jc w:val="both"/>
        <w:rPr>
          <w:rFonts w:ascii="Arial" w:hAnsi="Arial" w:cs="Arial"/>
          <w:sz w:val="18"/>
          <w:szCs w:val="18"/>
        </w:rPr>
      </w:pPr>
    </w:p>
    <w:p w:rsidR="001334CE" w:rsidRPr="00987D05" w:rsidRDefault="001334CE" w:rsidP="00342994">
      <w:pPr>
        <w:tabs>
          <w:tab w:val="left" w:pos="340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987D05">
        <w:rPr>
          <w:rFonts w:ascii="Arial" w:hAnsi="Arial" w:cs="Arial"/>
          <w:sz w:val="18"/>
          <w:szCs w:val="18"/>
        </w:rPr>
        <w:t>Aumentar la eficiencia y transparencia de la administración de los recursos financieros, optimizando el uso de  los recursos financieros estableciendo estrategias administrativas que fortalezcan la transparencia y la rendición de cuentas.</w:t>
      </w:r>
    </w:p>
    <w:p w:rsidR="001334CE" w:rsidRDefault="001334CE" w:rsidP="00342994">
      <w:pPr>
        <w:tabs>
          <w:tab w:val="left" w:pos="340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987D05">
        <w:rPr>
          <w:rFonts w:ascii="Arial" w:hAnsi="Arial" w:cs="Arial"/>
          <w:sz w:val="18"/>
          <w:szCs w:val="18"/>
        </w:rPr>
        <w:t>El ejercicio del gasto del Instituto se en Financiamiento Público a Partidos Políticos y el Gasto de del Instituto.</w:t>
      </w:r>
    </w:p>
    <w:p w:rsidR="001334CE" w:rsidRDefault="001334CE" w:rsidP="00342994">
      <w:pPr>
        <w:tabs>
          <w:tab w:val="left" w:pos="34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integración de la Cuenta Pública de este Instituto Electoral, se realiza en apego a la normatividad de la Contabilidad General y aplicará los recientes documentos aprobados por el Consejo de Armonización Contable, en materia de consolidación de Estados Financieros, conciliación entre ingresos y egresos presupuestarios y contables.</w:t>
      </w:r>
    </w:p>
    <w:p w:rsidR="00486AE1" w:rsidRDefault="00486AE1" w:rsidP="005117F4"/>
    <w:p w:rsidR="00056042" w:rsidRDefault="00056042">
      <w:pPr>
        <w:rPr>
          <w:rFonts w:ascii="Soberana Sans Light" w:hAnsi="Soberana Sans Light"/>
        </w:rPr>
      </w:pPr>
    </w:p>
    <w:p w:rsidR="00CA2D37" w:rsidRDefault="00CA2D37" w:rsidP="00342994">
      <w:pPr>
        <w:tabs>
          <w:tab w:val="left" w:pos="2430"/>
        </w:tabs>
        <w:rPr>
          <w:rFonts w:ascii="Soberana Sans Light" w:hAnsi="Soberana Sans Light"/>
        </w:rPr>
      </w:pPr>
    </w:p>
    <w:sectPr w:rsid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51" w:rsidRDefault="003C4151" w:rsidP="00EA5418">
      <w:pPr>
        <w:spacing w:after="0" w:line="240" w:lineRule="auto"/>
      </w:pPr>
      <w:r>
        <w:separator/>
      </w:r>
    </w:p>
  </w:endnote>
  <w:endnote w:type="continuationSeparator" w:id="1">
    <w:p w:rsidR="003C4151" w:rsidRDefault="003C41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17D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2994" w:rsidRPr="0034299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17D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87336" w:rsidRPr="0088733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51" w:rsidRDefault="003C4151" w:rsidP="00EA5418">
      <w:pPr>
        <w:spacing w:after="0" w:line="240" w:lineRule="auto"/>
      </w:pPr>
      <w:r>
        <w:separator/>
      </w:r>
    </w:p>
  </w:footnote>
  <w:footnote w:type="continuationSeparator" w:id="1">
    <w:p w:rsidR="003C4151" w:rsidRDefault="003C41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17D5E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17D5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17D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savePreviewPicture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13011C"/>
    <w:rsid w:val="001334CE"/>
    <w:rsid w:val="001646D9"/>
    <w:rsid w:val="001B1B72"/>
    <w:rsid w:val="002865A7"/>
    <w:rsid w:val="002A70B3"/>
    <w:rsid w:val="002E5897"/>
    <w:rsid w:val="00307635"/>
    <w:rsid w:val="00342994"/>
    <w:rsid w:val="00355821"/>
    <w:rsid w:val="003575A4"/>
    <w:rsid w:val="003610E0"/>
    <w:rsid w:val="00372F40"/>
    <w:rsid w:val="003C4151"/>
    <w:rsid w:val="003D28E8"/>
    <w:rsid w:val="003D5DBF"/>
    <w:rsid w:val="003E7FD0"/>
    <w:rsid w:val="0044253C"/>
    <w:rsid w:val="0044259A"/>
    <w:rsid w:val="00486AE1"/>
    <w:rsid w:val="00497D8B"/>
    <w:rsid w:val="004D41B8"/>
    <w:rsid w:val="004E138F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17D5E"/>
    <w:rsid w:val="00625EDF"/>
    <w:rsid w:val="006B729B"/>
    <w:rsid w:val="006E6B8E"/>
    <w:rsid w:val="006E77DD"/>
    <w:rsid w:val="0079582C"/>
    <w:rsid w:val="007D6E9A"/>
    <w:rsid w:val="00850E90"/>
    <w:rsid w:val="00887336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CF769B"/>
    <w:rsid w:val="00D055EC"/>
    <w:rsid w:val="00D404ED"/>
    <w:rsid w:val="00D51261"/>
    <w:rsid w:val="00D748D3"/>
    <w:rsid w:val="00DD230F"/>
    <w:rsid w:val="00E22E6E"/>
    <w:rsid w:val="00E32708"/>
    <w:rsid w:val="00EA5418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2</cp:revision>
  <cp:lastPrinted>2015-10-08T20:10:00Z</cp:lastPrinted>
  <dcterms:created xsi:type="dcterms:W3CDTF">2015-10-08T20:12:00Z</dcterms:created>
  <dcterms:modified xsi:type="dcterms:W3CDTF">2015-10-08T20:12:00Z</dcterms:modified>
</cp:coreProperties>
</file>