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18" w:rsidRDefault="00540418" w:rsidP="003C5CC1">
      <w:pPr>
        <w:jc w:val="center"/>
        <w:rPr>
          <w:rFonts w:ascii="Soberana Sans Light" w:hAnsi="Soberana Sans Light"/>
          <w:b/>
        </w:rPr>
      </w:pPr>
      <w:r>
        <w:rPr>
          <w:rFonts w:ascii="Soberana Sans Light" w:hAnsi="Soberana Sans Light"/>
          <w:b/>
        </w:rPr>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C17E0E" w:rsidP="005B789D">
      <w:pPr>
        <w:pStyle w:val="ROMANOS"/>
        <w:spacing w:after="0" w:line="240" w:lineRule="exact"/>
        <w:ind w:left="723" w:firstLine="0"/>
        <w:rPr>
          <w:rFonts w:ascii="Soberana Sans Light" w:hAnsi="Soberana Sans Light"/>
          <w:sz w:val="22"/>
          <w:szCs w:val="22"/>
          <w:lang w:val="es-MX"/>
        </w:rPr>
      </w:pPr>
      <w:r w:rsidRPr="00C17E0E">
        <w:drawing>
          <wp:anchor distT="0" distB="0" distL="114300" distR="114300" simplePos="0" relativeHeight="251641344" behindDoc="1" locked="0" layoutInCell="1" allowOverlap="1" wp14:anchorId="0BF63D9E" wp14:editId="00A69C03">
            <wp:simplePos x="0" y="0"/>
            <wp:positionH relativeFrom="column">
              <wp:posOffset>1508176</wp:posOffset>
            </wp:positionH>
            <wp:positionV relativeFrom="paragraph">
              <wp:posOffset>4673</wp:posOffset>
            </wp:positionV>
            <wp:extent cx="5669280" cy="3130884"/>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280" cy="31308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Pr="00540418" w:rsidRDefault="005B789D" w:rsidP="005B789D">
      <w:pPr>
        <w:pStyle w:val="ROMANOS"/>
        <w:spacing w:after="0" w:line="240" w:lineRule="exact"/>
        <w:ind w:left="723"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540418" w:rsidRDefault="00001107" w:rsidP="005B789D">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00540418" w:rsidRPr="00540418">
        <w:rPr>
          <w:rFonts w:ascii="Soberana Sans Light" w:hAnsi="Soberana Sans Light"/>
          <w:sz w:val="22"/>
          <w:szCs w:val="22"/>
          <w:lang w:val="es-MX"/>
        </w:rPr>
        <w:t>e informará el monto que se encuentre pendien</w:t>
      </w:r>
      <w:r w:rsidR="003A0303">
        <w:rPr>
          <w:rFonts w:ascii="Soberana Sans Light" w:hAnsi="Soberana Sans Light"/>
          <w:sz w:val="22"/>
          <w:szCs w:val="22"/>
          <w:lang w:val="es-MX"/>
        </w:rPr>
        <w:t>te de cobro</w:t>
      </w:r>
      <w:r w:rsidR="00540418"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C17E0E" w:rsidP="005B789D">
      <w:pPr>
        <w:pStyle w:val="ROMANOS"/>
        <w:spacing w:after="0" w:line="240" w:lineRule="exact"/>
        <w:ind w:left="723" w:firstLine="0"/>
        <w:rPr>
          <w:rFonts w:ascii="Soberana Sans Light" w:hAnsi="Soberana Sans Light"/>
          <w:sz w:val="22"/>
          <w:szCs w:val="22"/>
          <w:lang w:val="es-MX"/>
        </w:rPr>
      </w:pPr>
      <w:r w:rsidRPr="00C17E0E">
        <w:drawing>
          <wp:anchor distT="0" distB="0" distL="114300" distR="114300" simplePos="0" relativeHeight="251651584" behindDoc="1" locked="0" layoutInCell="1" allowOverlap="1" wp14:anchorId="406DF35B" wp14:editId="551DC997">
            <wp:simplePos x="0" y="0"/>
            <wp:positionH relativeFrom="column">
              <wp:posOffset>1062127</wp:posOffset>
            </wp:positionH>
            <wp:positionV relativeFrom="paragraph">
              <wp:posOffset>8027</wp:posOffset>
            </wp:positionV>
            <wp:extent cx="6642202" cy="3563342"/>
            <wp:effectExtent l="0" t="0" r="635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202" cy="35633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5B789D" w:rsidRDefault="005B789D" w:rsidP="005B789D">
      <w:pPr>
        <w:pStyle w:val="ROMANOS"/>
        <w:spacing w:after="0" w:line="240" w:lineRule="exact"/>
        <w:rPr>
          <w:rFonts w:ascii="Soberana Sans Light" w:hAnsi="Soberana Sans Light"/>
          <w:sz w:val="22"/>
          <w:szCs w:val="22"/>
          <w:lang w:val="es-MX"/>
        </w:rPr>
      </w:pPr>
    </w:p>
    <w:p w:rsidR="005B789D" w:rsidRDefault="00C17E0E" w:rsidP="005B789D">
      <w:pPr>
        <w:pStyle w:val="ROMANOS"/>
        <w:spacing w:after="0" w:line="240" w:lineRule="exact"/>
        <w:rPr>
          <w:rFonts w:ascii="Soberana Sans Light" w:hAnsi="Soberana Sans Light"/>
          <w:sz w:val="22"/>
          <w:szCs w:val="22"/>
          <w:lang w:val="es-MX"/>
        </w:rPr>
      </w:pPr>
      <w:r w:rsidRPr="00C17E0E">
        <w:drawing>
          <wp:anchor distT="0" distB="0" distL="114300" distR="114300" simplePos="0" relativeHeight="251654656" behindDoc="1" locked="0" layoutInCell="1" allowOverlap="1" wp14:anchorId="447F0BC9" wp14:editId="58F3F4B6">
            <wp:simplePos x="0" y="0"/>
            <wp:positionH relativeFrom="column">
              <wp:posOffset>1391158</wp:posOffset>
            </wp:positionH>
            <wp:positionV relativeFrom="paragraph">
              <wp:posOffset>138151</wp:posOffset>
            </wp:positionV>
            <wp:extent cx="5895975" cy="15875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1587500"/>
                    </a:xfrm>
                    <a:prstGeom prst="rect">
                      <a:avLst/>
                    </a:prstGeom>
                    <a:noFill/>
                    <a:ln>
                      <a:noFill/>
                    </a:ln>
                  </pic:spPr>
                </pic:pic>
              </a:graphicData>
            </a:graphic>
          </wp:anchor>
        </w:drawing>
      </w: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7E1E3D"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r w:rsidR="005B789D">
        <w:rPr>
          <w:rFonts w:ascii="Soberana Sans Light" w:hAnsi="Soberana Sans Light"/>
          <w:sz w:val="22"/>
          <w:szCs w:val="22"/>
          <w:lang w:val="es-MX"/>
        </w:rPr>
        <w:t xml:space="preserve"> NO APLICA.</w:t>
      </w: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Pr="00540418" w:rsidRDefault="001B6054"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B704E9"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B704E9" w:rsidRDefault="00B704E9" w:rsidP="00540418">
      <w:pPr>
        <w:pStyle w:val="ROMANOS"/>
        <w:spacing w:after="0" w:line="240" w:lineRule="exact"/>
        <w:rPr>
          <w:rFonts w:ascii="Soberana Sans Light" w:hAnsi="Soberana Sans Light"/>
          <w:sz w:val="22"/>
          <w:szCs w:val="22"/>
          <w:lang w:val="es-MX"/>
        </w:rPr>
      </w:pPr>
    </w:p>
    <w:p w:rsidR="00B704E9" w:rsidRDefault="001B6054" w:rsidP="00540418">
      <w:pPr>
        <w:pStyle w:val="ROMANOS"/>
        <w:spacing w:after="0" w:line="240" w:lineRule="exact"/>
        <w:rPr>
          <w:rFonts w:ascii="Soberana Sans Light" w:hAnsi="Soberana Sans Light"/>
          <w:sz w:val="22"/>
          <w:szCs w:val="22"/>
          <w:lang w:val="es-MX"/>
        </w:rPr>
      </w:pPr>
      <w:r w:rsidRPr="001B6054">
        <w:rPr>
          <w:noProof/>
          <w:lang w:val="es-MX" w:eastAsia="es-MX"/>
        </w:rPr>
        <w:drawing>
          <wp:anchor distT="0" distB="0" distL="114300" distR="114300" simplePos="0" relativeHeight="251616768" behindDoc="1" locked="0" layoutInCell="1" allowOverlap="1" wp14:anchorId="15A851C1" wp14:editId="755526A9">
            <wp:simplePos x="0" y="0"/>
            <wp:positionH relativeFrom="column">
              <wp:posOffset>1968500</wp:posOffset>
            </wp:positionH>
            <wp:positionV relativeFrom="paragraph">
              <wp:posOffset>6350</wp:posOffset>
            </wp:positionV>
            <wp:extent cx="4511997" cy="1143000"/>
            <wp:effectExtent l="0" t="0" r="317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1997"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5B789D"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575404" w:rsidP="00540418">
      <w:pPr>
        <w:pStyle w:val="ROMANOS"/>
        <w:spacing w:after="0" w:line="240" w:lineRule="exact"/>
        <w:rPr>
          <w:rFonts w:ascii="Soberana Sans Light" w:hAnsi="Soberana Sans Light"/>
          <w:sz w:val="22"/>
          <w:szCs w:val="22"/>
          <w:lang w:val="es-MX"/>
        </w:rPr>
      </w:pPr>
      <w:r w:rsidRPr="00575404">
        <w:drawing>
          <wp:anchor distT="0" distB="0" distL="114300" distR="114300" simplePos="0" relativeHeight="251665920" behindDoc="1" locked="0" layoutInCell="1" allowOverlap="1" wp14:anchorId="48880982" wp14:editId="25E1AC5A">
            <wp:simplePos x="0" y="0"/>
            <wp:positionH relativeFrom="column">
              <wp:posOffset>1933042</wp:posOffset>
            </wp:positionH>
            <wp:positionV relativeFrom="paragraph">
              <wp:posOffset>3658</wp:posOffset>
            </wp:positionV>
            <wp:extent cx="4579315" cy="2816225"/>
            <wp:effectExtent l="0" t="0" r="0" b="317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2737" cy="2818330"/>
                    </a:xfrm>
                    <a:prstGeom prst="rect">
                      <a:avLst/>
                    </a:prstGeom>
                    <a:noFill/>
                    <a:ln>
                      <a:noFill/>
                    </a:ln>
                  </pic:spPr>
                </pic:pic>
              </a:graphicData>
            </a:graphic>
            <wp14:sizeRelH relativeFrom="margin">
              <wp14:pctWidth>0</wp14:pctWidth>
            </wp14:sizeRelH>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ind w:left="0" w:firstLine="0"/>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sidR="00001107">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r w:rsidR="00B704E9">
        <w:rPr>
          <w:rFonts w:ascii="Soberana Sans Light" w:hAnsi="Soberana Sans Light"/>
          <w:sz w:val="22"/>
          <w:szCs w:val="22"/>
          <w:lang w:val="es-MX"/>
        </w:rPr>
        <w:t xml:space="preserve"> NO APLICA.</w:t>
      </w:r>
    </w:p>
    <w:p w:rsidR="00B704E9" w:rsidRDefault="00B704E9" w:rsidP="00540418">
      <w:pPr>
        <w:pStyle w:val="ROMANOS"/>
        <w:spacing w:after="0" w:line="240" w:lineRule="exact"/>
        <w:ind w:left="432"/>
        <w:rPr>
          <w:rFonts w:ascii="Soberana Sans Light" w:hAnsi="Soberana Sans Light"/>
          <w:b/>
          <w:sz w:val="22"/>
          <w:szCs w:val="22"/>
          <w:lang w:val="es-MX"/>
        </w:rPr>
      </w:pPr>
    </w:p>
    <w:p w:rsidR="00540418" w:rsidRP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575404" w:rsidP="00B704E9">
      <w:pPr>
        <w:pStyle w:val="ROMANOS"/>
        <w:spacing w:after="0" w:line="240" w:lineRule="exact"/>
        <w:ind w:left="723" w:firstLine="0"/>
        <w:rPr>
          <w:rFonts w:ascii="Soberana Sans Light" w:hAnsi="Soberana Sans Light"/>
          <w:sz w:val="22"/>
          <w:szCs w:val="22"/>
          <w:lang w:val="es-MX"/>
        </w:rPr>
      </w:pPr>
      <w:r w:rsidRPr="00575404">
        <w:drawing>
          <wp:anchor distT="0" distB="0" distL="114300" distR="114300" simplePos="0" relativeHeight="251671040" behindDoc="1" locked="0" layoutInCell="1" allowOverlap="1" wp14:anchorId="0E6992FC" wp14:editId="033896C1">
            <wp:simplePos x="0" y="0"/>
            <wp:positionH relativeFrom="column">
              <wp:posOffset>1837538</wp:posOffset>
            </wp:positionH>
            <wp:positionV relativeFrom="paragraph">
              <wp:posOffset>121235</wp:posOffset>
            </wp:positionV>
            <wp:extent cx="5457190" cy="228981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190" cy="2289810"/>
                    </a:xfrm>
                    <a:prstGeom prst="rect">
                      <a:avLst/>
                    </a:prstGeom>
                    <a:noFill/>
                    <a:ln>
                      <a:noFill/>
                    </a:ln>
                  </pic:spPr>
                </pic:pic>
              </a:graphicData>
            </a:graphic>
          </wp:anchor>
        </w:drawing>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Pr="00540418" w:rsidRDefault="00B704E9" w:rsidP="00B704E9">
      <w:pPr>
        <w:pStyle w:val="ROMANOS"/>
        <w:spacing w:after="0" w:line="240" w:lineRule="exact"/>
        <w:ind w:left="723" w:firstLine="0"/>
        <w:rPr>
          <w:rFonts w:ascii="Soberana Sans Light" w:hAnsi="Soberana Sans Light"/>
          <w:sz w:val="22"/>
          <w:szCs w:val="22"/>
          <w:lang w:val="es-MX"/>
        </w:rPr>
      </w:pP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B704E9" w:rsidRDefault="00B704E9" w:rsidP="00B704E9">
      <w:pPr>
        <w:pStyle w:val="ROMANOS"/>
        <w:spacing w:after="0" w:line="240" w:lineRule="exact"/>
        <w:rPr>
          <w:rFonts w:ascii="Soberana Sans Light" w:hAnsi="Soberana Sans Light"/>
          <w:sz w:val="22"/>
          <w:szCs w:val="22"/>
          <w:lang w:val="es-MX"/>
        </w:rPr>
      </w:pPr>
    </w:p>
    <w:p w:rsidR="00B704E9" w:rsidRDefault="00575404" w:rsidP="00B704E9">
      <w:pPr>
        <w:pStyle w:val="ROMANOS"/>
        <w:spacing w:after="0" w:line="240" w:lineRule="exact"/>
        <w:rPr>
          <w:rFonts w:ascii="Soberana Sans Light" w:hAnsi="Soberana Sans Light"/>
          <w:sz w:val="22"/>
          <w:szCs w:val="22"/>
          <w:lang w:val="es-MX"/>
        </w:rPr>
      </w:pPr>
      <w:r w:rsidRPr="00575404">
        <w:drawing>
          <wp:anchor distT="0" distB="0" distL="114300" distR="114300" simplePos="0" relativeHeight="251674112" behindDoc="1" locked="0" layoutInCell="1" allowOverlap="1" wp14:anchorId="056B3FC8" wp14:editId="7E7A974C">
            <wp:simplePos x="0" y="0"/>
            <wp:positionH relativeFrom="column">
              <wp:posOffset>1998700</wp:posOffset>
            </wp:positionH>
            <wp:positionV relativeFrom="paragraph">
              <wp:posOffset>106807</wp:posOffset>
            </wp:positionV>
            <wp:extent cx="4645152" cy="2774726"/>
            <wp:effectExtent l="0" t="0" r="3175" b="698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5152" cy="27747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575404" w:rsidRPr="00540418" w:rsidRDefault="00575404" w:rsidP="00B704E9">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sidR="003A0303">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r w:rsidR="007E1E3D" w:rsidRPr="00540418">
        <w:rPr>
          <w:rFonts w:ascii="Soberana Sans Light" w:hAnsi="Soberana Sans Light"/>
          <w:sz w:val="22"/>
          <w:szCs w:val="22"/>
          <w:lang w:val="es-MX"/>
        </w:rPr>
        <w:t>pasivo monto y característica significativa</w:t>
      </w:r>
      <w:r w:rsidRPr="00540418">
        <w:rPr>
          <w:rFonts w:ascii="Soberana Sans Light" w:hAnsi="Soberana Sans Light"/>
          <w:sz w:val="22"/>
          <w:szCs w:val="22"/>
          <w:lang w:val="es-MX"/>
        </w:rPr>
        <w:t xml:space="preserve"> que les impacten o pudieran impactarles financieramente.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540418" w:rsidRDefault="00540418" w:rsidP="00540418">
      <w:pPr>
        <w:pStyle w:val="INCISO"/>
        <w:spacing w:after="0" w:line="240" w:lineRule="exact"/>
        <w:ind w:left="360"/>
        <w:rPr>
          <w:rFonts w:ascii="Soberana Sans Light" w:hAnsi="Soberana Sans Light"/>
          <w:b/>
          <w:smallCaps/>
          <w:sz w:val="22"/>
          <w:szCs w:val="22"/>
        </w:rPr>
      </w:pPr>
    </w:p>
    <w:p w:rsidR="00575404" w:rsidRPr="00540418" w:rsidRDefault="00575404"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575404" w:rsidP="00B704E9">
      <w:pPr>
        <w:pStyle w:val="ROMANOS"/>
        <w:spacing w:after="0" w:line="240" w:lineRule="exact"/>
        <w:rPr>
          <w:rFonts w:ascii="Soberana Sans Light" w:hAnsi="Soberana Sans Light"/>
          <w:sz w:val="22"/>
          <w:szCs w:val="22"/>
          <w:lang w:val="es-MX"/>
        </w:rPr>
      </w:pPr>
      <w:r w:rsidRPr="00575404">
        <w:lastRenderedPageBreak/>
        <w:drawing>
          <wp:anchor distT="0" distB="0" distL="114300" distR="114300" simplePos="0" relativeHeight="251675136" behindDoc="1" locked="0" layoutInCell="1" allowOverlap="1" wp14:anchorId="08CF746F" wp14:editId="19B269D8">
            <wp:simplePos x="0" y="0"/>
            <wp:positionH relativeFrom="column">
              <wp:posOffset>1391158</wp:posOffset>
            </wp:positionH>
            <wp:positionV relativeFrom="paragraph">
              <wp:posOffset>330</wp:posOffset>
            </wp:positionV>
            <wp:extent cx="5895975" cy="1565275"/>
            <wp:effectExtent l="0" t="0" r="952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565275"/>
                    </a:xfrm>
                    <a:prstGeom prst="rect">
                      <a:avLst/>
                    </a:prstGeom>
                    <a:noFill/>
                    <a:ln>
                      <a:noFill/>
                    </a:ln>
                  </pic:spPr>
                </pic:pic>
              </a:graphicData>
            </a:graphic>
          </wp:anchor>
        </w:drawing>
      </w:r>
    </w:p>
    <w:p w:rsidR="00575404" w:rsidRDefault="00575404" w:rsidP="00B704E9">
      <w:pPr>
        <w:pStyle w:val="ROMANOS"/>
        <w:spacing w:after="0" w:line="240" w:lineRule="exact"/>
        <w:rPr>
          <w:rFonts w:ascii="Soberana Sans Light" w:hAnsi="Soberana Sans Light"/>
          <w:sz w:val="22"/>
          <w:szCs w:val="22"/>
          <w:lang w:val="es-MX"/>
        </w:rPr>
      </w:pPr>
    </w:p>
    <w:p w:rsidR="00575404" w:rsidRDefault="00575404"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Pr="00540418" w:rsidRDefault="00B704E9" w:rsidP="00B704E9">
      <w:pPr>
        <w:pStyle w:val="ROMANOS"/>
        <w:spacing w:after="0" w:line="240" w:lineRule="exact"/>
        <w:rPr>
          <w:rFonts w:ascii="Soberana Sans Light" w:hAnsi="Soberana Sans Light"/>
          <w:sz w:val="22"/>
          <w:szCs w:val="22"/>
          <w:lang w:val="es-MX"/>
        </w:rPr>
      </w:pP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575404" w:rsidP="00B704E9">
      <w:pPr>
        <w:pStyle w:val="ROMANOS"/>
        <w:spacing w:after="0" w:line="240" w:lineRule="exact"/>
        <w:ind w:left="648" w:firstLine="0"/>
        <w:rPr>
          <w:rFonts w:ascii="Soberana Sans Light" w:hAnsi="Soberana Sans Light"/>
          <w:sz w:val="22"/>
          <w:szCs w:val="22"/>
          <w:lang w:val="es-MX"/>
        </w:rPr>
      </w:pPr>
      <w:r w:rsidRPr="00575404">
        <w:drawing>
          <wp:anchor distT="0" distB="0" distL="114300" distR="114300" simplePos="0" relativeHeight="251678208" behindDoc="1" locked="0" layoutInCell="1" allowOverlap="1" wp14:anchorId="711D743C" wp14:editId="12010468">
            <wp:simplePos x="0" y="0"/>
            <wp:positionH relativeFrom="column">
              <wp:posOffset>1705965</wp:posOffset>
            </wp:positionH>
            <wp:positionV relativeFrom="paragraph">
              <wp:posOffset>39903</wp:posOffset>
            </wp:positionV>
            <wp:extent cx="5552237" cy="1095498"/>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2237" cy="10954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540418" w:rsidRDefault="00540418" w:rsidP="00540418">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575404" w:rsidP="00B704E9">
      <w:pPr>
        <w:pStyle w:val="ROMANOS"/>
        <w:spacing w:after="0" w:line="240" w:lineRule="exact"/>
        <w:ind w:left="648" w:firstLine="0"/>
        <w:rPr>
          <w:rFonts w:ascii="Soberana Sans Light" w:hAnsi="Soberana Sans Light"/>
          <w:sz w:val="22"/>
          <w:szCs w:val="22"/>
          <w:lang w:val="es-MX"/>
        </w:rPr>
      </w:pPr>
      <w:r w:rsidRPr="00575404">
        <w:drawing>
          <wp:anchor distT="0" distB="0" distL="114300" distR="114300" simplePos="0" relativeHeight="251685376" behindDoc="1" locked="0" layoutInCell="1" allowOverlap="1" wp14:anchorId="4710830B" wp14:editId="5F800C1E">
            <wp:simplePos x="0" y="0"/>
            <wp:positionH relativeFrom="column">
              <wp:posOffset>1625600</wp:posOffset>
            </wp:positionH>
            <wp:positionV relativeFrom="paragraph">
              <wp:posOffset>5715</wp:posOffset>
            </wp:positionV>
            <wp:extent cx="5464455" cy="1294755"/>
            <wp:effectExtent l="0" t="0" r="3175" b="127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4455" cy="1294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064580" w:rsidRDefault="00064580"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40418">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40418" w:rsidRPr="00540418" w:rsidRDefault="00540418" w:rsidP="00540418">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7E1E3D"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44253C"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7E1E3D">
              <w:rPr>
                <w:rFonts w:ascii="Soberana Sans Light" w:hAnsi="Soberana Sans Light"/>
                <w:sz w:val="22"/>
                <w:szCs w:val="22"/>
                <w:lang w:val="es-MX"/>
              </w:rPr>
              <w:t>4</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6F052F" w:rsidP="0057540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w:t>
            </w:r>
            <w:r w:rsidR="00575404">
              <w:rPr>
                <w:rFonts w:ascii="Soberana Sans Light" w:hAnsi="Soberana Sans Light"/>
                <w:sz w:val="22"/>
                <w:szCs w:val="22"/>
                <w:lang w:val="es-MX"/>
              </w:rPr>
              <w:t>4</w:t>
            </w:r>
            <w:r>
              <w:rPr>
                <w:rFonts w:ascii="Soberana Sans Light" w:hAnsi="Soberana Sans Light"/>
                <w:sz w:val="22"/>
                <w:szCs w:val="22"/>
                <w:lang w:val="es-MX"/>
              </w:rPr>
              <w:t>,</w:t>
            </w:r>
            <w:r w:rsidR="00575404">
              <w:rPr>
                <w:rFonts w:ascii="Soberana Sans Light" w:hAnsi="Soberana Sans Light"/>
                <w:sz w:val="22"/>
                <w:szCs w:val="22"/>
                <w:lang w:val="es-MX"/>
              </w:rPr>
              <w:t>997</w:t>
            </w:r>
            <w:r>
              <w:rPr>
                <w:rFonts w:ascii="Soberana Sans Light" w:hAnsi="Soberana Sans Light"/>
                <w:sz w:val="22"/>
                <w:szCs w:val="22"/>
                <w:lang w:val="es-MX"/>
              </w:rPr>
              <w:t>,</w:t>
            </w:r>
            <w:r w:rsidR="00575404">
              <w:rPr>
                <w:rFonts w:ascii="Soberana Sans Light" w:hAnsi="Soberana Sans Light"/>
                <w:sz w:val="22"/>
                <w:szCs w:val="22"/>
                <w:lang w:val="es-MX"/>
              </w:rPr>
              <w:t>100</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6F052F" w:rsidP="0057540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w:t>
            </w:r>
            <w:r w:rsidR="00575404">
              <w:rPr>
                <w:rFonts w:ascii="Soberana Sans Light" w:hAnsi="Soberana Sans Light"/>
                <w:sz w:val="22"/>
                <w:szCs w:val="22"/>
                <w:lang w:val="es-MX"/>
              </w:rPr>
              <w:t>3</w:t>
            </w:r>
            <w:r>
              <w:rPr>
                <w:rFonts w:ascii="Soberana Sans Light" w:hAnsi="Soberana Sans Light"/>
                <w:sz w:val="22"/>
                <w:szCs w:val="22"/>
                <w:lang w:val="es-MX"/>
              </w:rPr>
              <w:t>,</w:t>
            </w:r>
            <w:r w:rsidR="00575404">
              <w:rPr>
                <w:rFonts w:ascii="Soberana Sans Light" w:hAnsi="Soberana Sans Light"/>
                <w:sz w:val="22"/>
                <w:szCs w:val="22"/>
                <w:lang w:val="es-MX"/>
              </w:rPr>
              <w:t>832</w:t>
            </w:r>
            <w:r>
              <w:rPr>
                <w:rFonts w:ascii="Soberana Sans Light" w:hAnsi="Soberana Sans Light"/>
                <w:sz w:val="22"/>
                <w:szCs w:val="22"/>
                <w:lang w:val="es-MX"/>
              </w:rPr>
              <w:t>,</w:t>
            </w:r>
            <w:r w:rsidR="00575404">
              <w:rPr>
                <w:rFonts w:ascii="Soberana Sans Light" w:hAnsi="Soberana Sans Light"/>
                <w:sz w:val="22"/>
                <w:szCs w:val="22"/>
                <w:lang w:val="es-MX"/>
              </w:rPr>
              <w:t>881</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75404"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75404" w:rsidRPr="00540418" w:rsidRDefault="00575404" w:rsidP="0057540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575404" w:rsidRPr="00540418" w:rsidRDefault="00575404" w:rsidP="0057540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14,997,100</w:t>
            </w:r>
          </w:p>
        </w:tc>
        <w:tc>
          <w:tcPr>
            <w:tcW w:w="1276" w:type="dxa"/>
            <w:tcBorders>
              <w:top w:val="single" w:sz="6" w:space="0" w:color="auto"/>
              <w:left w:val="single" w:sz="6" w:space="0" w:color="auto"/>
              <w:bottom w:val="single" w:sz="6" w:space="0" w:color="auto"/>
              <w:right w:val="single" w:sz="6" w:space="0" w:color="auto"/>
            </w:tcBorders>
          </w:tcPr>
          <w:p w:rsidR="00575404" w:rsidRPr="00540418" w:rsidRDefault="00575404" w:rsidP="0057540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13,832,881</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Default="00540418" w:rsidP="00064580">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064580" w:rsidRDefault="00064580" w:rsidP="00064580">
      <w:pPr>
        <w:pStyle w:val="ROMANOS"/>
        <w:spacing w:after="0" w:line="240" w:lineRule="exact"/>
        <w:rPr>
          <w:rFonts w:ascii="Soberana Sans Light" w:hAnsi="Soberana Sans Light"/>
          <w:sz w:val="22"/>
          <w:szCs w:val="22"/>
          <w:lang w:val="es-MX"/>
        </w:rPr>
      </w:pPr>
    </w:p>
    <w:p w:rsidR="00064580" w:rsidRDefault="00575404" w:rsidP="00064580">
      <w:pPr>
        <w:pStyle w:val="ROMANOS"/>
        <w:spacing w:after="0" w:line="240" w:lineRule="exact"/>
        <w:rPr>
          <w:rFonts w:ascii="Soberana Sans Light" w:hAnsi="Soberana Sans Light"/>
          <w:sz w:val="22"/>
          <w:szCs w:val="22"/>
          <w:lang w:val="es-MX"/>
        </w:rPr>
      </w:pPr>
      <w:r w:rsidRPr="00575404">
        <w:drawing>
          <wp:anchor distT="0" distB="0" distL="114300" distR="114300" simplePos="0" relativeHeight="251689472" behindDoc="1" locked="0" layoutInCell="1" allowOverlap="1" wp14:anchorId="519728BC" wp14:editId="2F0285AC">
            <wp:simplePos x="0" y="0"/>
            <wp:positionH relativeFrom="column">
              <wp:posOffset>1076883</wp:posOffset>
            </wp:positionH>
            <wp:positionV relativeFrom="paragraph">
              <wp:posOffset>10160</wp:posOffset>
            </wp:positionV>
            <wp:extent cx="6532474" cy="1471738"/>
            <wp:effectExtent l="0" t="0" r="190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32474" cy="14717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064580" w:rsidRDefault="00064580"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75404" w:rsidRDefault="00575404" w:rsidP="00064580">
      <w:pPr>
        <w:pStyle w:val="ROMANOS"/>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7E1E3D"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8A6E4D"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7E1E3D">
              <w:rPr>
                <w:rFonts w:ascii="Soberana Sans Light" w:hAnsi="Soberana Sans Light"/>
                <w:sz w:val="22"/>
                <w:szCs w:val="22"/>
                <w:lang w:val="es-MX"/>
              </w:rPr>
              <w:t>4</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064580" w:rsidRPr="00540418"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40418" w:rsidRPr="00540418" w:rsidRDefault="00540418" w:rsidP="00540418">
      <w:pPr>
        <w:pStyle w:val="Texto"/>
        <w:spacing w:after="0" w:line="240" w:lineRule="exact"/>
        <w:jc w:val="center"/>
        <w:rPr>
          <w:rFonts w:ascii="Soberana Sans Light" w:hAnsi="Soberana Sans Light"/>
          <w:b/>
          <w:smallCaps/>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C17E0E" w:rsidP="00B849EE">
      <w:pPr>
        <w:pStyle w:val="Texto"/>
        <w:spacing w:after="0" w:line="240" w:lineRule="exact"/>
        <w:ind w:firstLine="0"/>
        <w:rPr>
          <w:rFonts w:ascii="Soberana Sans Light" w:hAnsi="Soberana Sans Light"/>
          <w:sz w:val="22"/>
          <w:szCs w:val="22"/>
          <w:lang w:val="es-MX"/>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60.35pt;margin-top:20pt;width:363.95pt;height:187.4pt;z-index:25166438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19" o:title=""/>
            <w10:wrap type="topAndBottom"/>
          </v:shape>
          <o:OLEObject Type="Embed" ProgID="Excel.Sheet.12" ShapeID="_x0000_s1030" DrawAspect="Content" ObjectID="_1505635002" r:id="rId20"/>
        </w:object>
      </w:r>
      <w:r>
        <w:rPr>
          <w:rFonts w:ascii="Soberana Sans Light" w:hAnsi="Soberana Sans Light"/>
          <w:noProof/>
          <w:sz w:val="22"/>
          <w:szCs w:val="22"/>
          <w:lang w:val="es-MX" w:eastAsia="es-MX"/>
        </w:rPr>
        <w:object w:dxaOrig="1440" w:dyaOrig="1440">
          <v:shape id="_x0000_s1028" type="#_x0000_t75" style="position:absolute;left:0;text-align:left;margin-left:9.65pt;margin-top:20pt;width:394.8pt;height:141.6pt;z-index:251663360;mso-position-horizontal-relative:text;mso-position-vertical-relative:text;mso-width-relative:page;mso-height-relative:page">
            <v:imagedata r:id="rId21" o:title=""/>
            <w10:wrap type="topAndBottom"/>
          </v:shape>
          <o:OLEObject Type="Embed" ProgID="Excel.Sheet.12" ShapeID="_x0000_s1028" DrawAspect="Content" ObjectID="_1505635003" r:id="rId22"/>
        </w:object>
      </w: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lastRenderedPageBreak/>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540418" w:rsidRDefault="00540418" w:rsidP="00540418">
      <w:pPr>
        <w:pStyle w:val="Texto"/>
        <w:spacing w:after="0" w:line="240" w:lineRule="exact"/>
        <w:ind w:firstLine="0"/>
        <w:rPr>
          <w:rFonts w:ascii="Soberana Sans Light" w:hAnsi="Soberana Sans Light"/>
          <w:b/>
          <w:sz w:val="22"/>
          <w:szCs w:val="22"/>
          <w:lang w:val="es-MX"/>
        </w:rPr>
      </w:pPr>
    </w:p>
    <w:p w:rsidR="00B849EE" w:rsidRPr="00540418" w:rsidRDefault="00B849EE" w:rsidP="00540418">
      <w:pPr>
        <w:pStyle w:val="Texto"/>
        <w:spacing w:after="0" w:line="240" w:lineRule="exact"/>
        <w:ind w:firstLine="0"/>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540418" w:rsidRPr="00540418" w:rsidRDefault="00540418" w:rsidP="00540418">
      <w:pPr>
        <w:pStyle w:val="Texto"/>
        <w:spacing w:after="0" w:line="240" w:lineRule="exact"/>
        <w:rPr>
          <w:rFonts w:ascii="Soberana Sans Light" w:hAnsi="Soberana Sans Light"/>
          <w:b/>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540418" w:rsidRDefault="00540418" w:rsidP="003A0303">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001107"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001107" w:rsidRPr="00540418"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r w:rsidR="001C456B">
        <w:rPr>
          <w:rFonts w:ascii="Soberana Sans Light" w:hAnsi="Soberana Sans Light"/>
          <w:sz w:val="22"/>
          <w:szCs w:val="22"/>
          <w:lang w:val="es-MX"/>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540418" w:rsidRPr="00540418"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5F40F5"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r w:rsidR="001C456B">
        <w:rPr>
          <w:rFonts w:ascii="Soberana Sans Light" w:hAnsi="Soberana Sans Light"/>
          <w:sz w:val="22"/>
          <w:szCs w:val="22"/>
        </w:rPr>
        <w:t xml:space="preserve"> </w:t>
      </w:r>
    </w:p>
    <w:p w:rsidR="005F40F5"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540418" w:rsidRPr="00540418"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R</w:t>
      </w:r>
      <w:r w:rsidR="001C456B">
        <w:rPr>
          <w:rFonts w:ascii="Soberana Sans Light" w:hAnsi="Soberana Sans Light"/>
          <w:sz w:val="22"/>
          <w:szCs w:val="22"/>
        </w:rPr>
        <w:t>ecientemente una parte de la plantilla docente se sindicalizó, lo que representó para el Colegio, adquisición de nuevas obligaciones laborales para con ese sector. Asimismo, al cumplir 30 años e</w:t>
      </w:r>
      <w:r>
        <w:rPr>
          <w:rFonts w:ascii="Soberana Sans Light" w:hAnsi="Soberana Sans Light"/>
          <w:sz w:val="22"/>
          <w:szCs w:val="22"/>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522EF3" w:rsidRPr="00540418" w:rsidRDefault="00522EF3"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r w:rsidR="005F40F5">
        <w:rPr>
          <w:rFonts w:ascii="Soberana Sans Light" w:hAnsi="Soberana Sans Light"/>
          <w:sz w:val="22"/>
          <w:szCs w:val="22"/>
        </w:rPr>
        <w:t xml:space="preserve"> </w:t>
      </w:r>
      <w:r w:rsidR="005F40F5" w:rsidRPr="005F40F5">
        <w:rPr>
          <w:rFonts w:ascii="Soberana Sans Light" w:hAnsi="Soberana Sans Light"/>
          <w:sz w:val="22"/>
          <w:szCs w:val="22"/>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r w:rsidR="005F40F5">
        <w:rPr>
          <w:rFonts w:ascii="Soberana Sans Light" w:hAnsi="Soberana Sans Light"/>
          <w:sz w:val="22"/>
          <w:szCs w:val="22"/>
        </w:rPr>
        <w:t xml:space="preserve">. </w:t>
      </w:r>
      <w:r w:rsidR="005F40F5" w:rsidRPr="005F40F5">
        <w:rPr>
          <w:rFonts w:ascii="Soberana Sans Light" w:hAnsi="Soberana Sans Light"/>
          <w:sz w:val="22"/>
          <w:szCs w:val="22"/>
        </w:rPr>
        <w:t>El Colegio cuenta con tres planteles en los municipios de Amaxac de Guerrero, Santa Apolonia Teacalco y San Jerónimo Zacualpan, así como la Dirección General, misma que se encuentra en la localidad de Ixtulco, municipio de Tlaxcala.</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Prrafodelista"/>
        <w:numPr>
          <w:ilvl w:val="0"/>
          <w:numId w:val="7"/>
        </w:numPr>
        <w:spacing w:after="0" w:line="240" w:lineRule="auto"/>
        <w:jc w:val="both"/>
        <w:rPr>
          <w:rFonts w:ascii="Soberana Sans Light" w:hAnsi="Soberana Sans Light"/>
        </w:rPr>
      </w:pPr>
      <w:r w:rsidRPr="005F40F5">
        <w:rPr>
          <w:rFonts w:ascii="Soberana Sans Light" w:hAnsi="Soberana Sans Light"/>
        </w:rPr>
        <w:t>Objeto social</w:t>
      </w:r>
      <w:r w:rsidR="005F40F5" w:rsidRPr="005F40F5">
        <w:rPr>
          <w:rFonts w:ascii="Soberana Sans Light" w:hAnsi="Soberana Sans Light"/>
        </w:rPr>
        <w:t>. El Conalep tiene por objeto prestar Servicios de Educación Profesional Técnica.</w:t>
      </w:r>
    </w:p>
    <w:p w:rsidR="00540418" w:rsidRPr="005F40F5" w:rsidRDefault="00540418" w:rsidP="00540418">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Impartición de Educación Profesional Técnica a nivel postsecundaria.</w:t>
      </w:r>
    </w:p>
    <w:p w:rsid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sidR="005F40F5">
        <w:rPr>
          <w:rFonts w:ascii="Soberana Sans Light" w:hAnsi="Soberana Sans Light"/>
          <w:sz w:val="22"/>
          <w:szCs w:val="22"/>
        </w:rPr>
        <w:t>. 2014.</w:t>
      </w:r>
    </w:p>
    <w:p w:rsidR="005F40F5" w:rsidRPr="005F40F5" w:rsidRDefault="00540418" w:rsidP="005F40F5">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F40F5" w:rsidP="005F40F5">
      <w:pPr>
        <w:spacing w:after="0" w:line="240" w:lineRule="auto"/>
        <w:jc w:val="both"/>
        <w:rPr>
          <w:rFonts w:ascii="Soberana Sans Light" w:hAnsi="Soberana Sans Light"/>
        </w:rPr>
      </w:pPr>
      <w:r w:rsidRPr="005F40F5">
        <w:rPr>
          <w:rFonts w:ascii="Soberana Sans Light" w:hAnsi="Soberana Sans Light"/>
        </w:rPr>
        <w:t xml:space="preserve"> </w:t>
      </w:r>
      <w:r w:rsidRPr="005F40F5">
        <w:rPr>
          <w:rFonts w:ascii="Soberana Sans Light" w:hAnsi="Soberana Sans Light"/>
        </w:rPr>
        <w:tab/>
        <w:t xml:space="preserve">      El Conalep Tlaxcala está regido por un Consejo Directivo el cual está integrado de la siguiente forma:</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Presidente: Secretario de Educación Pública.</w:t>
      </w: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Secretario: Director de Conalep</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Comisario: Representante de la Secretaría de Finanzas</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Vocales:</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Secretario Desarrollo Industrial.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Director de Servicio Estatal de Formación y Apoyo del Empleo y Desarrollo Comunitario.</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lastRenderedPageBreak/>
        <w:t>Tres representantes de los sectores público, privado y social.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 la Secretaría de Educación Pública.</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Colegio Nacional.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Municipales donde se encuentran ubicados los planteles del Conalep.</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Poder Legislativo.</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360" w:firstLine="708"/>
        <w:jc w:val="both"/>
        <w:rPr>
          <w:rFonts w:ascii="Soberana Sans Light" w:hAnsi="Soberana Sans Light"/>
        </w:rPr>
      </w:pPr>
      <w:r w:rsidRPr="005F40F5">
        <w:rPr>
          <w:rFonts w:ascii="Soberana Sans Light" w:hAnsi="Soberana Sans Light"/>
        </w:rPr>
        <w:t>Los integrantes del Consejo Directivo, tienen voz y voto, excepto el Secretario y Comisario, quienes sólo participan con voz.</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F40F5">
        <w:rPr>
          <w:rFonts w:ascii="Soberana Sans Light" w:eastAsiaTheme="minorHAnsi" w:hAnsi="Soberana Sans Light" w:cstheme="minorBidi"/>
          <w:sz w:val="22"/>
          <w:szCs w:val="22"/>
          <w:lang w:val="es-MX" w:eastAsia="en-US"/>
        </w:rPr>
        <w:tab/>
      </w:r>
      <w:r>
        <w:rPr>
          <w:rFonts w:ascii="Soberana Sans Light" w:hAnsi="Soberana Sans Light"/>
          <w:sz w:val="22"/>
          <w:szCs w:val="22"/>
        </w:rPr>
        <w:t xml:space="preserve">e)  </w:t>
      </w:r>
      <w:r w:rsidR="00540418" w:rsidRPr="00540418">
        <w:rPr>
          <w:rFonts w:ascii="Soberana Sans Light" w:hAnsi="Soberana Sans Light"/>
          <w:sz w:val="22"/>
          <w:szCs w:val="22"/>
        </w:rPr>
        <w:t>Consideraciones fiscales del ente: revelar el tipo de contribuciones que esté obligado a pagar o retener.</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 xml:space="preserve">Por su estructura Jurídica y </w:t>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actividades de interés social que desarrolla en materia de impartición de Educación Profesional Técnica a nivel postsecundaria, como Organismo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Público Descentralizado, el Conalep no es contribuyente del Impuesto sobre la Renta, por estar clasificado en el título III del “Régimen de las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Personas Morales con fines no lucrativos” de acuerdo al artículo 95 fracción XI de la Ley del Impuesto sobre la Renta.</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Asimismo, no está obligado a registrar efectos diferidos o anticipados de Impuesto sobre la Renta, así como, Participación de los Trabajadores en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las Utilidades.</w:t>
      </w:r>
    </w:p>
    <w:p w:rsidR="004513B4"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Por lo que se refiere al Impuesto al Valor Agregado, el Conalep; únicamente acepta la traslación de dicho impuesto en la adquisición de bienes y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servicios para su operación.</w:t>
      </w:r>
    </w:p>
    <w:p w:rsidR="005F40F5" w:rsidRPr="005F40F5"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 xml:space="preserve">Las obligaciones fiscales que tiene el Colegio, se concretan a su carácter de retenedor y entero del Impuesto Sobre la Renta en lo referente de los </w:t>
      </w: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capítulos I y II “Ingresos por salarios” e “Ingresos por la Prestación de Servicios Profesionales”.</w:t>
      </w:r>
    </w:p>
    <w:p w:rsidR="00540418" w:rsidRPr="005F40F5" w:rsidRDefault="00540418" w:rsidP="00540418">
      <w:pPr>
        <w:pStyle w:val="INCISO"/>
        <w:spacing w:after="0" w:line="240" w:lineRule="exact"/>
        <w:rPr>
          <w:rFonts w:ascii="Soberana Sans Light" w:hAnsi="Soberana Sans Light"/>
          <w:sz w:val="22"/>
          <w:szCs w:val="22"/>
          <w:lang w:val="es-MX"/>
        </w:rPr>
      </w:pP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54144" behindDoc="1" locked="0" layoutInCell="1" allowOverlap="1" wp14:anchorId="178C8ABC" wp14:editId="05B31F26">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Pr="00540418" w:rsidRDefault="004513B4" w:rsidP="00540418">
      <w:pPr>
        <w:pStyle w:val="INCISO"/>
        <w:spacing w:after="0" w:line="240" w:lineRule="exact"/>
        <w:rPr>
          <w:rFonts w:ascii="Soberana Sans Light" w:hAnsi="Soberana Sans Light"/>
          <w:sz w:val="22"/>
          <w:szCs w:val="22"/>
        </w:rPr>
      </w:pPr>
    </w:p>
    <w:p w:rsidR="007E1E3D" w:rsidRDefault="007E1E3D" w:rsidP="003A0303">
      <w:pPr>
        <w:pStyle w:val="INCISO"/>
        <w:spacing w:after="0" w:line="240" w:lineRule="exact"/>
        <w:rPr>
          <w:rFonts w:ascii="Soberana Sans Light" w:hAnsi="Soberana Sans Light"/>
          <w:sz w:val="22"/>
          <w:szCs w:val="22"/>
        </w:rPr>
      </w:pPr>
    </w:p>
    <w:p w:rsidR="00575404" w:rsidRDefault="00575404" w:rsidP="003A0303">
      <w:pPr>
        <w:pStyle w:val="INCISO"/>
        <w:spacing w:after="0" w:line="240" w:lineRule="exact"/>
        <w:rPr>
          <w:rFonts w:ascii="Soberana Sans Light" w:hAnsi="Soberana Sans Light"/>
          <w:sz w:val="22"/>
          <w:szCs w:val="22"/>
        </w:rPr>
      </w:pPr>
    </w:p>
    <w:p w:rsidR="00575404" w:rsidRDefault="00575404" w:rsidP="003A0303">
      <w:pPr>
        <w:pStyle w:val="INCISO"/>
        <w:spacing w:after="0" w:line="240" w:lineRule="exact"/>
        <w:rPr>
          <w:rFonts w:ascii="Soberana Sans Light" w:hAnsi="Soberana Sans Light"/>
          <w:sz w:val="22"/>
          <w:szCs w:val="22"/>
        </w:rPr>
      </w:pPr>
    </w:p>
    <w:p w:rsidR="00032F09" w:rsidRDefault="00032F09" w:rsidP="003A0303">
      <w:pPr>
        <w:pStyle w:val="INCISO"/>
        <w:spacing w:after="0" w:line="240" w:lineRule="exact"/>
        <w:rPr>
          <w:rFonts w:ascii="Soberana Sans Light" w:hAnsi="Soberana Sans Light"/>
          <w:sz w:val="22"/>
          <w:szCs w:val="22"/>
        </w:rPr>
      </w:pPr>
    </w:p>
    <w:p w:rsidR="00540418" w:rsidRPr="00540418" w:rsidRDefault="003A0303" w:rsidP="003A0303">
      <w:pPr>
        <w:pStyle w:val="INCISO"/>
        <w:spacing w:after="0" w:line="240" w:lineRule="exact"/>
        <w:rPr>
          <w:rFonts w:ascii="Soberana Sans Light" w:hAnsi="Soberana Sans Light"/>
          <w:sz w:val="22"/>
          <w:szCs w:val="22"/>
        </w:rPr>
      </w:pPr>
      <w:r>
        <w:rPr>
          <w:rFonts w:ascii="Soberana Sans Light" w:hAnsi="Soberana Sans Light"/>
          <w:sz w:val="22"/>
          <w:szCs w:val="22"/>
        </w:rPr>
        <w:lastRenderedPageBreak/>
        <w:t xml:space="preserve">g)   </w:t>
      </w:r>
      <w:r w:rsidR="00540418" w:rsidRPr="00540418">
        <w:rPr>
          <w:rFonts w:ascii="Soberana Sans Light" w:hAnsi="Soberana Sans Light"/>
          <w:sz w:val="22"/>
          <w:szCs w:val="22"/>
        </w:rPr>
        <w:t>Fideicomisos, mandatos y análogos de los cuales es fideicomitente o fiduciario</w:t>
      </w:r>
      <w:r w:rsidR="004513B4">
        <w:rPr>
          <w:rFonts w:ascii="Soberana Sans Light" w:hAnsi="Soberana Sans Light"/>
          <w:sz w:val="22"/>
          <w:szCs w:val="22"/>
        </w:rPr>
        <w:t>. NO APLICA.</w:t>
      </w:r>
    </w:p>
    <w:p w:rsidR="007B7D8D" w:rsidRDefault="007B7D8D"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r w:rsidR="004513B4">
        <w:rPr>
          <w:rFonts w:ascii="Soberana Sans Light" w:hAnsi="Soberana Sans Light"/>
          <w:sz w:val="22"/>
          <w:szCs w:val="22"/>
        </w:rPr>
        <w:t xml:space="preserve"> </w:t>
      </w:r>
      <w:r w:rsidR="004513B4" w:rsidRPr="004513B4">
        <w:rPr>
          <w:rFonts w:ascii="Soberana Sans Light" w:hAnsi="Soberana Sans Light"/>
          <w:sz w:val="22"/>
          <w:szCs w:val="22"/>
        </w:rPr>
        <w:t>Se ha dado seguimiento a la normativa emitida por la CONAC para su implementación.</w:t>
      </w:r>
    </w:p>
    <w:p w:rsidR="004513B4" w:rsidRPr="004513B4" w:rsidRDefault="004513B4" w:rsidP="004513B4">
      <w:pPr>
        <w:spacing w:after="0" w:line="240" w:lineRule="auto"/>
        <w:ind w:left="705"/>
        <w:jc w:val="both"/>
        <w:rPr>
          <w:rFonts w:ascii="Soberana Sans Light" w:hAnsi="Soberana Sans Light"/>
        </w:rPr>
      </w:pPr>
      <w:r>
        <w:rPr>
          <w:rFonts w:ascii="Soberana Sans Light" w:hAnsi="Soberana Sans Light"/>
        </w:rPr>
        <w:t xml:space="preserve">b)   </w:t>
      </w:r>
      <w:r w:rsidR="00540418" w:rsidRPr="00540418">
        <w:rPr>
          <w:rFonts w:ascii="Soberana Sans Light" w:hAnsi="Soberana Sans Light"/>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rFonts w:ascii="Soberana Sans Light" w:hAnsi="Soberana Sans Light"/>
        </w:rPr>
        <w:t xml:space="preserve"> </w:t>
      </w:r>
      <w:r w:rsidRPr="004513B4">
        <w:rPr>
          <w:rFonts w:ascii="Soberana Sans Light" w:hAnsi="Soberana Sans Light"/>
        </w:rPr>
        <w:t>Los estados financieros se prepararan de acuerdo con principios de contabilidad gubernamental que son coincidentes con las Normas de Información Financiera. Las principales políticas contables de registro y elaboración de los estados financieros, son las siguientes:</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VALORES DE INMEDIATA REALIZACIÓN</w:t>
      </w:r>
    </w:p>
    <w:p w:rsidR="004513B4" w:rsidRPr="004513B4" w:rsidRDefault="004513B4" w:rsidP="004513B4">
      <w:pPr>
        <w:tabs>
          <w:tab w:val="left" w:pos="1440"/>
        </w:tabs>
        <w:spacing w:after="0" w:line="240" w:lineRule="auto"/>
        <w:jc w:val="both"/>
        <w:rPr>
          <w:rFonts w:ascii="Soberana Sans Light" w:hAnsi="Soberana Sans Light"/>
        </w:rPr>
      </w:pP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Está integrado al 100% por la cuenta 0002 Bancos; el Colegio de Educación Profesional Técnica, actualmente maneja sus recursos a través de cuentas productivas que nos representa la generación de rendimientos que forman parte de los recursos con los que opera este Colegio.</w:t>
      </w:r>
    </w:p>
    <w:p w:rsidR="004513B4" w:rsidRPr="004513B4" w:rsidRDefault="004513B4" w:rsidP="004513B4">
      <w:pPr>
        <w:spacing w:after="0" w:line="240" w:lineRule="auto"/>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ACTIVO FIJO</w:t>
      </w: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Los bienes son registrados a su costo de adquisición, atendiendo al principio denominado “Costo Histórico”.</w:t>
      </w:r>
    </w:p>
    <w:p w:rsidR="004513B4" w:rsidRPr="004513B4" w:rsidRDefault="004513B4" w:rsidP="004513B4">
      <w:pPr>
        <w:spacing w:after="0" w:line="240" w:lineRule="auto"/>
        <w:ind w:left="709"/>
        <w:jc w:val="both"/>
        <w:rPr>
          <w:rFonts w:ascii="Soberana Sans Light" w:hAnsi="Soberana Sans Light"/>
        </w:rPr>
      </w:pPr>
    </w:p>
    <w:p w:rsid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I</w:t>
      </w:r>
      <w:r>
        <w:rPr>
          <w:rFonts w:ascii="Soberana Sans Light" w:hAnsi="Soberana Sans Light"/>
        </w:rPr>
        <w:t xml:space="preserve">NMUEBLES, PROPIEDADES Y EQUIPO </w:t>
      </w: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Las adquisiciones de terrenos, edificios y construcciones, equipo y mobiliario en planteles, oficinas y almacenes, se registran a su costo de adquisición.</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INGRESOS Y EGRESOS</w:t>
      </w:r>
    </w:p>
    <w:p w:rsidR="004513B4" w:rsidRPr="004513B4" w:rsidRDefault="004513B4" w:rsidP="004513B4">
      <w:pPr>
        <w:pStyle w:val="INCISO"/>
        <w:spacing w:after="0" w:line="240" w:lineRule="exact"/>
        <w:rPr>
          <w:rFonts w:ascii="Soberana Sans Light" w:eastAsiaTheme="minorHAnsi" w:hAnsi="Soberana Sans Light" w:cstheme="minorBidi"/>
          <w:sz w:val="22"/>
          <w:szCs w:val="22"/>
          <w:lang w:val="es-MX" w:eastAsia="en-US"/>
        </w:rPr>
      </w:pPr>
      <w:r w:rsidRPr="004513B4">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40418" w:rsidRDefault="00540418" w:rsidP="00540418">
      <w:pPr>
        <w:pStyle w:val="INCISO"/>
        <w:spacing w:after="0" w:line="240" w:lineRule="exact"/>
        <w:rPr>
          <w:rFonts w:ascii="Soberana Sans Light" w:hAnsi="Soberana Sans Light"/>
          <w:sz w:val="22"/>
          <w:szCs w:val="22"/>
        </w:rPr>
      </w:pPr>
    </w:p>
    <w:p w:rsidR="00540418" w:rsidRDefault="00540418" w:rsidP="004513B4">
      <w:pPr>
        <w:pStyle w:val="INCISO"/>
        <w:numPr>
          <w:ilvl w:val="0"/>
          <w:numId w:val="10"/>
        </w:numPr>
        <w:spacing w:after="0" w:line="240" w:lineRule="exact"/>
        <w:rPr>
          <w:rFonts w:ascii="Soberana Sans Light" w:hAnsi="Soberana Sans Light"/>
          <w:sz w:val="22"/>
          <w:szCs w:val="22"/>
        </w:rPr>
      </w:pPr>
      <w:r w:rsidRPr="00540418">
        <w:rPr>
          <w:rFonts w:ascii="Soberana Sans Light" w:hAnsi="Soberana Sans Light"/>
          <w:sz w:val="22"/>
          <w:szCs w:val="22"/>
        </w:rPr>
        <w:t>Postulados básicos.</w:t>
      </w:r>
      <w:r w:rsidR="004513B4">
        <w:rPr>
          <w:rFonts w:ascii="Soberana Sans Light" w:hAnsi="Soberana Sans Light"/>
          <w:sz w:val="22"/>
          <w:szCs w:val="22"/>
        </w:rPr>
        <w:t xml:space="preserve"> </w:t>
      </w:r>
    </w:p>
    <w:p w:rsidR="004513B4" w:rsidRPr="004513B4" w:rsidRDefault="004513B4" w:rsidP="004513B4">
      <w:pPr>
        <w:pStyle w:val="Prrafodelista"/>
        <w:tabs>
          <w:tab w:val="left" w:pos="1440"/>
        </w:tabs>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NORMAS DE INFORMACIÓN FINANCIERA (NIF)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A partir del 1 de junio de 2004, el Instituto Mexicano de Contadores Públicos, A.C. (IMCP), efectuó la entrega formal de la función y responsabilidad de la emisión de la normatividad contable en México al Consejo Mexicano para la Investigación y Desarrollo de Normas de Información Financiera, A.C. (CINIF).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Los Principios de Contabilidad Generalmente Aceptados (PCGA) y circulares emitidos en el pasado por el IMCP, fueron transferidos al CINIF. El CINIF decidió renombrar los PCGA como Normas de Información Financiera (NIF) o en su caso, Interpretaciones a las Normas de </w:t>
      </w:r>
      <w:r w:rsidRPr="004513B4">
        <w:rPr>
          <w:rFonts w:ascii="Soberana Sans Light" w:eastAsia="Times New Roman" w:hAnsi="Soberana Sans Light" w:cs="Arial"/>
          <w:lang w:val="es-ES" w:eastAsia="es-ES"/>
        </w:rPr>
        <w:lastRenderedPageBreak/>
        <w:t>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Derivado de lo anterior, la estructura de las NIF es la siguiente:</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1) Las NIF y las INIF emitidas por la CINIF;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2) Los Boletines emitidos por la CPC, que no han sido modificados, sustituidos o derogados por las nuevas NIF; y</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3) Las nuevas Normas Internacionales </w:t>
      </w:r>
      <w:r w:rsidR="007E1E3D" w:rsidRPr="004513B4">
        <w:rPr>
          <w:rFonts w:ascii="Soberana Sans Light" w:eastAsia="Times New Roman" w:hAnsi="Soberana Sans Light" w:cs="Arial"/>
          <w:lang w:val="es-ES" w:eastAsia="es-ES"/>
        </w:rPr>
        <w:t>de Información</w:t>
      </w:r>
      <w:r w:rsidRPr="004513B4">
        <w:rPr>
          <w:rFonts w:ascii="Soberana Sans Light" w:eastAsia="Times New Roman" w:hAnsi="Soberana Sans Light" w:cs="Arial"/>
          <w:lang w:val="es-ES" w:eastAsia="es-ES"/>
        </w:rPr>
        <w:t xml:space="preserve"> Financiera (NIIF) aplicables de manera supletoria.</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Los principales cambios que establecen estas normas</w:t>
      </w:r>
      <w:r w:rsidR="007E1E3D" w:rsidRPr="004513B4">
        <w:rPr>
          <w:rFonts w:ascii="Soberana Sans Light" w:eastAsia="Times New Roman" w:hAnsi="Soberana Sans Light" w:cs="Arial"/>
          <w:lang w:val="es-ES" w:eastAsia="es-ES"/>
        </w:rPr>
        <w:t>, y</w:t>
      </w:r>
      <w:r w:rsidRPr="004513B4">
        <w:rPr>
          <w:rFonts w:ascii="Soberana Sans Light" w:eastAsia="Times New Roman" w:hAnsi="Soberana Sans Light" w:cs="Arial"/>
          <w:lang w:val="es-ES" w:eastAsia="es-ES"/>
        </w:rPr>
        <w:t xml:space="preserve"> que se atienden en la elaboración de los presentes estados financieros son: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A-3 Necesidades de los usuarios y objetivos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A-5 Elementos básicos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A-7 Presentación y revelación:</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INCISO"/>
        <w:spacing w:after="0" w:line="240" w:lineRule="exact"/>
        <w:ind w:left="1068" w:firstLine="0"/>
        <w:rPr>
          <w:rFonts w:ascii="Soberana Sans Light" w:hAnsi="Soberana Sans Light"/>
          <w:sz w:val="22"/>
          <w:szCs w:val="22"/>
        </w:rPr>
      </w:pPr>
      <w:r w:rsidRPr="004513B4">
        <w:rPr>
          <w:rFonts w:ascii="Soberana Sans Light" w:hAnsi="Soberana Sans Light"/>
          <w:sz w:val="22"/>
          <w:szCs w:val="22"/>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Default="004513B4" w:rsidP="004513B4">
      <w:pPr>
        <w:pStyle w:val="INCISO"/>
        <w:spacing w:after="0" w:line="240" w:lineRule="exact"/>
        <w:ind w:left="1068" w:firstLine="0"/>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sidR="003A0303">
        <w:rPr>
          <w:rFonts w:ascii="Soberana Sans Light" w:hAnsi="Soberana Sans Light"/>
          <w:sz w:val="22"/>
          <w:szCs w:val="22"/>
        </w:rPr>
        <w:t>ación razonable correspondiente</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lastRenderedPageBreak/>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7E1E3D" w:rsidRPr="00540418">
        <w:rPr>
          <w:rFonts w:ascii="Soberana Sans Light" w:hAnsi="Soberana Sans Light"/>
          <w:sz w:val="22"/>
          <w:szCs w:val="22"/>
        </w:rPr>
        <w:t>devengada</w:t>
      </w:r>
      <w:r w:rsidRPr="00540418">
        <w:rPr>
          <w:rFonts w:ascii="Soberana Sans Light" w:hAnsi="Soberana Sans Light"/>
          <w:sz w:val="22"/>
          <w:szCs w:val="22"/>
        </w:rPr>
        <w:t>.</w:t>
      </w:r>
    </w:p>
    <w:p w:rsidR="00540418" w:rsidRPr="00540418" w:rsidRDefault="00540418" w:rsidP="00540418">
      <w:pPr>
        <w:pStyle w:val="Texto"/>
        <w:spacing w:after="0" w:line="240" w:lineRule="exact"/>
        <w:ind w:left="1440" w:hanging="36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sidR="003A0303">
        <w:rPr>
          <w:rFonts w:ascii="Soberana Sans Light" w:hAnsi="Soberana Sans Light"/>
          <w:sz w:val="22"/>
          <w:szCs w:val="22"/>
        </w:rPr>
        <w:t>en el Sector Paraestatal</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r w:rsidR="004513B4">
        <w:rPr>
          <w:rFonts w:ascii="Soberana Sans Light" w:hAnsi="Soberana Sans Light"/>
          <w:sz w:val="22"/>
          <w:szCs w:val="22"/>
        </w:rPr>
        <w:t xml:space="preserve"> INVE 2000, sistema diseñado por Oficinas Nacionales de CONALEP.</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r w:rsidR="004513B4">
        <w:rPr>
          <w:rFonts w:ascii="Soberana Sans Light" w:hAnsi="Soberana Sans Light"/>
          <w:sz w:val="22"/>
          <w:szCs w:val="22"/>
        </w:rPr>
        <w:t>.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sidR="003A0303">
        <w:rPr>
          <w:rFonts w:ascii="Soberana Sans Light" w:hAnsi="Soberana Sans Light"/>
          <w:sz w:val="22"/>
          <w:szCs w:val="22"/>
        </w:rPr>
        <w:t>o de o</w:t>
      </w:r>
      <w:r w:rsidRPr="00540418">
        <w:rPr>
          <w:rFonts w:ascii="Soberana Sans Light" w:hAnsi="Soberana Sans Light"/>
          <w:sz w:val="22"/>
          <w:szCs w:val="22"/>
        </w:rPr>
        <w:t>rganismos descentralizados.</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sidR="003A0303">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r w:rsidR="004513B4">
        <w:rPr>
          <w:rFonts w:ascii="Soberana Sans Light" w:hAnsi="Soberana Sans Light"/>
          <w:sz w:val="22"/>
          <w:szCs w:val="22"/>
        </w:rPr>
        <w:t xml:space="preserve"> NO APLICA.</w:t>
      </w:r>
    </w:p>
    <w:p w:rsidR="00540418" w:rsidRDefault="00540418" w:rsidP="00540418">
      <w:pPr>
        <w:pStyle w:val="INCISO"/>
        <w:spacing w:after="0" w:line="240" w:lineRule="exact"/>
        <w:rPr>
          <w:rFonts w:ascii="Soberana Sans Light" w:hAnsi="Soberana Sans Light"/>
          <w:sz w:val="22"/>
          <w:szCs w:val="22"/>
        </w:rPr>
      </w:pPr>
    </w:p>
    <w:p w:rsidR="007B7D8D" w:rsidRPr="00540418" w:rsidRDefault="007B7D8D"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4513B4" w:rsidRDefault="004513B4" w:rsidP="00540418">
      <w:pPr>
        <w:pStyle w:val="INCISO"/>
        <w:spacing w:after="0" w:line="240" w:lineRule="exact"/>
        <w:rPr>
          <w:rFonts w:ascii="Soberana Sans Light" w:hAnsi="Soberana Sans Light"/>
          <w:sz w:val="22"/>
          <w:szCs w:val="22"/>
        </w:rPr>
      </w:pPr>
    </w:p>
    <w:p w:rsidR="004513B4" w:rsidRDefault="00575404" w:rsidP="00540418">
      <w:pPr>
        <w:pStyle w:val="INCISO"/>
        <w:spacing w:after="0" w:line="240" w:lineRule="exact"/>
        <w:rPr>
          <w:rFonts w:ascii="Soberana Sans Light" w:hAnsi="Soberana Sans Light"/>
          <w:sz w:val="22"/>
          <w:szCs w:val="22"/>
        </w:rPr>
      </w:pPr>
      <w:r w:rsidRPr="00575404">
        <w:drawing>
          <wp:anchor distT="0" distB="0" distL="114300" distR="114300" simplePos="0" relativeHeight="251699712" behindDoc="1" locked="0" layoutInCell="1" allowOverlap="1" wp14:anchorId="7328DB59" wp14:editId="0173E709">
            <wp:simplePos x="0" y="0"/>
            <wp:positionH relativeFrom="column">
              <wp:posOffset>-5562</wp:posOffset>
            </wp:positionH>
            <wp:positionV relativeFrom="paragraph">
              <wp:posOffset>69723</wp:posOffset>
            </wp:positionV>
            <wp:extent cx="8686800" cy="202187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86800" cy="2021878"/>
                    </a:xfrm>
                    <a:prstGeom prst="rect">
                      <a:avLst/>
                    </a:prstGeom>
                    <a:noFill/>
                    <a:ln>
                      <a:noFill/>
                    </a:ln>
                  </pic:spPr>
                </pic:pic>
              </a:graphicData>
            </a:graphic>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Proyección de la recaudación e ingresos en el mediano plazo.</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r w:rsidR="004513B4">
        <w:rPr>
          <w:rFonts w:ascii="Soberana Sans Light" w:hAnsi="Soberana Sans Light"/>
          <w:sz w:val="22"/>
          <w:szCs w:val="22"/>
          <w:lang w:val="es-MX"/>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r w:rsidR="004513B4">
        <w:rPr>
          <w:rFonts w:ascii="Soberana Sans Light" w:hAnsi="Soberana Sans Light"/>
          <w:sz w:val="22"/>
          <w:szCs w:val="22"/>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540418" w:rsidRDefault="00540418" w:rsidP="004513B4">
      <w:pPr>
        <w:pStyle w:val="INCISO"/>
        <w:numPr>
          <w:ilvl w:val="0"/>
          <w:numId w:val="11"/>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r w:rsidR="004513B4">
        <w:rPr>
          <w:rFonts w:ascii="Soberana Sans Light" w:hAnsi="Soberana Sans Light"/>
          <w:sz w:val="22"/>
          <w:szCs w:val="22"/>
        </w:rPr>
        <w:t>.</w:t>
      </w:r>
    </w:p>
    <w:p w:rsidR="004513B4" w:rsidRDefault="004513B4" w:rsidP="004513B4">
      <w:pPr>
        <w:pStyle w:val="INCISO"/>
        <w:spacing w:after="0" w:line="240" w:lineRule="exact"/>
        <w:ind w:firstLine="0"/>
        <w:rPr>
          <w:rFonts w:ascii="Soberana Sans Light" w:hAnsi="Soberana Sans Light"/>
          <w:sz w:val="22"/>
          <w:szCs w:val="22"/>
        </w:rPr>
      </w:pPr>
    </w:p>
    <w:p w:rsidR="004513B4" w:rsidRPr="000A3D50" w:rsidRDefault="004513B4" w:rsidP="004513B4">
      <w:pPr>
        <w:spacing w:after="0" w:line="240" w:lineRule="auto"/>
        <w:ind w:left="372" w:firstLine="708"/>
        <w:rPr>
          <w:rFonts w:ascii="Soberana Sans Light" w:eastAsia="Times New Roman" w:hAnsi="Soberana Sans Light" w:cs="Arial"/>
          <w:b/>
          <w:lang w:val="es-ES" w:eastAsia="es-ES"/>
        </w:rPr>
      </w:pPr>
      <w:r w:rsidRPr="000A3D50">
        <w:rPr>
          <w:rFonts w:ascii="Soberana Sans Light" w:eastAsia="Times New Roman" w:hAnsi="Soberana Sans Light" w:cs="Arial"/>
          <w:b/>
          <w:lang w:val="es-ES" w:eastAsia="es-ES"/>
        </w:rPr>
        <w:t xml:space="preserve">Procedimientos Operativos </w:t>
      </w:r>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25" type="#_x0000_t75" style="width:1.75pt;height:19pt">
            <v:imagedata r:id="rId29" r:href="rId30"/>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31" w:history="1">
        <w:r w:rsidRPr="004745DD">
          <w:rPr>
            <w:rFonts w:ascii="Arial" w:eastAsia="Times New Roman" w:hAnsi="Arial" w:cs="Arial"/>
            <w:color w:val="0000FF"/>
            <w:sz w:val="18"/>
            <w:szCs w:val="24"/>
            <w:u w:val="single"/>
            <w:lang w:eastAsia="es-MX"/>
          </w:rPr>
          <w:t xml:space="preserve">29-578-PO-01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Planeación de la Gestión</w:t>
        </w:r>
      </w:hyperlink>
      <w:hyperlink r:id="rId3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26" type="#_x0000_t75" alt="Comentarios" style="width:11.5pt;height:7.5pt;mso-wrap-distance-left:6.75pt;mso-wrap-distance-right:6.75pt" o:button="t">
              <v:imagedata r:id="rId33" r:href="rId34"/>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3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27" type="#_x0000_t75" alt="Fichas Ligadas" style="width:13.25pt;height:5.75pt" o:button="t">
              <v:imagedata r:id="rId36" r:href="rId37"/>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28" type="#_x0000_t75" style="width:1.75pt;height:19pt">
            <v:imagedata r:id="rId29" r:href="rId38"/>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39" w:history="1">
        <w:r w:rsidRPr="004745DD">
          <w:rPr>
            <w:rFonts w:ascii="Arial" w:eastAsia="Times New Roman" w:hAnsi="Arial" w:cs="Arial"/>
            <w:color w:val="0000FF"/>
            <w:sz w:val="18"/>
            <w:szCs w:val="24"/>
            <w:u w:val="single"/>
            <w:lang w:eastAsia="es-MX"/>
          </w:rPr>
          <w:t xml:space="preserve">29-578-PO-02-004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PROMOCIÓN Y DIFUSIÓN DE LA OFERTA EDUCATIVA</w:t>
        </w:r>
      </w:hyperlink>
      <w:hyperlink r:id="rId4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29" type="#_x0000_t75" alt="Comentarios" style="width:11.5pt;height:7.5pt;mso-wrap-distance-left:6.75pt;mso-wrap-distance-right:6.75pt" o:button="t">
              <v:imagedata r:id="rId33" r:href="rId41"/>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0" type="#_x0000_t75" alt="Fichas Ligadas" style="width:13.25pt;height:5.75pt" o:button="t">
              <v:imagedata r:id="rId36" r:href="rId43"/>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31" type="#_x0000_t75" style="width:1.75pt;height:19pt">
            <v:imagedata r:id="rId29" r:href="rId44"/>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45" w:history="1">
        <w:r w:rsidRPr="004745DD">
          <w:rPr>
            <w:rFonts w:ascii="Arial" w:eastAsia="Times New Roman" w:hAnsi="Arial" w:cs="Arial"/>
            <w:color w:val="0000FF"/>
            <w:sz w:val="18"/>
            <w:szCs w:val="24"/>
            <w:u w:val="single"/>
            <w:lang w:eastAsia="es-MX"/>
          </w:rPr>
          <w:t xml:space="preserve">29-578-PO-03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Admisión, inscripción y reinscripción de alumnos</w:t>
        </w:r>
      </w:hyperlink>
      <w:hyperlink r:id="rId4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2" type="#_x0000_t75" alt="Comentarios" style="width:11.5pt;height:7.5pt;mso-wrap-distance-left:6.75pt;mso-wrap-distance-right:6.75pt" o:button="t">
              <v:imagedata r:id="rId33" r:href="rId47"/>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3" type="#_x0000_t75" alt="Fichas Ligadas" style="width:13.25pt;height:5.75pt" o:button="t">
              <v:imagedata r:id="rId36" r:href="rId49"/>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34" type="#_x0000_t75" style="width:1.75pt;height:19pt">
            <v:imagedata r:id="rId29" r:href="rId50"/>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1" w:history="1">
        <w:r w:rsidRPr="004745DD">
          <w:rPr>
            <w:rFonts w:ascii="Arial" w:eastAsia="Times New Roman" w:hAnsi="Arial" w:cs="Arial"/>
            <w:color w:val="0000FF"/>
            <w:sz w:val="18"/>
            <w:szCs w:val="24"/>
            <w:u w:val="single"/>
            <w:lang w:eastAsia="es-MX"/>
          </w:rPr>
          <w:t xml:space="preserve">29-578-PO-04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Seguimiento académico de alumnos</w:t>
        </w:r>
      </w:hyperlink>
      <w:hyperlink r:id="rId5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5" type="#_x0000_t75" alt="Comentarios" style="width:11.5pt;height:7.5pt;mso-wrap-distance-left:6.75pt;mso-wrap-distance-right:6.75pt" o:button="t">
              <v:imagedata r:id="rId33" r:href="rId53"/>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5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6" type="#_x0000_t75" alt="Fichas Ligadas" style="width:13.25pt;height:5.75pt" o:button="t">
              <v:imagedata r:id="rId36" r:href="rId55"/>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37" type="#_x0000_t75" style="width:1.75pt;height:19pt">
            <v:imagedata r:id="rId29" r:href="rId56"/>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7" w:history="1">
        <w:r w:rsidRPr="004745DD">
          <w:rPr>
            <w:rFonts w:ascii="Arial" w:eastAsia="Times New Roman" w:hAnsi="Arial" w:cs="Arial"/>
            <w:color w:val="0000FF"/>
            <w:sz w:val="18"/>
            <w:szCs w:val="24"/>
            <w:u w:val="single"/>
            <w:lang w:eastAsia="es-MX"/>
          </w:rPr>
          <w:t xml:space="preserve">29-578-PO-05-004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Titulación</w:t>
        </w:r>
      </w:hyperlink>
      <w:hyperlink r:id="rId5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8" type="#_x0000_t75" alt="Comentarios" style="width:11.5pt;height:7.5pt;mso-wrap-distance-left:6.75pt;mso-wrap-distance-right:6.75pt" o:button="t">
              <v:imagedata r:id="rId33" r:href="rId59"/>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39" type="#_x0000_t75" alt="Fichas Ligadas" style="width:13.25pt;height:5.75pt" o:button="t">
              <v:imagedata r:id="rId36" r:href="rId61"/>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40" type="#_x0000_t75" style="width:1.75pt;height:19pt">
            <v:imagedata r:id="rId29" r:href="rId62"/>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3" w:history="1">
        <w:r w:rsidRPr="004745DD">
          <w:rPr>
            <w:rFonts w:ascii="Arial" w:eastAsia="Times New Roman" w:hAnsi="Arial" w:cs="Arial"/>
            <w:color w:val="0000FF"/>
            <w:sz w:val="18"/>
            <w:szCs w:val="24"/>
            <w:u w:val="single"/>
            <w:lang w:eastAsia="es-MX"/>
          </w:rPr>
          <w:t xml:space="preserve">29-578-PO-06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Formación y desarrollo de prestadores de servicios profesionales</w:t>
        </w:r>
      </w:hyperlink>
      <w:hyperlink r:id="rId6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41" type="#_x0000_t75" alt="Comentarios" style="width:11.5pt;height:7.5pt;mso-wrap-distance-left:6.75pt;mso-wrap-distance-right:6.75pt" o:button="t">
              <v:imagedata r:id="rId33" r:href="rId65"/>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42" type="#_x0000_t75" alt="Fichas Ligadas" style="width:13.25pt;height:5.75pt" o:button="t">
              <v:imagedata r:id="rId36" r:href="rId67"/>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43" type="#_x0000_t75" style="width:1.75pt;height:19pt">
            <v:imagedata r:id="rId29" r:href="rId68"/>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9" w:history="1">
        <w:r w:rsidRPr="004745DD">
          <w:rPr>
            <w:rFonts w:ascii="Arial" w:eastAsia="Times New Roman" w:hAnsi="Arial" w:cs="Arial"/>
            <w:color w:val="0000FF"/>
            <w:sz w:val="18"/>
            <w:szCs w:val="24"/>
            <w:u w:val="single"/>
            <w:lang w:eastAsia="es-MX"/>
          </w:rPr>
          <w:t xml:space="preserve">29-578-PO-07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Planeación y desarrollo del proceso de enseñanza y aprendizaje</w:t>
        </w:r>
      </w:hyperlink>
      <w:hyperlink r:id="rId7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44" type="#_x0000_t75" alt="Comentarios" style="width:11.5pt;height:7.5pt;mso-wrap-distance-left:6.75pt;mso-wrap-distance-right:6.75pt" o:button="t">
              <v:imagedata r:id="rId33" r:href="rId71"/>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45" type="#_x0000_t75" alt="Fichas Ligadas" style="width:13.25pt;height:5.75pt" o:button="t">
              <v:imagedata r:id="rId36" r:href="rId73"/>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46" type="#_x0000_t75" style="width:1.75pt;height:19pt">
            <v:imagedata r:id="rId29" r:href="rId74"/>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5" w:history="1">
        <w:r w:rsidRPr="004745DD">
          <w:rPr>
            <w:rFonts w:ascii="Arial" w:eastAsia="Times New Roman" w:hAnsi="Arial" w:cs="Arial"/>
            <w:color w:val="0000FF"/>
            <w:sz w:val="18"/>
            <w:szCs w:val="24"/>
            <w:u w:val="single"/>
            <w:lang w:eastAsia="es-MX"/>
          </w:rPr>
          <w:t xml:space="preserve">29-578-PO-08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Apoyo a la permanencia y desarrollo académico de alumnos</w:t>
        </w:r>
      </w:hyperlink>
      <w:hyperlink r:id="rId7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47" type="#_x0000_t75" alt="Comentarios" style="width:11.5pt;height:7.5pt;mso-wrap-distance-left:6.75pt;mso-wrap-distance-right:6.75pt" o:button="t">
              <v:imagedata r:id="rId33" r:href="rId77"/>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48" type="#_x0000_t75" alt="Fichas Ligadas" style="width:13.25pt;height:5.75pt" o:button="t">
              <v:imagedata r:id="rId36" r:href="rId79"/>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49" type="#_x0000_t75" style="width:1.75pt;height:19pt">
            <v:imagedata r:id="rId29" r:href="rId80"/>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1" w:history="1">
        <w:r w:rsidRPr="004745DD">
          <w:rPr>
            <w:rFonts w:ascii="Arial" w:eastAsia="Times New Roman" w:hAnsi="Arial" w:cs="Arial"/>
            <w:color w:val="0000FF"/>
            <w:sz w:val="18"/>
            <w:szCs w:val="24"/>
            <w:u w:val="single"/>
            <w:lang w:eastAsia="es-MX"/>
          </w:rPr>
          <w:t xml:space="preserve">29-578-PO-09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Vinculación</w:t>
        </w:r>
      </w:hyperlink>
      <w:hyperlink r:id="rId8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0" type="#_x0000_t75" alt="Comentarios" style="width:11.5pt;height:7.5pt;mso-wrap-distance-left:6.75pt;mso-wrap-distance-right:6.75pt" o:button="t">
              <v:imagedata r:id="rId33" r:href="rId83"/>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1" type="#_x0000_t75" alt="Fichas Ligadas" style="width:13.25pt;height:5.75pt" o:button="t">
              <v:imagedata r:id="rId36" r:href="rId85"/>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52" type="#_x0000_t75" style="width:1.75pt;height:19pt">
            <v:imagedata r:id="rId29" r:href="rId86"/>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7" w:history="1">
        <w:r w:rsidRPr="004745DD">
          <w:rPr>
            <w:rFonts w:ascii="Arial" w:eastAsia="Times New Roman" w:hAnsi="Arial" w:cs="Arial"/>
            <w:color w:val="0000FF"/>
            <w:sz w:val="18"/>
            <w:szCs w:val="24"/>
            <w:u w:val="single"/>
            <w:lang w:eastAsia="es-MX"/>
          </w:rPr>
          <w:t xml:space="preserve">29-578-PO-10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Gestión de recursos humanos para la administración</w:t>
        </w:r>
      </w:hyperlink>
      <w:hyperlink r:id="rId8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3" type="#_x0000_t75" alt="Comentarios" style="width:11.5pt;height:7.5pt;mso-wrap-distance-left:6.75pt;mso-wrap-distance-right:6.75pt" o:button="t">
              <v:imagedata r:id="rId33" r:href="rId89"/>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4" type="#_x0000_t75" alt="Fichas Ligadas" style="width:13.25pt;height:5.75pt" o:button="t">
              <v:imagedata r:id="rId36" r:href="rId91"/>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55" type="#_x0000_t75" style="width:1.75pt;height:19pt">
            <v:imagedata r:id="rId29" r:href="rId92"/>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3" w:history="1">
        <w:r w:rsidRPr="004745DD">
          <w:rPr>
            <w:rFonts w:ascii="Arial" w:eastAsia="Times New Roman" w:hAnsi="Arial" w:cs="Arial"/>
            <w:color w:val="0000FF"/>
            <w:sz w:val="18"/>
            <w:szCs w:val="24"/>
            <w:u w:val="single"/>
            <w:lang w:eastAsia="es-MX"/>
          </w:rPr>
          <w:t xml:space="preserve">29-578-PO-11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Selección y contratación de prestadores de servicios profesionales</w:t>
        </w:r>
      </w:hyperlink>
      <w:hyperlink r:id="rId9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6" type="#_x0000_t75" alt="Comentarios" style="width:11.5pt;height:7.5pt;mso-wrap-distance-left:6.75pt;mso-wrap-distance-right:6.75pt" o:button="t">
              <v:imagedata r:id="rId33" r:href="rId95"/>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7" type="#_x0000_t75" alt="Fichas Ligadas" style="width:13.25pt;height:5.75pt" o:button="t">
              <v:imagedata r:id="rId36" r:href="rId97"/>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58" type="#_x0000_t75" style="width:1.75pt;height:19pt">
            <v:imagedata r:id="rId29" r:href="rId98"/>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9" w:history="1">
        <w:r w:rsidRPr="004745DD">
          <w:rPr>
            <w:rFonts w:ascii="Arial" w:eastAsia="Times New Roman" w:hAnsi="Arial" w:cs="Arial"/>
            <w:color w:val="0000FF"/>
            <w:sz w:val="18"/>
            <w:szCs w:val="24"/>
            <w:u w:val="single"/>
            <w:lang w:eastAsia="es-MX"/>
          </w:rPr>
          <w:t xml:space="preserve">29-578-PO-12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08 | Ejercicio, registro y control de recursos financieros</w:t>
        </w:r>
      </w:hyperlink>
      <w:hyperlink r:id="rId10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59" type="#_x0000_t75" alt="Comentarios" style="width:11.5pt;height:7.5pt;mso-wrap-distance-left:6.75pt;mso-wrap-distance-right:6.75pt" o:button="t">
              <v:imagedata r:id="rId33" r:href="rId101"/>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60" type="#_x0000_t75" alt="Fichas Ligadas" style="width:13.25pt;height:5.75pt" o:button="t">
              <v:imagedata r:id="rId36" r:href="rId103"/>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lastRenderedPageBreak/>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61" type="#_x0000_t75" style="width:1.75pt;height:19pt">
            <v:imagedata r:id="rId29" r:href="rId104"/>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5" w:history="1">
        <w:r w:rsidRPr="004745DD">
          <w:rPr>
            <w:rFonts w:ascii="Arial" w:eastAsia="Times New Roman" w:hAnsi="Arial" w:cs="Arial"/>
            <w:color w:val="0000FF"/>
            <w:sz w:val="18"/>
            <w:szCs w:val="24"/>
            <w:u w:val="single"/>
            <w:lang w:eastAsia="es-MX"/>
          </w:rPr>
          <w:t xml:space="preserve">29-578-PO-13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Remodelación, mantenimiento y equipamiento</w:t>
        </w:r>
      </w:hyperlink>
      <w:hyperlink r:id="rId10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62" type="#_x0000_t75" alt="Comentarios" style="width:11.5pt;height:7.5pt;mso-wrap-distance-left:6.75pt;mso-wrap-distance-right:6.75pt" o:button="t">
              <v:imagedata r:id="rId33" r:href="rId107"/>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63" type="#_x0000_t75" alt="Fichas Ligadas" style="width:13.25pt;height:5.75pt" o:button="t">
              <v:imagedata r:id="rId36" r:href="rId109"/>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hyperlink r:id="rId11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64" type="#_x0000_t75" alt="Archivos Auxiliares" style="width:12.1pt;height:5.75pt;mso-wrap-distance-left:3pt;mso-wrap-distance-right:3pt" o:button="t">
              <v:imagedata r:id="rId111" r:href="rId112"/>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44A74">
        <w:rPr>
          <w:rFonts w:ascii="Arial" w:eastAsia="Times New Roman" w:hAnsi="Arial" w:cs="Arial"/>
          <w:sz w:val="18"/>
          <w:szCs w:val="24"/>
          <w:lang w:eastAsia="es-MX"/>
        </w:rPr>
        <w:fldChar w:fldCharType="begin"/>
      </w:r>
      <w:r w:rsidR="00A44A74">
        <w:rPr>
          <w:rFonts w:ascii="Arial" w:eastAsia="Times New Roman" w:hAnsi="Arial" w:cs="Arial"/>
          <w:sz w:val="18"/>
          <w:szCs w:val="24"/>
          <w:lang w:eastAsia="es-MX"/>
        </w:rPr>
        <w:instrText xml:space="preserve"> INCLUDEPICTURE  "https://sistemas.conalep.edu.mx:12443/calidadymejora/images/none.gif" \* MERGEFORMATINET </w:instrText>
      </w:r>
      <w:r w:rsidR="00A44A74">
        <w:rPr>
          <w:rFonts w:ascii="Arial" w:eastAsia="Times New Roman" w:hAnsi="Arial" w:cs="Arial"/>
          <w:sz w:val="18"/>
          <w:szCs w:val="24"/>
          <w:lang w:eastAsia="es-MX"/>
        </w:rPr>
        <w:fldChar w:fldCharType="separate"/>
      </w:r>
      <w:r w:rsidR="00E8039B">
        <w:rPr>
          <w:rFonts w:ascii="Arial" w:eastAsia="Times New Roman" w:hAnsi="Arial" w:cs="Arial"/>
          <w:sz w:val="18"/>
          <w:szCs w:val="24"/>
          <w:lang w:eastAsia="es-MX"/>
        </w:rPr>
        <w:fldChar w:fldCharType="begin"/>
      </w:r>
      <w:r w:rsidR="00E8039B">
        <w:rPr>
          <w:rFonts w:ascii="Arial" w:eastAsia="Times New Roman" w:hAnsi="Arial" w:cs="Arial"/>
          <w:sz w:val="18"/>
          <w:szCs w:val="24"/>
          <w:lang w:eastAsia="es-MX"/>
        </w:rPr>
        <w:instrText xml:space="preserve"> INCLUDEPICTURE  "https://sistemas.conalep.edu.mx:12443/calidadymejora/images/none.gif" \* MERGEFORMATINET </w:instrText>
      </w:r>
      <w:r w:rsidR="00E8039B">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fldChar w:fldCharType="begin"/>
      </w:r>
      <w:r w:rsidR="00C17E0E">
        <w:rPr>
          <w:rFonts w:ascii="Arial" w:eastAsia="Times New Roman" w:hAnsi="Arial" w:cs="Arial"/>
          <w:sz w:val="18"/>
          <w:szCs w:val="24"/>
          <w:lang w:eastAsia="es-MX"/>
        </w:rPr>
        <w:instrText xml:space="preserve"> INCLUDEPICTURE  "https://sistemas.conalep.edu.mx:12443/calidadymejora/images/none.gif" \* MERGEFORMATINET </w:instrText>
      </w:r>
      <w:r w:rsidR="00C17E0E">
        <w:rPr>
          <w:rFonts w:ascii="Arial" w:eastAsia="Times New Roman" w:hAnsi="Arial" w:cs="Arial"/>
          <w:sz w:val="18"/>
          <w:szCs w:val="24"/>
          <w:lang w:eastAsia="es-MX"/>
        </w:rPr>
        <w:fldChar w:fldCharType="separate"/>
      </w:r>
      <w:r w:rsidR="00C17E0E">
        <w:rPr>
          <w:rFonts w:ascii="Arial" w:eastAsia="Times New Roman" w:hAnsi="Arial" w:cs="Arial"/>
          <w:sz w:val="18"/>
          <w:szCs w:val="24"/>
          <w:lang w:eastAsia="es-MX"/>
        </w:rPr>
        <w:pict>
          <v:shape id="_x0000_i1065" type="#_x0000_t75" style="width:1.75pt;height:19pt">
            <v:imagedata r:id="rId29" r:href="rId113"/>
          </v:shape>
        </w:pict>
      </w:r>
      <w:r w:rsidR="00C17E0E">
        <w:rPr>
          <w:rFonts w:ascii="Arial" w:eastAsia="Times New Roman" w:hAnsi="Arial" w:cs="Arial"/>
          <w:sz w:val="18"/>
          <w:szCs w:val="24"/>
          <w:lang w:eastAsia="es-MX"/>
        </w:rPr>
        <w:fldChar w:fldCharType="end"/>
      </w:r>
      <w:r w:rsidR="00E8039B">
        <w:rPr>
          <w:rFonts w:ascii="Arial" w:eastAsia="Times New Roman" w:hAnsi="Arial" w:cs="Arial"/>
          <w:sz w:val="18"/>
          <w:szCs w:val="24"/>
          <w:lang w:eastAsia="es-MX"/>
        </w:rPr>
        <w:fldChar w:fldCharType="end"/>
      </w:r>
      <w:r w:rsidR="00A44A74">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4" w:history="1">
        <w:r w:rsidRPr="004745DD">
          <w:rPr>
            <w:rFonts w:ascii="Arial" w:eastAsia="Times New Roman" w:hAnsi="Arial" w:cs="Arial"/>
            <w:color w:val="0000FF"/>
            <w:sz w:val="18"/>
            <w:szCs w:val="24"/>
            <w:u w:val="single"/>
            <w:lang w:eastAsia="es-MX"/>
          </w:rPr>
          <w:t xml:space="preserve">29-578-PO-14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Servicios de apoyo</w:t>
        </w:r>
      </w:hyperlink>
      <w:hyperlink r:id="rId11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66" type="#_x0000_t75" alt="Comentarios" style="width:11.5pt;height:7.5pt;mso-wrap-distance-left:6.75pt;mso-wrap-distance-right:6.75pt" o:button="t">
              <v:imagedata r:id="rId33" r:href="rId116"/>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7"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44A74">
          <w:rPr>
            <w:rFonts w:ascii="Arial" w:eastAsia="Times New Roman" w:hAnsi="Arial" w:cs="Arial"/>
            <w:color w:val="0000FF"/>
            <w:sz w:val="18"/>
            <w:szCs w:val="24"/>
            <w:lang w:eastAsia="es-MX"/>
          </w:rPr>
          <w:fldChar w:fldCharType="begin"/>
        </w:r>
        <w:r w:rsidR="00A44A7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44A74">
          <w:rPr>
            <w:rFonts w:ascii="Arial" w:eastAsia="Times New Roman" w:hAnsi="Arial" w:cs="Arial"/>
            <w:color w:val="0000FF"/>
            <w:sz w:val="18"/>
            <w:szCs w:val="24"/>
            <w:lang w:eastAsia="es-MX"/>
          </w:rPr>
          <w:fldChar w:fldCharType="separate"/>
        </w:r>
        <w:r w:rsidR="00E8039B">
          <w:rPr>
            <w:rFonts w:ascii="Arial" w:eastAsia="Times New Roman" w:hAnsi="Arial" w:cs="Arial"/>
            <w:color w:val="0000FF"/>
            <w:sz w:val="18"/>
            <w:szCs w:val="24"/>
            <w:lang w:eastAsia="es-MX"/>
          </w:rPr>
          <w:fldChar w:fldCharType="begin"/>
        </w:r>
        <w:r w:rsidR="00E803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E8039B">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fldChar w:fldCharType="begin"/>
        </w:r>
        <w:r w:rsidR="00C17E0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17E0E">
          <w:rPr>
            <w:rFonts w:ascii="Arial" w:eastAsia="Times New Roman" w:hAnsi="Arial" w:cs="Arial"/>
            <w:color w:val="0000FF"/>
            <w:sz w:val="18"/>
            <w:szCs w:val="24"/>
            <w:lang w:eastAsia="es-MX"/>
          </w:rPr>
          <w:fldChar w:fldCharType="separate"/>
        </w:r>
        <w:r w:rsidR="00C17E0E">
          <w:rPr>
            <w:rFonts w:ascii="Arial" w:eastAsia="Times New Roman" w:hAnsi="Arial" w:cs="Arial"/>
            <w:color w:val="0000FF"/>
            <w:sz w:val="18"/>
            <w:szCs w:val="24"/>
            <w:lang w:eastAsia="es-MX"/>
          </w:rPr>
          <w:pict>
            <v:shape id="_x0000_i1067" type="#_x0000_t75" alt="Fichas Ligadas" style="width:13.25pt;height:5.75pt" o:button="t">
              <v:imagedata r:id="rId36" r:href="rId118"/>
            </v:shape>
          </w:pict>
        </w:r>
        <w:r w:rsidR="00C17E0E">
          <w:rPr>
            <w:rFonts w:ascii="Arial" w:eastAsia="Times New Roman" w:hAnsi="Arial" w:cs="Arial"/>
            <w:color w:val="0000FF"/>
            <w:sz w:val="18"/>
            <w:szCs w:val="24"/>
            <w:lang w:eastAsia="es-MX"/>
          </w:rPr>
          <w:fldChar w:fldCharType="end"/>
        </w:r>
        <w:r w:rsidR="00E8039B">
          <w:rPr>
            <w:rFonts w:ascii="Arial" w:eastAsia="Times New Roman" w:hAnsi="Arial" w:cs="Arial"/>
            <w:color w:val="0000FF"/>
            <w:sz w:val="18"/>
            <w:szCs w:val="24"/>
            <w:lang w:eastAsia="es-MX"/>
          </w:rPr>
          <w:fldChar w:fldCharType="end"/>
        </w:r>
        <w:r w:rsidR="00A44A74">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513B4" w:rsidRDefault="004513B4" w:rsidP="004513B4">
      <w:pPr>
        <w:pStyle w:val="INCISO"/>
        <w:spacing w:after="0" w:line="240" w:lineRule="exact"/>
        <w:ind w:firstLine="0"/>
        <w:rPr>
          <w:rFonts w:ascii="Soberana Sans Light" w:hAnsi="Soberana Sans Light"/>
          <w:sz w:val="22"/>
          <w:szCs w:val="22"/>
          <w:lang w:val="es-MX"/>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540418" w:rsidRDefault="00540418" w:rsidP="00540418">
      <w:pPr>
        <w:pStyle w:val="Texto"/>
        <w:spacing w:after="0" w:line="240" w:lineRule="exact"/>
        <w:ind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r w:rsidR="000A3D50">
        <w:rPr>
          <w:rFonts w:ascii="Soberana Sans Light" w:hAnsi="Soberana Sans Light"/>
          <w:sz w:val="22"/>
          <w:szCs w:val="22"/>
        </w:rPr>
        <w:t xml:space="preserve"> </w:t>
      </w:r>
      <w:r w:rsidR="000A3D50" w:rsidRPr="000A3D50">
        <w:rPr>
          <w:rFonts w:ascii="Soberana Sans Light" w:hAnsi="Soberana Sans Light"/>
          <w:sz w:val="22"/>
          <w:szCs w:val="22"/>
        </w:rPr>
        <w:t>No existen partes relacionadas que pudieran ejercer influencia significativa sobre la toma de decisiones financieras y operativas de la entidad</w:t>
      </w:r>
      <w:r w:rsidR="000A3D50">
        <w:rPr>
          <w:rFonts w:ascii="Soberana Sans Light" w:hAnsi="Soberana Sans Light"/>
          <w:sz w:val="22"/>
          <w:szCs w:val="22"/>
        </w:rPr>
        <w:t>.</w:t>
      </w:r>
    </w:p>
    <w:p w:rsidR="00001107" w:rsidRDefault="00001107" w:rsidP="00540418">
      <w:pPr>
        <w:pStyle w:val="Texto"/>
        <w:spacing w:after="0" w:line="240" w:lineRule="exact"/>
        <w:rPr>
          <w:rFonts w:ascii="Soberana Sans Light" w:hAnsi="Soberana Sans Light"/>
          <w:sz w:val="22"/>
          <w:szCs w:val="22"/>
        </w:rPr>
      </w:pPr>
    </w:p>
    <w:p w:rsidR="00574266" w:rsidRPr="00574266" w:rsidRDefault="00574266" w:rsidP="00574266">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574266" w:rsidRPr="00574266" w:rsidRDefault="00574266" w:rsidP="00574266">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Default="00574266" w:rsidP="00574266">
      <w:pPr>
        <w:pStyle w:val="Texto"/>
        <w:spacing w:after="0" w:line="240" w:lineRule="exact"/>
        <w:rPr>
          <w:rFonts w:ascii="Soberana Sans Light" w:hAnsi="Soberana Sans Light"/>
          <w:sz w:val="22"/>
          <w:szCs w:val="22"/>
        </w:rPr>
      </w:pPr>
    </w:p>
    <w:p w:rsidR="00575404" w:rsidRPr="00574266" w:rsidRDefault="00575404" w:rsidP="00574266">
      <w:pPr>
        <w:pStyle w:val="Texto"/>
        <w:spacing w:after="0" w:line="240" w:lineRule="exact"/>
        <w:rPr>
          <w:rFonts w:ascii="Soberana Sans Light" w:hAnsi="Soberana Sans Light"/>
          <w:sz w:val="22"/>
          <w:szCs w:val="22"/>
        </w:rPr>
      </w:pPr>
      <w:bookmarkStart w:id="0" w:name="_GoBack"/>
      <w:bookmarkEnd w:id="0"/>
    </w:p>
    <w:p w:rsidR="00574266" w:rsidRDefault="00574266" w:rsidP="00540418">
      <w:pPr>
        <w:pStyle w:val="Texto"/>
        <w:spacing w:after="0" w:line="240" w:lineRule="exact"/>
        <w:rPr>
          <w:rFonts w:ascii="Soberana Sans Light" w:hAnsi="Soberana Sans Light"/>
          <w:sz w:val="22"/>
          <w:szCs w:val="22"/>
        </w:rPr>
      </w:pPr>
    </w:p>
    <w:p w:rsidR="00001107" w:rsidRDefault="00C17E0E"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47.8pt;margin-top:4.95pt;width:630.95pt;height:52.25pt;z-index:251665408;mso-position-horizontal-relative:text;mso-position-vertical-relative:text;mso-width-relative:page;mso-height-relative:page">
            <v:imagedata r:id="rId119" o:title=""/>
            <w10:wrap type="topAndBottom"/>
          </v:shape>
          <o:OLEObject Type="Embed" ProgID="Excel.Sheet.12" ShapeID="_x0000_s1038" DrawAspect="Content" ObjectID="_1505635004" r:id="rId120"/>
        </w:object>
      </w:r>
    </w:p>
    <w:sectPr w:rsidR="00001107" w:rsidSect="008E3652">
      <w:headerReference w:type="even" r:id="rId121"/>
      <w:headerReference w:type="default" r:id="rId122"/>
      <w:footerReference w:type="even" r:id="rId123"/>
      <w:footerReference w:type="default" r:id="rId1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881" w:rsidRDefault="00EB4881" w:rsidP="00EA5418">
      <w:pPr>
        <w:spacing w:after="0" w:line="240" w:lineRule="auto"/>
      </w:pPr>
      <w:r>
        <w:separator/>
      </w:r>
    </w:p>
  </w:endnote>
  <w:endnote w:type="continuationSeparator" w:id="0">
    <w:p w:rsidR="00EB4881" w:rsidRDefault="00EB48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0E" w:rsidRPr="0013011C" w:rsidRDefault="00C17E0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7C4A9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75404" w:rsidRPr="00575404">
          <w:rPr>
            <w:rFonts w:ascii="Soberana Sans Light" w:hAnsi="Soberana Sans Light"/>
            <w:noProof/>
            <w:lang w:val="es-ES"/>
          </w:rPr>
          <w:t>16</w:t>
        </w:r>
        <w:r w:rsidRPr="0013011C">
          <w:rPr>
            <w:rFonts w:ascii="Soberana Sans Light" w:hAnsi="Soberana Sans Light"/>
          </w:rPr>
          <w:fldChar w:fldCharType="end"/>
        </w:r>
      </w:sdtContent>
    </w:sdt>
  </w:p>
  <w:p w:rsidR="00C17E0E" w:rsidRDefault="00C17E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0E" w:rsidRPr="008E3652" w:rsidRDefault="00C17E0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10693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75404" w:rsidRPr="00575404">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881" w:rsidRDefault="00EB4881" w:rsidP="00EA5418">
      <w:pPr>
        <w:spacing w:after="0" w:line="240" w:lineRule="auto"/>
      </w:pPr>
      <w:r>
        <w:separator/>
      </w:r>
    </w:p>
  </w:footnote>
  <w:footnote w:type="continuationSeparator" w:id="0">
    <w:p w:rsidR="00EB4881" w:rsidRDefault="00EB488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0E" w:rsidRDefault="00C17E0E">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E0E" w:rsidRDefault="00C17E0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17E0E" w:rsidRDefault="00C17E0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17E0E" w:rsidRPr="00275FC6" w:rsidRDefault="00C17E0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E0E" w:rsidRDefault="00C17E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C17E0E" w:rsidRDefault="00C17E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17E0E" w:rsidRPr="00275FC6" w:rsidRDefault="00C17E0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17E0E" w:rsidRDefault="00C17E0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17E0E" w:rsidRDefault="00C17E0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17E0E" w:rsidRPr="00275FC6" w:rsidRDefault="00C17E0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17E0E" w:rsidRDefault="00C17E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C17E0E" w:rsidRDefault="00C17E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17E0E" w:rsidRPr="00275FC6" w:rsidRDefault="00C17E0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238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E0E" w:rsidRPr="0013011C" w:rsidRDefault="00C17E0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DC8367"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7"/>
  </w:num>
  <w:num w:numId="5">
    <w:abstractNumId w:val="5"/>
  </w:num>
  <w:num w:numId="6">
    <w:abstractNumId w:val="9"/>
  </w:num>
  <w:num w:numId="7">
    <w:abstractNumId w:val="8"/>
  </w:num>
  <w:num w:numId="8">
    <w:abstractNumId w:val="3"/>
  </w:num>
  <w:num w:numId="9">
    <w:abstractNumId w:val="1"/>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2F09"/>
    <w:rsid w:val="00040466"/>
    <w:rsid w:val="00045A10"/>
    <w:rsid w:val="00064580"/>
    <w:rsid w:val="000A0F20"/>
    <w:rsid w:val="000A3D50"/>
    <w:rsid w:val="000C6484"/>
    <w:rsid w:val="000D23EE"/>
    <w:rsid w:val="0013011C"/>
    <w:rsid w:val="00165BB4"/>
    <w:rsid w:val="001B1B72"/>
    <w:rsid w:val="001B6054"/>
    <w:rsid w:val="001C456B"/>
    <w:rsid w:val="001C6FD8"/>
    <w:rsid w:val="001D16EC"/>
    <w:rsid w:val="001E7072"/>
    <w:rsid w:val="00204C86"/>
    <w:rsid w:val="00212E3A"/>
    <w:rsid w:val="00264426"/>
    <w:rsid w:val="002A70B3"/>
    <w:rsid w:val="00302A4C"/>
    <w:rsid w:val="00372F40"/>
    <w:rsid w:val="00396C2B"/>
    <w:rsid w:val="003A0303"/>
    <w:rsid w:val="003C5CC1"/>
    <w:rsid w:val="003D5DBF"/>
    <w:rsid w:val="003E7FD0"/>
    <w:rsid w:val="003F0EA4"/>
    <w:rsid w:val="004103E7"/>
    <w:rsid w:val="004311BE"/>
    <w:rsid w:val="0044253C"/>
    <w:rsid w:val="004513B4"/>
    <w:rsid w:val="00462D71"/>
    <w:rsid w:val="004714CF"/>
    <w:rsid w:val="00484C0D"/>
    <w:rsid w:val="00497D8B"/>
    <w:rsid w:val="004D06DD"/>
    <w:rsid w:val="004D41B8"/>
    <w:rsid w:val="004E2F50"/>
    <w:rsid w:val="004F5641"/>
    <w:rsid w:val="00522632"/>
    <w:rsid w:val="00522EF3"/>
    <w:rsid w:val="00540418"/>
    <w:rsid w:val="0055296A"/>
    <w:rsid w:val="005562F3"/>
    <w:rsid w:val="00574266"/>
    <w:rsid w:val="00575404"/>
    <w:rsid w:val="005B789D"/>
    <w:rsid w:val="005D3D25"/>
    <w:rsid w:val="005F40F5"/>
    <w:rsid w:val="00645480"/>
    <w:rsid w:val="006460B1"/>
    <w:rsid w:val="0064647A"/>
    <w:rsid w:val="006B1FE7"/>
    <w:rsid w:val="006B6C7C"/>
    <w:rsid w:val="006D7194"/>
    <w:rsid w:val="006E77DD"/>
    <w:rsid w:val="006F052F"/>
    <w:rsid w:val="007209F2"/>
    <w:rsid w:val="0079582C"/>
    <w:rsid w:val="007B7D8D"/>
    <w:rsid w:val="007C00B7"/>
    <w:rsid w:val="007D6E9A"/>
    <w:rsid w:val="007E1E3D"/>
    <w:rsid w:val="007F0D13"/>
    <w:rsid w:val="00811DAC"/>
    <w:rsid w:val="008853B3"/>
    <w:rsid w:val="0089054E"/>
    <w:rsid w:val="008966DD"/>
    <w:rsid w:val="008A6E4D"/>
    <w:rsid w:val="008A793D"/>
    <w:rsid w:val="008B0017"/>
    <w:rsid w:val="008E3652"/>
    <w:rsid w:val="008F06B2"/>
    <w:rsid w:val="008F6D58"/>
    <w:rsid w:val="008F7013"/>
    <w:rsid w:val="00904C81"/>
    <w:rsid w:val="00916ABE"/>
    <w:rsid w:val="0093492C"/>
    <w:rsid w:val="00957043"/>
    <w:rsid w:val="009812AC"/>
    <w:rsid w:val="009C18C6"/>
    <w:rsid w:val="009D5D4C"/>
    <w:rsid w:val="009F23C4"/>
    <w:rsid w:val="00A363B6"/>
    <w:rsid w:val="00A44A74"/>
    <w:rsid w:val="00A46BF5"/>
    <w:rsid w:val="00A50E62"/>
    <w:rsid w:val="00AD7CEF"/>
    <w:rsid w:val="00B146E2"/>
    <w:rsid w:val="00B57C78"/>
    <w:rsid w:val="00B656B2"/>
    <w:rsid w:val="00B704E9"/>
    <w:rsid w:val="00B849EE"/>
    <w:rsid w:val="00B84D02"/>
    <w:rsid w:val="00B910F9"/>
    <w:rsid w:val="00BA2940"/>
    <w:rsid w:val="00BB3924"/>
    <w:rsid w:val="00C105B2"/>
    <w:rsid w:val="00C16E53"/>
    <w:rsid w:val="00C17E0E"/>
    <w:rsid w:val="00C431B4"/>
    <w:rsid w:val="00C86C59"/>
    <w:rsid w:val="00C91C5A"/>
    <w:rsid w:val="00CA0D51"/>
    <w:rsid w:val="00CC5E8E"/>
    <w:rsid w:val="00CD6D9A"/>
    <w:rsid w:val="00D00E92"/>
    <w:rsid w:val="00D055EC"/>
    <w:rsid w:val="00D24FA5"/>
    <w:rsid w:val="00D31AC6"/>
    <w:rsid w:val="00D44728"/>
    <w:rsid w:val="00D562FF"/>
    <w:rsid w:val="00DB05EB"/>
    <w:rsid w:val="00DE3A2C"/>
    <w:rsid w:val="00DF56C9"/>
    <w:rsid w:val="00E30318"/>
    <w:rsid w:val="00E32708"/>
    <w:rsid w:val="00E71557"/>
    <w:rsid w:val="00E8039B"/>
    <w:rsid w:val="00EA5418"/>
    <w:rsid w:val="00EB4881"/>
    <w:rsid w:val="00EE46FB"/>
    <w:rsid w:val="00F17C0D"/>
    <w:rsid w:val="00F215D2"/>
    <w:rsid w:val="00F650A0"/>
    <w:rsid w:val="00F755D0"/>
    <w:rsid w:val="00F82C9A"/>
    <w:rsid w:val="00FB1010"/>
    <w:rsid w:val="00FD5A63"/>
    <w:rsid w:val="00FE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1.xml"/><Relationship Id="rId117" Type="http://schemas.openxmlformats.org/officeDocument/2006/relationships/hyperlink" Target="javascript:winopen('fichaligas.asp?sesion=201412041237573641&amp;infocard=201205041441254314','Documentos','width=700px,height=700px,resizable=yes,toolbar=NO,location=NO,menubar=NO,scrollbars=yes,status=yes');" TargetMode="External"/><Relationship Id="rId21" Type="http://schemas.openxmlformats.org/officeDocument/2006/relationships/image" Target="media/image13.emf"/><Relationship Id="rId42" Type="http://schemas.openxmlformats.org/officeDocument/2006/relationships/hyperlink" Target="javascript:winopen('fichaligas.asp?sesion=201412041237573641&amp;infocard=201302060827303484','Documentos','width=700px,height=700px,resizable=yes,toolbar=NO,location=NO,menubar=NO,scrollbars=yes,status=yes');" TargetMode="External"/><Relationship Id="rId47" Type="http://schemas.openxmlformats.org/officeDocument/2006/relationships/image" Target="https://sistemas.conalep.edu.mx:12443/calidadymejora/images/foros.gif" TargetMode="External"/><Relationship Id="rId63" Type="http://schemas.openxmlformats.org/officeDocument/2006/relationships/hyperlink" Target="javascript:winopen('fichainfo.asp?sesion=201412041237573641&amp;infocard=201205021549142439&amp;d=Y','201205021549142439','width=maxwidth,height=maxheight,resizable=yes,toolbar=NO,location=NO,menubar=NO,status=yes,scrollbars=yes');" TargetMode="External"/><Relationship Id="rId68" Type="http://schemas.openxmlformats.org/officeDocument/2006/relationships/image" Target="https://sistemas.conalep.edu.mx:12443/calidadymejora/images/none.gif" TargetMode="External"/><Relationship Id="rId84" Type="http://schemas.openxmlformats.org/officeDocument/2006/relationships/hyperlink" Target="javascript:winopen('fichaligas.asp?sesion=201412041237573641&amp;infocard=201205021556192225','Documentos','width=700px,height=700px,resizable=yes,toolbar=NO,location=NO,menubar=NO,scrollbars=yes,status=yes');" TargetMode="External"/><Relationship Id="rId89" Type="http://schemas.openxmlformats.org/officeDocument/2006/relationships/image" Target="https://sistemas.conalep.edu.mx:12443/calidadymejora/images/foros.gif" TargetMode="External"/><Relationship Id="rId112" Type="http://schemas.openxmlformats.org/officeDocument/2006/relationships/image" Target="https://sistemas.conalep.edu.mx:12443/calidadymejora/images/anexos.gif" TargetMode="External"/><Relationship Id="rId16" Type="http://schemas.openxmlformats.org/officeDocument/2006/relationships/image" Target="media/image9.emf"/><Relationship Id="rId107" Type="http://schemas.openxmlformats.org/officeDocument/2006/relationships/image" Target="https://sistemas.conalep.edu.mx:12443/calidadymejora/images/foros.gif" TargetMode="External"/><Relationship Id="rId11" Type="http://schemas.openxmlformats.org/officeDocument/2006/relationships/image" Target="media/image4.emf"/><Relationship Id="rId32" Type="http://schemas.openxmlformats.org/officeDocument/2006/relationships/hyperlink" Target="javascript:winopen('comentarios.asp?sesion=201412041237573641&amp;infocard=201204301442113572&amp;f=Y&amp;lang=0','Comentarios','width=500,height=400,resizable=yes,location=no,toolbar=no,scrollbars=yes,status=yes');" TargetMode="External"/><Relationship Id="rId37" Type="http://schemas.openxmlformats.org/officeDocument/2006/relationships/image" Target="https://sistemas.conalep.edu.mx:12443/calidadymejora/images/link.gif" TargetMode="External"/><Relationship Id="rId53" Type="http://schemas.openxmlformats.org/officeDocument/2006/relationships/image" Target="https://sistemas.conalep.edu.mx:12443/calidadymejora/images/foros.gif" TargetMode="External"/><Relationship Id="rId58" Type="http://schemas.openxmlformats.org/officeDocument/2006/relationships/hyperlink" Target="javascript:winopen('comentarios.asp?sesion=201412041237573641&amp;infocard=201311071343151287&amp;f=Y&amp;lang=0','Comentarios','width=500,height=400,resizable=yes,location=no,toolbar=no,scrollbars=yes,status=yes');" TargetMode="External"/><Relationship Id="rId74" Type="http://schemas.openxmlformats.org/officeDocument/2006/relationships/image" Target="https://sistemas.conalep.edu.mx:12443/calidadymejora/images/none.gif" TargetMode="External"/><Relationship Id="rId79" Type="http://schemas.openxmlformats.org/officeDocument/2006/relationships/image" Target="https://sistemas.conalep.edu.mx:12443/calidadymejora/images/link.gif" TargetMode="External"/><Relationship Id="rId102" Type="http://schemas.openxmlformats.org/officeDocument/2006/relationships/hyperlink" Target="javascript:winopen('fichaligas.asp?sesion=201412041237573641&amp;infocard=201205031055557195','Documentos','width=700px,height=700px,resizable=yes,toolbar=NO,location=NO,menubar=NO,scrollbars=yes,status=yes');"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javascript:winopen('fichaligas.asp?sesion=201412041237573641&amp;infocard=201205021558088670','Documentos','width=700px,height=700px,resizable=yes,toolbar=NO,location=NO,menubar=NO,scrollbars=yes,status=yes');" TargetMode="External"/><Relationship Id="rId95" Type="http://schemas.openxmlformats.org/officeDocument/2006/relationships/image" Target="https://sistemas.conalep.edu.mx:12443/calidadymejora/images/foros.gif" TargetMode="External"/><Relationship Id="rId22" Type="http://schemas.openxmlformats.org/officeDocument/2006/relationships/package" Target="embeddings/Hoja_de_c_lculo_de_Microsoft_Excel2.xlsx"/><Relationship Id="rId27" Type="http://schemas.microsoft.com/office/2007/relationships/diagramDrawing" Target="diagrams/drawing1.xml"/><Relationship Id="rId43" Type="http://schemas.openxmlformats.org/officeDocument/2006/relationships/image" Target="https://sistemas.conalep.edu.mx:12443/calidadymejora/images/link.gif" TargetMode="External"/><Relationship Id="rId48" Type="http://schemas.openxmlformats.org/officeDocument/2006/relationships/hyperlink" Target="javascript:winopen('fichaligas.asp?sesion=201412041237573641&amp;infocard=201205041438440594','Documentos','width=700px,height=700px,resizable=yes,toolbar=NO,location=NO,menubar=NO,scrollbars=yes,status=yes');" TargetMode="External"/><Relationship Id="rId64" Type="http://schemas.openxmlformats.org/officeDocument/2006/relationships/hyperlink" Target="javascript:winopen('comentarios.asp?sesion=201412041237573641&amp;infocard=201205021549142439&amp;f=Y&amp;lang=0','Comentarios','width=500,height=400,resizable=yes,location=no,toolbar=no,scrollbars=yes,status=yes');" TargetMode="External"/><Relationship Id="rId69" Type="http://schemas.openxmlformats.org/officeDocument/2006/relationships/hyperlink" Target="javascript:winopen('fichainfo.asp?sesion=201412041237573641&amp;infocard=201205021550533377&amp;d=Y','201205021550533377','width=maxwidth,height=maxheight,resizable=yes,toolbar=NO,location=NO,menubar=NO,status=yes,scrollbars=yes');" TargetMode="External"/><Relationship Id="rId113" Type="http://schemas.openxmlformats.org/officeDocument/2006/relationships/image" Target="https://sistemas.conalep.edu.mx:12443/calidadymejora/images/none.gif" TargetMode="External"/><Relationship Id="rId118" Type="http://schemas.openxmlformats.org/officeDocument/2006/relationships/image" Target="https://sistemas.conalep.edu.mx:12443/calidadymejora/images/link.gif" TargetMode="External"/><Relationship Id="rId80" Type="http://schemas.openxmlformats.org/officeDocument/2006/relationships/image" Target="https://sistemas.conalep.edu.mx:12443/calidadymejora/images/none.gif" TargetMode="External"/><Relationship Id="rId85" Type="http://schemas.openxmlformats.org/officeDocument/2006/relationships/image" Target="https://sistemas.conalep.edu.mx:12443/calidadymejora/images/link.gif" TargetMode="External"/><Relationship Id="rId12" Type="http://schemas.openxmlformats.org/officeDocument/2006/relationships/image" Target="media/image5.emf"/><Relationship Id="rId17"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image" Target="https://sistemas.conalep.edu.mx:12443/calidadymejora/images/none.gif" TargetMode="External"/><Relationship Id="rId59" Type="http://schemas.openxmlformats.org/officeDocument/2006/relationships/image" Target="https://sistemas.conalep.edu.mx:12443/calidadymejora/images/foros.gif" TargetMode="External"/><Relationship Id="rId103" Type="http://schemas.openxmlformats.org/officeDocument/2006/relationships/image" Target="https://sistemas.conalep.edu.mx:12443/calidadymejora/images/link.gif" TargetMode="External"/><Relationship Id="rId108" Type="http://schemas.openxmlformats.org/officeDocument/2006/relationships/hyperlink" Target="javascript:winopen('fichaligas.asp?sesion=201412041237573641&amp;infocard=201205031100533885','Documentos','width=700px,height=700px,resizable=yes,toolbar=NO,location=NO,menubar=NO,scrollbars=yes,status=yes');" TargetMode="External"/><Relationship Id="rId124" Type="http://schemas.openxmlformats.org/officeDocument/2006/relationships/footer" Target="footer2.xml"/><Relationship Id="rId54" Type="http://schemas.openxmlformats.org/officeDocument/2006/relationships/hyperlink" Target="javascript:winopen('fichaligas.asp?sesion=201412041237573641&amp;infocard=201205021544416922','Documentos','width=700px,height=700px,resizable=yes,toolbar=NO,location=NO,menubar=NO,scrollbars=yes,status=yes');" TargetMode="External"/><Relationship Id="rId70" Type="http://schemas.openxmlformats.org/officeDocument/2006/relationships/hyperlink" Target="javascript:winopen('comentarios.asp?sesion=201412041237573641&amp;infocard=201205021550533377&amp;f=Y&amp;lang=0','Comentarios','width=500,height=400,resizable=yes,location=no,toolbar=no,scrollbars=yes,status=yes');" TargetMode="External"/><Relationship Id="rId75" Type="http://schemas.openxmlformats.org/officeDocument/2006/relationships/hyperlink" Target="javascript:winopen('fichainfo.asp?sesion=201412041237573641&amp;infocard=201205021553465223&amp;d=Y','201205021553465223','width=maxwidth,height=maxheight,resizable=yes,toolbar=NO,location=NO,menubar=NO,status=yes,scrollbars=yes');" TargetMode="External"/><Relationship Id="rId91" Type="http://schemas.openxmlformats.org/officeDocument/2006/relationships/image" Target="https://sistemas.conalep.edu.mx:12443/calidadymejora/images/link.gif" TargetMode="External"/><Relationship Id="rId96" Type="http://schemas.openxmlformats.org/officeDocument/2006/relationships/hyperlink" Target="javascript:winopen('fichaligas.asp?sesion=201412041237573641&amp;infocard=201205021600132000','Documentos','width=700px,height=700px,resizable=yes,toolbar=NO,location=NO,menubar=NO,scrollbars=yes,status=y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Data" Target="diagrams/data1.xml"/><Relationship Id="rId28" Type="http://schemas.openxmlformats.org/officeDocument/2006/relationships/image" Target="media/image14.emf"/><Relationship Id="rId49" Type="http://schemas.openxmlformats.org/officeDocument/2006/relationships/image" Target="https://sistemas.conalep.edu.mx:12443/calidadymejora/images/link.gif" TargetMode="External"/><Relationship Id="rId114" Type="http://schemas.openxmlformats.org/officeDocument/2006/relationships/hyperlink" Target="javascript:winopen('fichainfo.asp?sesion=201412041237573641&amp;infocard=201205041441254314&amp;d=Y','201205041441254314','width=maxwidth,height=maxheight,resizable=yes,toolbar=NO,location=NO,menubar=NO,status=yes,scrollbars=yes');" TargetMode="External"/><Relationship Id="rId119" Type="http://schemas.openxmlformats.org/officeDocument/2006/relationships/image" Target="media/image19.emf"/><Relationship Id="rId44" Type="http://schemas.openxmlformats.org/officeDocument/2006/relationships/image" Target="https://sistemas.conalep.edu.mx:12443/calidadymejora/images/none.gif" TargetMode="External"/><Relationship Id="rId60" Type="http://schemas.openxmlformats.org/officeDocument/2006/relationships/hyperlink" Target="javascript:winopen('fichaligas.asp?sesion=201412041237573641&amp;infocard=201311071343151287','Documentos','width=700px,height=700px,resizable=yes,toolbar=NO,location=NO,menubar=NO,scrollbars=yes,status=yes');" TargetMode="External"/><Relationship Id="rId65" Type="http://schemas.openxmlformats.org/officeDocument/2006/relationships/image" Target="https://sistemas.conalep.edu.mx:12443/calidadymejora/images/foros.gif" TargetMode="External"/><Relationship Id="rId81" Type="http://schemas.openxmlformats.org/officeDocument/2006/relationships/hyperlink" Target="javascript:winopen('fichainfo.asp?sesion=201412041237573641&amp;infocard=201205021556192225&amp;d=Y','201205021556192225','width=maxwidth,height=maxheight,resizable=yes,toolbar=NO,location=NO,menubar=NO,status=yes,scrollbars=yes');" TargetMode="External"/><Relationship Id="rId86" Type="http://schemas.openxmlformats.org/officeDocument/2006/relationships/image" Target="https://sistemas.conalep.edu.mx:12443/calidadymejora/images/none.gif" TargetMode="External"/><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hyperlink" Target="javascript:winopen('fichainfo.asp?sesion=201412041237573641&amp;infocard=201302060827303484&amp;d=Y','201302060827303484','width=maxwidth,height=maxheight,resizable=yes,toolbar=NO,location=NO,menubar=NO,status=yes,scrollbars=yes');" TargetMode="External"/><Relationship Id="rId109" Type="http://schemas.openxmlformats.org/officeDocument/2006/relationships/image" Target="https://sistemas.conalep.edu.mx:12443/calidadymejora/images/link.gif" TargetMode="External"/><Relationship Id="rId34" Type="http://schemas.openxmlformats.org/officeDocument/2006/relationships/image" Target="https://sistemas.conalep.edu.mx:12443/calidadymejora/images/foros.gif" TargetMode="External"/><Relationship Id="rId50" Type="http://schemas.openxmlformats.org/officeDocument/2006/relationships/image" Target="https://sistemas.conalep.edu.mx:12443/calidadymejora/images/none.gif" TargetMode="External"/><Relationship Id="rId55" Type="http://schemas.openxmlformats.org/officeDocument/2006/relationships/image" Target="https://sistemas.conalep.edu.mx:12443/calidadymejora/images/link.gif" TargetMode="External"/><Relationship Id="rId76" Type="http://schemas.openxmlformats.org/officeDocument/2006/relationships/hyperlink" Target="javascript:winopen('comentarios.asp?sesion=201412041237573641&amp;infocard=201205021553465223&amp;f=Y&amp;lang=0','Comentarios','width=500,height=400,resizable=yes,location=no,toolbar=no,scrollbars=yes,status=yes');" TargetMode="External"/><Relationship Id="rId97" Type="http://schemas.openxmlformats.org/officeDocument/2006/relationships/image" Target="https://sistemas.conalep.edu.mx:12443/calidadymejora/images/link.gif" TargetMode="External"/><Relationship Id="rId104" Type="http://schemas.openxmlformats.org/officeDocument/2006/relationships/image" Target="https://sistemas.conalep.edu.mx:12443/calidadymejora/images/none.gif" TargetMode="External"/><Relationship Id="rId120" Type="http://schemas.openxmlformats.org/officeDocument/2006/relationships/package" Target="embeddings/Hoja_de_c_lculo_de_Microsoft_Excel3.xlsx"/><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https://sistemas.conalep.edu.mx:12443/calidadymejora/images/foros.gif" TargetMode="External"/><Relationship Id="rId92" Type="http://schemas.openxmlformats.org/officeDocument/2006/relationships/image" Target="https://sistemas.conalep.edu.mx:12443/calidadymejora/images/none.gif" TargetMode="External"/><Relationship Id="rId2" Type="http://schemas.openxmlformats.org/officeDocument/2006/relationships/numbering" Target="numbering.xml"/><Relationship Id="rId29" Type="http://schemas.openxmlformats.org/officeDocument/2006/relationships/image" Target="media/image15.png"/><Relationship Id="rId24" Type="http://schemas.openxmlformats.org/officeDocument/2006/relationships/diagramLayout" Target="diagrams/layout1.xml"/><Relationship Id="rId40" Type="http://schemas.openxmlformats.org/officeDocument/2006/relationships/hyperlink" Target="javascript:winopen('comentarios.asp?sesion=201412041237573641&amp;infocard=201302060827303484&amp;f=Y&amp;lang=0','Comentarios','width=500,height=400,resizable=yes,location=no,toolbar=no,scrollbars=yes,status=yes');" TargetMode="External"/><Relationship Id="rId45" Type="http://schemas.openxmlformats.org/officeDocument/2006/relationships/hyperlink" Target="javascript:winopen('fichainfo.asp?sesion=201412041237573641&amp;infocard=201205041438440594&amp;d=Y','201205041438440594','width=maxwidth,height=maxheight,resizable=yes,toolbar=NO,location=NO,menubar=NO,status=yes,scrollbars=yes');" TargetMode="External"/><Relationship Id="rId66" Type="http://schemas.openxmlformats.org/officeDocument/2006/relationships/hyperlink" Target="javascript:winopen('fichaligas.asp?sesion=201412041237573641&amp;infocard=201205021549142439','Documentos','width=700px,height=700px,resizable=yes,toolbar=NO,location=NO,menubar=NO,scrollbars=yes,status=yes');" TargetMode="External"/><Relationship Id="rId87" Type="http://schemas.openxmlformats.org/officeDocument/2006/relationships/hyperlink" Target="javascript:winopen('fichainfo.asp?sesion=201412041237573641&amp;infocard=201205021558088670&amp;d=Y','201205021558088670','width=maxwidth,height=maxheight,resizable=yes,toolbar=NO,location=NO,menubar=NO,status=yes,scrollbars=yes');" TargetMode="External"/><Relationship Id="rId110" Type="http://schemas.openxmlformats.org/officeDocument/2006/relationships/hyperlink" Target="javascript:winopen('ficharegfilesub.asp?sesion=201412041237573641&amp;infocard=201205031100533885','Documentos','width=500,height=400,resizable=yes,location=no,toolbar=no,scrollbars=yes,status=yes');" TargetMode="External"/><Relationship Id="rId115" Type="http://schemas.openxmlformats.org/officeDocument/2006/relationships/hyperlink" Target="javascript:winopen('comentarios.asp?sesion=201412041237573641&amp;infocard=201205041441254314&amp;f=Y&amp;lang=0','Comentarios','width=500,height=400,resizable=yes,location=no,toolbar=no,scrollbars=yes,status=yes');" TargetMode="External"/><Relationship Id="rId61" Type="http://schemas.openxmlformats.org/officeDocument/2006/relationships/image" Target="https://sistemas.conalep.edu.mx:12443/calidadymejora/images/link.gif" TargetMode="External"/><Relationship Id="rId82" Type="http://schemas.openxmlformats.org/officeDocument/2006/relationships/hyperlink" Target="javascript:winopen('comentarios.asp?sesion=201412041237573641&amp;infocard=201205021556192225&amp;f=Y&amp;lang=0','Comentarios','width=500,height=400,resizable=yes,location=no,toolbar=no,scrollbars=yes,status=yes');" TargetMode="External"/><Relationship Id="rId19" Type="http://schemas.openxmlformats.org/officeDocument/2006/relationships/image" Target="media/image12.emf"/><Relationship Id="rId14" Type="http://schemas.openxmlformats.org/officeDocument/2006/relationships/image" Target="media/image7.emf"/><Relationship Id="rId30" Type="http://schemas.openxmlformats.org/officeDocument/2006/relationships/image" Target="https://sistemas.conalep.edu.mx:12443/calidadymejora/images/none.gif" TargetMode="External"/><Relationship Id="rId35" Type="http://schemas.openxmlformats.org/officeDocument/2006/relationships/hyperlink" Target="javascript:winopen('fichaligas.asp?sesion=201412041237573641&amp;infocard=201204301442113572','Documentos','width=700px,height=700px,resizable=yes,toolbar=NO,location=NO,menubar=NO,scrollbars=yes,status=yes');" TargetMode="External"/><Relationship Id="rId56" Type="http://schemas.openxmlformats.org/officeDocument/2006/relationships/image" Target="https://sistemas.conalep.edu.mx:12443/calidadymejora/images/none.gif" TargetMode="External"/><Relationship Id="rId77" Type="http://schemas.openxmlformats.org/officeDocument/2006/relationships/image" Target="https://sistemas.conalep.edu.mx:12443/calidadymejora/images/foros.gif" TargetMode="External"/><Relationship Id="rId100" Type="http://schemas.openxmlformats.org/officeDocument/2006/relationships/hyperlink" Target="javascript:winopen('comentarios.asp?sesion=201412041237573641&amp;infocard=201205031055557195&amp;f=Y&amp;lang=0','Comentarios','width=500,height=400,resizable=yes,location=no,toolbar=no,scrollbars=yes,status=yes');" TargetMode="External"/><Relationship Id="rId105" Type="http://schemas.openxmlformats.org/officeDocument/2006/relationships/hyperlink" Target="javascript:winopen('fichainfo.asp?sesion=201412041237573641&amp;infocard=201205031100533885&amp;d=Y','201205031100533885','width=maxwidth,height=maxheight,resizable=yes,toolbar=NO,location=NO,menubar=NO,status=yes,scrollbars=yes');" TargetMode="External"/><Relationship Id="rId12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javascript:winopen('fichainfo.asp?sesion=201412041237573641&amp;infocard=201205021544416922&amp;d=Y','201205021544416922','width=maxwidth,height=maxheight,resizable=yes,toolbar=NO,location=NO,menubar=NO,status=yes,scrollbars=yes');" TargetMode="External"/><Relationship Id="rId72" Type="http://schemas.openxmlformats.org/officeDocument/2006/relationships/hyperlink" Target="javascript:winopen('fichaligas.asp?sesion=201412041237573641&amp;infocard=201205021550533377','Documentos','width=700px,height=700px,resizable=yes,toolbar=NO,location=NO,menubar=NO,scrollbars=yes,status=yes');" TargetMode="External"/><Relationship Id="rId93" Type="http://schemas.openxmlformats.org/officeDocument/2006/relationships/hyperlink" Target="javascript:winopen('fichainfo.asp?sesion=201412041237573641&amp;infocard=201205021600132000&amp;d=Y','201205021600132000','width=maxwidth,height=maxheight,resizable=yes,toolbar=NO,location=NO,menubar=NO,status=yes,scrollbars=yes');" TargetMode="External"/><Relationship Id="rId98" Type="http://schemas.openxmlformats.org/officeDocument/2006/relationships/image" Target="https://sistemas.conalep.edu.mx:12443/calidadymejora/images/none.gif"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diagramQuickStyle" Target="diagrams/quickStyle1.xml"/><Relationship Id="rId46" Type="http://schemas.openxmlformats.org/officeDocument/2006/relationships/hyperlink" Target="javascript:winopen('comentarios.asp?sesion=201412041237573641&amp;infocard=201205041438440594&amp;f=Y&amp;lang=0','Comentarios','width=500,height=400,resizable=yes,location=no,toolbar=no,scrollbars=yes,status=yes');" TargetMode="External"/><Relationship Id="rId67" Type="http://schemas.openxmlformats.org/officeDocument/2006/relationships/image" Target="https://sistemas.conalep.edu.mx:12443/calidadymejora/images/link.gif" TargetMode="External"/><Relationship Id="rId116" Type="http://schemas.openxmlformats.org/officeDocument/2006/relationships/image" Target="https://sistemas.conalep.edu.mx:12443/calidadymejora/images/foros.gif" TargetMode="External"/><Relationship Id="rId20" Type="http://schemas.openxmlformats.org/officeDocument/2006/relationships/package" Target="embeddings/Hoja_de_c_lculo_de_Microsoft_Excel1.xlsx"/><Relationship Id="rId41" Type="http://schemas.openxmlformats.org/officeDocument/2006/relationships/image" Target="https://sistemas.conalep.edu.mx:12443/calidadymejora/images/foros.gif" TargetMode="External"/><Relationship Id="rId62" Type="http://schemas.openxmlformats.org/officeDocument/2006/relationships/image" Target="https://sistemas.conalep.edu.mx:12443/calidadymejora/images/none.gif" TargetMode="External"/><Relationship Id="rId83" Type="http://schemas.openxmlformats.org/officeDocument/2006/relationships/image" Target="https://sistemas.conalep.edu.mx:12443/calidadymejora/images/foros.gif" TargetMode="External"/><Relationship Id="rId88" Type="http://schemas.openxmlformats.org/officeDocument/2006/relationships/hyperlink" Target="javascript:winopen('comentarios.asp?sesion=201412041237573641&amp;infocard=201205021558088670&amp;f=Y&amp;lang=0','Comentarios','width=500,height=400,resizable=yes,location=no,toolbar=no,scrollbars=yes,status=yes');" TargetMode="External"/><Relationship Id="rId111" Type="http://schemas.openxmlformats.org/officeDocument/2006/relationships/image" Target="media/image18.png"/><Relationship Id="rId15" Type="http://schemas.openxmlformats.org/officeDocument/2006/relationships/image" Target="media/image8.emf"/><Relationship Id="rId36" Type="http://schemas.openxmlformats.org/officeDocument/2006/relationships/image" Target="media/image17.png"/><Relationship Id="rId57" Type="http://schemas.openxmlformats.org/officeDocument/2006/relationships/hyperlink" Target="javascript:winopen('fichainfo.asp?sesion=201412041237573641&amp;infocard=201311071343151287&amp;d=Y','201311071343151287','width=maxwidth,height=maxheight,resizable=yes,toolbar=NO,location=NO,menubar=NO,status=yes,scrollbars=yes');" TargetMode="External"/><Relationship Id="rId106" Type="http://schemas.openxmlformats.org/officeDocument/2006/relationships/hyperlink" Target="javascript:winopen('comentarios.asp?sesion=201412041237573641&amp;infocard=201205031100533885&amp;f=Y&amp;lang=0','Comentarios','width=500,height=400,resizable=yes,location=no,toolbar=no,scrollbars=yes,status=yes');" TargetMode="External"/><Relationship Id="rId10" Type="http://schemas.openxmlformats.org/officeDocument/2006/relationships/image" Target="media/image3.emf"/><Relationship Id="rId31" Type="http://schemas.openxmlformats.org/officeDocument/2006/relationships/hyperlink" Target="javascript:winopen('fichainfo.asp?sesion=201412041237573641&amp;infocard=201204301442113572&amp;d=Y','201204301442113572','width=maxwidth,height=maxheight,resizable=yes,toolbar=NO,location=NO,menubar=NO,status=yes,scrollbars=yes');" TargetMode="External"/><Relationship Id="rId52" Type="http://schemas.openxmlformats.org/officeDocument/2006/relationships/hyperlink" Target="javascript:winopen('comentarios.asp?sesion=201412041237573641&amp;infocard=201205021544416922&amp;f=Y&amp;lang=0','Comentarios','width=500,height=400,resizable=yes,location=no,toolbar=no,scrollbars=yes,status=yes');" TargetMode="External"/><Relationship Id="rId73" Type="http://schemas.openxmlformats.org/officeDocument/2006/relationships/image" Target="https://sistemas.conalep.edu.mx:12443/calidadymejora/images/link.gif" TargetMode="External"/><Relationship Id="rId78" Type="http://schemas.openxmlformats.org/officeDocument/2006/relationships/hyperlink" Target="javascript:winopen('fichaligas.asp?sesion=201412041237573641&amp;infocard=201205021553465223','Documentos','width=700px,height=700px,resizable=yes,toolbar=NO,location=NO,menubar=NO,scrollbars=yes,status=yes');" TargetMode="External"/><Relationship Id="rId94" Type="http://schemas.openxmlformats.org/officeDocument/2006/relationships/hyperlink" Target="javascript:winopen('comentarios.asp?sesion=201412041237573641&amp;infocard=201205021600132000&amp;f=Y&amp;lang=0','Comentarios','width=500,height=400,resizable=yes,location=no,toolbar=no,scrollbars=yes,status=yes');" TargetMode="External"/><Relationship Id="rId99" Type="http://schemas.openxmlformats.org/officeDocument/2006/relationships/hyperlink" Target="javascript:winopen('fichainfo.asp?sesion=201412041237573641&amp;infocard=201205031055557195&amp;d=Y','201205031055557195','width=maxwidth,height=maxheight,resizable=yes,toolbar=NO,location=NO,menubar=NO,status=yes,scrollbars=yes');" TargetMode="External"/><Relationship Id="rId101" Type="http://schemas.openxmlformats.org/officeDocument/2006/relationships/image" Target="https://sistemas.conalep.edu.mx:12443/calidadymejora/images/foros.gif" TargetMode="External"/><Relationship Id="rId12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20.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r>
            <a:rPr lang="es-MX"/>
            <a:t>Dirección General</a:t>
          </a:r>
        </a:p>
      </dgm:t>
    </dgm:pt>
    <dgm:pt modelId="{C267C948-8289-48DA-9CAA-B1649F71C00F}" type="parTrans" cxnId="{F7A08D78-D077-4950-965E-9559E7605338}">
      <dgm:prSet/>
      <dgm:spPr/>
      <dgm:t>
        <a:bodyPr/>
        <a:lstStyle/>
        <a:p>
          <a:endParaRPr lang="es-MX"/>
        </a:p>
      </dgm:t>
    </dgm:pt>
    <dgm:pt modelId="{0223E4FA-625A-4B31-8083-C50C1A037D0E}" type="sibTrans" cxnId="{F7A08D78-D077-4950-965E-9559E7605338}">
      <dgm:prSet/>
      <dgm:spPr/>
      <dgm:t>
        <a:bodyPr/>
        <a:lstStyle/>
        <a:p>
          <a:endParaRPr lang="es-MX"/>
        </a:p>
      </dgm:t>
    </dgm:pt>
    <dgm:pt modelId="{093BCBBF-3F0D-4435-88C2-8EE8E91C8AF5}" type="asst">
      <dgm:prSet phldrT="[Texto]"/>
      <dgm:spPr/>
      <dgm:t>
        <a:bodyPr/>
        <a:lstStyle/>
        <a:p>
          <a:r>
            <a:rPr lang="es-MX"/>
            <a:t>Direcciones de Plantel</a:t>
          </a:r>
        </a:p>
      </dgm:t>
    </dgm:pt>
    <dgm:pt modelId="{CB5B5FAD-3F26-4305-B789-03995BA6970B}" type="parTrans" cxnId="{AA1BEB27-5E9F-464C-8FA4-F5227A89B87A}">
      <dgm:prSet/>
      <dgm:spPr/>
      <dgm:t>
        <a:bodyPr/>
        <a:lstStyle/>
        <a:p>
          <a:endParaRPr lang="es-MX"/>
        </a:p>
      </dgm:t>
    </dgm:pt>
    <dgm:pt modelId="{CA2E42FF-5F96-4D99-BF91-4ACBD03DB3A3}" type="sibTrans" cxnId="{AA1BEB27-5E9F-464C-8FA4-F5227A89B87A}">
      <dgm:prSet/>
      <dgm:spPr/>
      <dgm:t>
        <a:bodyPr/>
        <a:lstStyle/>
        <a:p>
          <a:endParaRPr lang="es-MX"/>
        </a:p>
      </dgm:t>
    </dgm:pt>
    <dgm:pt modelId="{BAC14BD9-7483-4F2C-B5E2-CC1880F3C472}">
      <dgm:prSet phldrT="[Texto]"/>
      <dgm:spPr/>
      <dgm:t>
        <a:bodyPr/>
        <a:lstStyle/>
        <a:p>
          <a:r>
            <a:rPr lang="es-MX"/>
            <a:t>Dirección Administrativa</a:t>
          </a:r>
        </a:p>
      </dgm:t>
    </dgm:pt>
    <dgm:pt modelId="{3285B5FA-D45D-40AB-8F68-1A37EF9430A2}" type="parTrans" cxnId="{2D530F23-2A9C-4078-94C9-4F83CADCD13A}">
      <dgm:prSet/>
      <dgm:spPr/>
      <dgm:t>
        <a:bodyPr/>
        <a:lstStyle/>
        <a:p>
          <a:endParaRPr lang="es-MX"/>
        </a:p>
      </dgm:t>
    </dgm:pt>
    <dgm:pt modelId="{E6200850-6E8D-457E-A5FD-9C6C7229CF32}" type="sibTrans" cxnId="{2D530F23-2A9C-4078-94C9-4F83CADCD13A}">
      <dgm:prSet/>
      <dgm:spPr/>
      <dgm:t>
        <a:bodyPr/>
        <a:lstStyle/>
        <a:p>
          <a:endParaRPr lang="es-MX"/>
        </a:p>
      </dgm:t>
    </dgm:pt>
    <dgm:pt modelId="{52AD5D91-279D-4A2E-9A8C-8906ED06B8D6}">
      <dgm:prSet phldrT="[Texto]"/>
      <dgm:spPr/>
      <dgm:t>
        <a:bodyPr/>
        <a:lstStyle/>
        <a:p>
          <a:r>
            <a:rPr lang="es-MX"/>
            <a:t>Dirección Jurídica</a:t>
          </a:r>
        </a:p>
      </dgm:t>
    </dgm:pt>
    <dgm:pt modelId="{E6DACD80-06BD-4396-8471-520C4F158DD5}" type="parTrans" cxnId="{7FA0DD33-67FD-41F2-B1B4-FC83B357029E}">
      <dgm:prSet/>
      <dgm:spPr/>
      <dgm:t>
        <a:bodyPr/>
        <a:lstStyle/>
        <a:p>
          <a:endParaRPr lang="es-MX"/>
        </a:p>
      </dgm:t>
    </dgm:pt>
    <dgm:pt modelId="{6D594AA7-DAE5-4085-BA0E-CCBE1190B01B}" type="sibTrans" cxnId="{7FA0DD33-67FD-41F2-B1B4-FC83B357029E}">
      <dgm:prSet/>
      <dgm:spPr/>
      <dgm:t>
        <a:bodyPr/>
        <a:lstStyle/>
        <a:p>
          <a:endParaRPr lang="es-MX"/>
        </a:p>
      </dgm:t>
    </dgm:pt>
    <dgm:pt modelId="{572C9274-F807-407A-8326-F98D97AA05AE}">
      <dgm:prSet phldrT="[Texto]"/>
      <dgm:spPr/>
      <dgm:t>
        <a:bodyPr/>
        <a:lstStyle/>
        <a:p>
          <a:r>
            <a:rPr lang="es-MX"/>
            <a:t>Dirección Académica</a:t>
          </a:r>
        </a:p>
      </dgm:t>
    </dgm:pt>
    <dgm:pt modelId="{C6787001-C664-4DD2-B0F0-F42795167A20}" type="parTrans" cxnId="{8B0FBFB9-0FCE-4232-8B31-B1AE80B8F90B}">
      <dgm:prSet/>
      <dgm:spPr/>
      <dgm:t>
        <a:bodyPr/>
        <a:lstStyle/>
        <a:p>
          <a:endParaRPr lang="es-MX"/>
        </a:p>
      </dgm:t>
    </dgm:pt>
    <dgm:pt modelId="{26BCAE67-AEEB-41F4-BADC-57B0F8348F30}" type="sibTrans" cxnId="{8B0FBFB9-0FCE-4232-8B31-B1AE80B8F90B}">
      <dgm:prSet/>
      <dgm:spPr/>
      <dgm:t>
        <a:bodyPr/>
        <a:lstStyle/>
        <a:p>
          <a:endParaRPr lang="es-MX"/>
        </a:p>
      </dgm:t>
    </dgm:pt>
    <dgm:pt modelId="{B4B769FC-80E9-41CD-B223-208239AF5750}">
      <dgm:prSet phldrT="[Texto]"/>
      <dgm:spPr/>
      <dgm:t>
        <a:bodyPr/>
        <a:lstStyle/>
        <a:p>
          <a:r>
            <a:rPr lang="es-MX"/>
            <a:t>Dirección de Informática e Infraestructura</a:t>
          </a:r>
        </a:p>
      </dgm:t>
    </dgm:pt>
    <dgm:pt modelId="{CB90A38C-59AD-4D4C-ADC5-49CCFBEDEB1B}" type="parTrans" cxnId="{DBC4F321-38D4-4602-A12A-96D721DB742D}">
      <dgm:prSet/>
      <dgm:spPr/>
      <dgm:t>
        <a:bodyPr/>
        <a:lstStyle/>
        <a:p>
          <a:endParaRPr lang="es-MX"/>
        </a:p>
      </dgm:t>
    </dgm:pt>
    <dgm:pt modelId="{CAEB100A-8068-4ECA-A34C-40F9661B6F56}" type="sibTrans" cxnId="{DBC4F321-38D4-4602-A12A-96D721DB742D}">
      <dgm:prSet/>
      <dgm:spPr/>
      <dgm:t>
        <a:bodyPr/>
        <a:lstStyle/>
        <a:p>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7FA0DD33-67FD-41F2-B1B4-FC83B357029E}" srcId="{6D401391-BA5D-4B0A-A9E9-C9F883A5FB04}" destId="{52AD5D91-279D-4A2E-9A8C-8906ED06B8D6}" srcOrd="2" destOrd="0" parTransId="{E6DACD80-06BD-4396-8471-520C4F158DD5}" sibTransId="{6D594AA7-DAE5-4085-BA0E-CCBE1190B01B}"/>
    <dgm:cxn modelId="{2632030B-AEDE-4819-94DF-EA0C9EF7B5CE}" type="presOf" srcId="{572C9274-F807-407A-8326-F98D97AA05AE}" destId="{7DE863A7-6D75-4F80-B768-9E4F890DBCB9}" srcOrd="1" destOrd="0" presId="urn:microsoft.com/office/officeart/2005/8/layout/orgChart1"/>
    <dgm:cxn modelId="{4068A143-81BF-4E8B-8F0D-A16CBAD51894}" type="presOf" srcId="{B4B769FC-80E9-41CD-B223-208239AF5750}" destId="{9A96F328-2DFE-4832-96D9-8816370E7D4F}" srcOrd="0" destOrd="0" presId="urn:microsoft.com/office/officeart/2005/8/layout/orgChart1"/>
    <dgm:cxn modelId="{E9F9C548-0280-438E-BB9F-0517C21D430E}" type="presOf" srcId="{75CD9B7B-9B85-4B3B-974A-9E640814F5C5}" destId="{1A96D9A3-17A9-4634-8306-6C146B0DA767}" srcOrd="0" destOrd="0" presId="urn:microsoft.com/office/officeart/2005/8/layout/orgChart1"/>
    <dgm:cxn modelId="{02C122D2-FF6A-4C3D-B8B8-8E2D0B7DC67F}" type="presOf" srcId="{B4B769FC-80E9-41CD-B223-208239AF5750}" destId="{728C518C-D19E-452E-B585-7948CF851072}" srcOrd="1" destOrd="0" presId="urn:microsoft.com/office/officeart/2005/8/layout/orgChart1"/>
    <dgm:cxn modelId="{D28B9D3B-8296-438A-BA5A-6A81D5A3586C}" type="presOf" srcId="{093BCBBF-3F0D-4435-88C2-8EE8E91C8AF5}" destId="{5018B519-9DF7-47BF-9C0B-280FE540FC3B}" srcOrd="0" destOrd="0" presId="urn:microsoft.com/office/officeart/2005/8/layout/orgChart1"/>
    <dgm:cxn modelId="{AE305CF8-4A51-4DDB-9003-0A98968ECAC0}" type="presOf" srcId="{572C9274-F807-407A-8326-F98D97AA05AE}" destId="{8E41C4D3-BA15-47FE-BC7F-8F2328695DD8}" srcOrd="0" destOrd="0" presId="urn:microsoft.com/office/officeart/2005/8/layout/orgChart1"/>
    <dgm:cxn modelId="{FC087AEB-FB50-4A30-BE9F-D66C9E0D698A}" type="presOf" srcId="{CB5B5FAD-3F26-4305-B789-03995BA6970B}" destId="{AD23476F-14D5-470A-9C77-B5900C9C6C7E}" srcOrd="0"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8EA62E2E-0CCF-4BDF-80F2-374EAADA59E8}" type="presOf" srcId="{BAC14BD9-7483-4F2C-B5E2-CC1880F3C472}" destId="{AA19D3C5-4283-41FB-9F06-3ACA1331274D}" srcOrd="0" destOrd="0" presId="urn:microsoft.com/office/officeart/2005/8/layout/orgChart1"/>
    <dgm:cxn modelId="{2E838F87-CADB-4BA8-89F7-367B81F5993F}" type="presOf" srcId="{6D401391-BA5D-4B0A-A9E9-C9F883A5FB04}" destId="{18231A59-F4CF-435D-8A35-AFAFF478657D}"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1B4C7F20-75C3-4608-8937-176EABAA5D39}" type="presOf" srcId="{CB90A38C-59AD-4D4C-ADC5-49CCFBEDEB1B}" destId="{92D05C18-B103-4624-87FB-7A76AF4DE7F2}" srcOrd="0" destOrd="0" presId="urn:microsoft.com/office/officeart/2005/8/layout/orgChart1"/>
    <dgm:cxn modelId="{BC9537F6-6B0D-40A6-A0FA-D2E2382D1BDE}" type="presOf" srcId="{3285B5FA-D45D-40AB-8F68-1A37EF9430A2}" destId="{A9983D0A-DC36-4BBE-871A-25F9B8261118}" srcOrd="0" destOrd="0" presId="urn:microsoft.com/office/officeart/2005/8/layout/orgChart1"/>
    <dgm:cxn modelId="{8D3C9224-3EDB-4321-B20D-90A58C987967}" type="presOf" srcId="{E6DACD80-06BD-4396-8471-520C4F158DD5}" destId="{667A9499-2101-4C1C-A281-FE4B82E271E2}" srcOrd="0" destOrd="0" presId="urn:microsoft.com/office/officeart/2005/8/layout/orgChart1"/>
    <dgm:cxn modelId="{AA6FCCBB-7F8C-4516-A017-3F35DB814846}" type="presOf" srcId="{52AD5D91-279D-4A2E-9A8C-8906ED06B8D6}" destId="{7A1FFB6D-F01F-402D-BFDC-5C7540AE2329}" srcOrd="0" destOrd="0" presId="urn:microsoft.com/office/officeart/2005/8/layout/orgChart1"/>
    <dgm:cxn modelId="{278372EC-144E-48AD-8CA9-CFAC8934DDF4}" type="presOf" srcId="{093BCBBF-3F0D-4435-88C2-8EE8E91C8AF5}" destId="{3902DEAC-21FD-4105-9C19-66CE3BCF3C30}" srcOrd="1" destOrd="0" presId="urn:microsoft.com/office/officeart/2005/8/layout/orgChart1"/>
    <dgm:cxn modelId="{FA3D39AE-571E-413C-8078-4AE15ED7828A}" type="presOf" srcId="{6D401391-BA5D-4B0A-A9E9-C9F883A5FB04}" destId="{1D71FFA8-BD11-49FB-A3D9-4C76C84D8534}" srcOrd="0" destOrd="0" presId="urn:microsoft.com/office/officeart/2005/8/layout/orgChart1"/>
    <dgm:cxn modelId="{EC656D33-BCD1-4F11-A16A-9AFD206EA447}" type="presOf" srcId="{BAC14BD9-7483-4F2C-B5E2-CC1880F3C472}" destId="{A4E1274C-7D3D-42D4-9A5D-775E4B78B9B1}" srcOrd="1" destOrd="0" presId="urn:microsoft.com/office/officeart/2005/8/layout/orgChart1"/>
    <dgm:cxn modelId="{827EB2F7-3BB2-4BC4-9791-082ABC09327C}" type="presOf" srcId="{52AD5D91-279D-4A2E-9A8C-8906ED06B8D6}" destId="{0B22E5D7-2172-4A67-9AB6-3FF6EB632DFD}" srcOrd="1" destOrd="0" presId="urn:microsoft.com/office/officeart/2005/8/layout/orgChart1"/>
    <dgm:cxn modelId="{DBC4F321-38D4-4602-A12A-96D721DB742D}" srcId="{6D401391-BA5D-4B0A-A9E9-C9F883A5FB04}" destId="{B4B769FC-80E9-41CD-B223-208239AF5750}" srcOrd="4"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FA724E2B-2246-4377-99CC-850F3CF0EB9A}" type="presOf" srcId="{C6787001-C664-4DD2-B0F0-F42795167A20}" destId="{1CD81A53-8169-4F57-88AA-2A66B3E7BCBE}"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D3707005-C2E3-434B-967B-F0794010D1B5}" type="presParOf" srcId="{1A96D9A3-17A9-4634-8306-6C146B0DA767}" destId="{05DE4FEE-44CA-4523-8C5C-463F01F17B40}" srcOrd="0" destOrd="0" presId="urn:microsoft.com/office/officeart/2005/8/layout/orgChart1"/>
    <dgm:cxn modelId="{B229163D-B545-41AD-A086-48582825E37E}" type="presParOf" srcId="{05DE4FEE-44CA-4523-8C5C-463F01F17B40}" destId="{EF66CF6A-15E5-477C-B351-ABD913386A6C}" srcOrd="0" destOrd="0" presId="urn:microsoft.com/office/officeart/2005/8/layout/orgChart1"/>
    <dgm:cxn modelId="{CD0D8527-E581-4C81-923C-5F156542C3C8}" type="presParOf" srcId="{EF66CF6A-15E5-477C-B351-ABD913386A6C}" destId="{1D71FFA8-BD11-49FB-A3D9-4C76C84D8534}" srcOrd="0" destOrd="0" presId="urn:microsoft.com/office/officeart/2005/8/layout/orgChart1"/>
    <dgm:cxn modelId="{041FE22F-8CA4-43C5-86C8-1663BA315DC3}" type="presParOf" srcId="{EF66CF6A-15E5-477C-B351-ABD913386A6C}" destId="{18231A59-F4CF-435D-8A35-AFAFF478657D}" srcOrd="1" destOrd="0" presId="urn:microsoft.com/office/officeart/2005/8/layout/orgChart1"/>
    <dgm:cxn modelId="{BFB25FF1-B60D-4699-BF7C-11187D07C19A}" type="presParOf" srcId="{05DE4FEE-44CA-4523-8C5C-463F01F17B40}" destId="{C9A483AC-D6B3-4317-867C-9EFE71D456CD}" srcOrd="1" destOrd="0" presId="urn:microsoft.com/office/officeart/2005/8/layout/orgChart1"/>
    <dgm:cxn modelId="{F7B34C34-4CE0-4290-9DD3-A875BEA44004}" type="presParOf" srcId="{C9A483AC-D6B3-4317-867C-9EFE71D456CD}" destId="{A9983D0A-DC36-4BBE-871A-25F9B8261118}" srcOrd="0" destOrd="0" presId="urn:microsoft.com/office/officeart/2005/8/layout/orgChart1"/>
    <dgm:cxn modelId="{5347DC92-5ABD-4D9D-A682-395D23ED8FA3}" type="presParOf" srcId="{C9A483AC-D6B3-4317-867C-9EFE71D456CD}" destId="{AB8B8198-E401-41B7-970D-3411345245B0}" srcOrd="1" destOrd="0" presId="urn:microsoft.com/office/officeart/2005/8/layout/orgChart1"/>
    <dgm:cxn modelId="{219DC6CE-0FDE-4A3E-8F14-22FDADD2A44E}" type="presParOf" srcId="{AB8B8198-E401-41B7-970D-3411345245B0}" destId="{CBF9D820-1AEF-4302-901D-81BA4E9B96B5}" srcOrd="0" destOrd="0" presId="urn:microsoft.com/office/officeart/2005/8/layout/orgChart1"/>
    <dgm:cxn modelId="{49D60EBD-EA90-4810-996B-615D6A6636BC}" type="presParOf" srcId="{CBF9D820-1AEF-4302-901D-81BA4E9B96B5}" destId="{AA19D3C5-4283-41FB-9F06-3ACA1331274D}" srcOrd="0" destOrd="0" presId="urn:microsoft.com/office/officeart/2005/8/layout/orgChart1"/>
    <dgm:cxn modelId="{AB5EDB33-62CE-44E8-A380-9E8031F66167}" type="presParOf" srcId="{CBF9D820-1AEF-4302-901D-81BA4E9B96B5}" destId="{A4E1274C-7D3D-42D4-9A5D-775E4B78B9B1}" srcOrd="1" destOrd="0" presId="urn:microsoft.com/office/officeart/2005/8/layout/orgChart1"/>
    <dgm:cxn modelId="{E56A039E-C003-408E-B7E8-9DCFD64A08B4}" type="presParOf" srcId="{AB8B8198-E401-41B7-970D-3411345245B0}" destId="{98031528-4323-4644-8070-5F79796E3119}" srcOrd="1" destOrd="0" presId="urn:microsoft.com/office/officeart/2005/8/layout/orgChart1"/>
    <dgm:cxn modelId="{67C9CB67-EAC4-4B8A-8016-EF7802349FB5}" type="presParOf" srcId="{AB8B8198-E401-41B7-970D-3411345245B0}" destId="{BD7B993F-9453-434F-819D-9F75D3CA5D5E}" srcOrd="2" destOrd="0" presId="urn:microsoft.com/office/officeart/2005/8/layout/orgChart1"/>
    <dgm:cxn modelId="{A1268393-FC63-4181-ACE6-24FB100B44B2}" type="presParOf" srcId="{C9A483AC-D6B3-4317-867C-9EFE71D456CD}" destId="{667A9499-2101-4C1C-A281-FE4B82E271E2}" srcOrd="2" destOrd="0" presId="urn:microsoft.com/office/officeart/2005/8/layout/orgChart1"/>
    <dgm:cxn modelId="{E4A2221A-FFB7-4589-8B64-148E9A644D27}" type="presParOf" srcId="{C9A483AC-D6B3-4317-867C-9EFE71D456CD}" destId="{AF6022D3-98EB-40FF-B0A2-2EC8EA175B91}" srcOrd="3" destOrd="0" presId="urn:microsoft.com/office/officeart/2005/8/layout/orgChart1"/>
    <dgm:cxn modelId="{F711446E-C22D-43D9-BA7F-F02DD022B744}" type="presParOf" srcId="{AF6022D3-98EB-40FF-B0A2-2EC8EA175B91}" destId="{A42539E1-C258-4002-B56A-5F2B21731829}" srcOrd="0" destOrd="0" presId="urn:microsoft.com/office/officeart/2005/8/layout/orgChart1"/>
    <dgm:cxn modelId="{D61EBDAD-9554-49B4-AAC9-75329E0CF851}" type="presParOf" srcId="{A42539E1-C258-4002-B56A-5F2B21731829}" destId="{7A1FFB6D-F01F-402D-BFDC-5C7540AE2329}" srcOrd="0" destOrd="0" presId="urn:microsoft.com/office/officeart/2005/8/layout/orgChart1"/>
    <dgm:cxn modelId="{FC4C604E-B8B0-4328-8299-F74C71C2B387}" type="presParOf" srcId="{A42539E1-C258-4002-B56A-5F2B21731829}" destId="{0B22E5D7-2172-4A67-9AB6-3FF6EB632DFD}" srcOrd="1" destOrd="0" presId="urn:microsoft.com/office/officeart/2005/8/layout/orgChart1"/>
    <dgm:cxn modelId="{C9CF454E-C792-4D3F-8F8C-8E7DAE34A2AC}" type="presParOf" srcId="{AF6022D3-98EB-40FF-B0A2-2EC8EA175B91}" destId="{2CAD29A8-1A2E-4E90-A7A1-85750193FC3C}" srcOrd="1" destOrd="0" presId="urn:microsoft.com/office/officeart/2005/8/layout/orgChart1"/>
    <dgm:cxn modelId="{BA2C05C3-0190-4C4A-ABD2-71DFF5DA828A}" type="presParOf" srcId="{AF6022D3-98EB-40FF-B0A2-2EC8EA175B91}" destId="{ED306E1B-F752-46F0-B895-5C4EBD7866E7}" srcOrd="2" destOrd="0" presId="urn:microsoft.com/office/officeart/2005/8/layout/orgChart1"/>
    <dgm:cxn modelId="{610C3BA9-161C-42E9-8457-3341609B2252}" type="presParOf" srcId="{C9A483AC-D6B3-4317-867C-9EFE71D456CD}" destId="{1CD81A53-8169-4F57-88AA-2A66B3E7BCBE}" srcOrd="4" destOrd="0" presId="urn:microsoft.com/office/officeart/2005/8/layout/orgChart1"/>
    <dgm:cxn modelId="{0D91B576-BA31-42EE-80EF-16E9CF27C3B8}" type="presParOf" srcId="{C9A483AC-D6B3-4317-867C-9EFE71D456CD}" destId="{A9986C5D-751A-4D22-9FC4-51ED72D59262}" srcOrd="5" destOrd="0" presId="urn:microsoft.com/office/officeart/2005/8/layout/orgChart1"/>
    <dgm:cxn modelId="{F25F5BA1-0457-40DF-A0A7-7ABF50CCA22F}" type="presParOf" srcId="{A9986C5D-751A-4D22-9FC4-51ED72D59262}" destId="{A9842068-07C5-417B-A4C3-3AC07B94DA46}" srcOrd="0" destOrd="0" presId="urn:microsoft.com/office/officeart/2005/8/layout/orgChart1"/>
    <dgm:cxn modelId="{9FE21EA0-3890-487D-95D9-EED8FC51D4DA}" type="presParOf" srcId="{A9842068-07C5-417B-A4C3-3AC07B94DA46}" destId="{8E41C4D3-BA15-47FE-BC7F-8F2328695DD8}" srcOrd="0" destOrd="0" presId="urn:microsoft.com/office/officeart/2005/8/layout/orgChart1"/>
    <dgm:cxn modelId="{69B63DDA-CC59-4D73-B829-3F576CA8D60F}" type="presParOf" srcId="{A9842068-07C5-417B-A4C3-3AC07B94DA46}" destId="{7DE863A7-6D75-4F80-B768-9E4F890DBCB9}" srcOrd="1" destOrd="0" presId="urn:microsoft.com/office/officeart/2005/8/layout/orgChart1"/>
    <dgm:cxn modelId="{C8BFA5E8-8AFA-4877-B904-E8C4EE8CE013}" type="presParOf" srcId="{A9986C5D-751A-4D22-9FC4-51ED72D59262}" destId="{63F12EAC-2138-4792-A103-F2333D7B4516}" srcOrd="1" destOrd="0" presId="urn:microsoft.com/office/officeart/2005/8/layout/orgChart1"/>
    <dgm:cxn modelId="{CE044801-D21A-4081-BB00-385BCF8D015C}" type="presParOf" srcId="{A9986C5D-751A-4D22-9FC4-51ED72D59262}" destId="{99352219-7273-4F79-9BAF-A36A4E5641DB}" srcOrd="2" destOrd="0" presId="urn:microsoft.com/office/officeart/2005/8/layout/orgChart1"/>
    <dgm:cxn modelId="{1DE28511-2F35-4BE4-902B-1EA2AB5B9326}" type="presParOf" srcId="{C9A483AC-D6B3-4317-867C-9EFE71D456CD}" destId="{92D05C18-B103-4624-87FB-7A76AF4DE7F2}" srcOrd="6" destOrd="0" presId="urn:microsoft.com/office/officeart/2005/8/layout/orgChart1"/>
    <dgm:cxn modelId="{2DC80E3D-9161-44E6-9CDF-9C15C2C11C0A}" type="presParOf" srcId="{C9A483AC-D6B3-4317-867C-9EFE71D456CD}" destId="{E35D4166-CD12-48D3-ADF0-0D6DBD79CE51}" srcOrd="7" destOrd="0" presId="urn:microsoft.com/office/officeart/2005/8/layout/orgChart1"/>
    <dgm:cxn modelId="{5480062C-85CE-4848-97BB-6AE013F02976}" type="presParOf" srcId="{E35D4166-CD12-48D3-ADF0-0D6DBD79CE51}" destId="{86183F36-1D42-41A3-86C0-4DEFBE416347}" srcOrd="0" destOrd="0" presId="urn:microsoft.com/office/officeart/2005/8/layout/orgChart1"/>
    <dgm:cxn modelId="{24E31A9D-0F6D-43E8-9563-63805A810606}" type="presParOf" srcId="{86183F36-1D42-41A3-86C0-4DEFBE416347}" destId="{9A96F328-2DFE-4832-96D9-8816370E7D4F}" srcOrd="0" destOrd="0" presId="urn:microsoft.com/office/officeart/2005/8/layout/orgChart1"/>
    <dgm:cxn modelId="{C942C489-67A9-4441-8144-385053E59852}" type="presParOf" srcId="{86183F36-1D42-41A3-86C0-4DEFBE416347}" destId="{728C518C-D19E-452E-B585-7948CF851072}" srcOrd="1" destOrd="0" presId="urn:microsoft.com/office/officeart/2005/8/layout/orgChart1"/>
    <dgm:cxn modelId="{0E8DAAA7-769F-4F90-8B37-C0BEF0B7C1E2}" type="presParOf" srcId="{E35D4166-CD12-48D3-ADF0-0D6DBD79CE51}" destId="{F4FBEF98-A220-4F44-8333-A8FE168C17FB}" srcOrd="1" destOrd="0" presId="urn:microsoft.com/office/officeart/2005/8/layout/orgChart1"/>
    <dgm:cxn modelId="{48549829-6DE9-460A-BB30-9264205364A5}" type="presParOf" srcId="{E35D4166-CD12-48D3-ADF0-0D6DBD79CE51}" destId="{BD4A963A-F502-445B-8B40-33C4965C6226}" srcOrd="2" destOrd="0" presId="urn:microsoft.com/office/officeart/2005/8/layout/orgChart1"/>
    <dgm:cxn modelId="{9FC99D78-1F0A-4F9B-95CD-283A4A8208D6}" type="presParOf" srcId="{05DE4FEE-44CA-4523-8C5C-463F01F17B40}" destId="{90D7821B-0096-4263-B4CA-62A4B8182550}" srcOrd="2" destOrd="0" presId="urn:microsoft.com/office/officeart/2005/8/layout/orgChart1"/>
    <dgm:cxn modelId="{986061D2-4404-49C0-A8B5-D7482C87E596}" type="presParOf" srcId="{90D7821B-0096-4263-B4CA-62A4B8182550}" destId="{AD23476F-14D5-470A-9C77-B5900C9C6C7E}" srcOrd="0" destOrd="0" presId="urn:microsoft.com/office/officeart/2005/8/layout/orgChart1"/>
    <dgm:cxn modelId="{BAA03F30-B1B8-49A8-9FFE-EDD16B67EE41}" type="presParOf" srcId="{90D7821B-0096-4263-B4CA-62A4B8182550}" destId="{8351BEC7-77BF-4FB9-B4F7-EAF77B914604}" srcOrd="1" destOrd="0" presId="urn:microsoft.com/office/officeart/2005/8/layout/orgChart1"/>
    <dgm:cxn modelId="{30162CC0-561A-4246-BC9D-6D16C055AE46}" type="presParOf" srcId="{8351BEC7-77BF-4FB9-B4F7-EAF77B914604}" destId="{C6113CDF-25FF-4E05-8D75-EF726589DA00}" srcOrd="0" destOrd="0" presId="urn:microsoft.com/office/officeart/2005/8/layout/orgChart1"/>
    <dgm:cxn modelId="{9DE96F0B-B696-4095-9A94-C789310A6896}" type="presParOf" srcId="{C6113CDF-25FF-4E05-8D75-EF726589DA00}" destId="{5018B519-9DF7-47BF-9C0B-280FE540FC3B}" srcOrd="0" destOrd="0" presId="urn:microsoft.com/office/officeart/2005/8/layout/orgChart1"/>
    <dgm:cxn modelId="{3B191F33-6AED-433F-94AA-8EFC3BB3191B}" type="presParOf" srcId="{C6113CDF-25FF-4E05-8D75-EF726589DA00}" destId="{3902DEAC-21FD-4105-9C19-66CE3BCF3C30}" srcOrd="1" destOrd="0" presId="urn:microsoft.com/office/officeart/2005/8/layout/orgChart1"/>
    <dgm:cxn modelId="{EF3AD6FC-E904-4A12-B60E-384EF00DABAB}" type="presParOf" srcId="{8351BEC7-77BF-4FB9-B4F7-EAF77B914604}" destId="{C6D3111D-E3B2-4DE5-B0A0-2E241E08C3E6}" srcOrd="1" destOrd="0" presId="urn:microsoft.com/office/officeart/2005/8/layout/orgChart1"/>
    <dgm:cxn modelId="{64B6091A-C853-409E-AA87-BF80824C4B83}"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D5F1-7465-4C96-89E3-B5330A52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12186</Words>
  <Characters>67025</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7</cp:revision>
  <cp:lastPrinted>2014-10-28T01:51:00Z</cp:lastPrinted>
  <dcterms:created xsi:type="dcterms:W3CDTF">2015-06-30T19:28:00Z</dcterms:created>
  <dcterms:modified xsi:type="dcterms:W3CDTF">2015-10-06T16:10:00Z</dcterms:modified>
</cp:coreProperties>
</file>