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878" w:rsidRDefault="00E70878" w:rsidP="00E70878">
      <w:pPr>
        <w:jc w:val="center"/>
      </w:pPr>
      <w:r>
        <w:object w:dxaOrig="23529"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25pt;height:417.75pt" o:ole="">
            <v:imagedata r:id="rId8" o:title=""/>
          </v:shape>
          <o:OLEObject Type="Embed" ProgID="Excel.Sheet.12" ShapeID="_x0000_i1025" DrawAspect="Content" ObjectID="_1505904309" r:id="rId9"/>
        </w:object>
      </w:r>
    </w:p>
    <w:p w:rsidR="00E70878" w:rsidRDefault="00E70878" w:rsidP="00E70878">
      <w:pPr>
        <w:jc w:val="center"/>
      </w:pPr>
    </w:p>
    <w:p w:rsidR="00E70878" w:rsidRDefault="00E70878" w:rsidP="00E70878">
      <w:pPr>
        <w:jc w:val="center"/>
      </w:pPr>
      <w:r>
        <w:object w:dxaOrig="25153" w:dyaOrig="18931">
          <v:shape id="_x0000_i1026" type="#_x0000_t75" style="width:585pt;height:439.5pt" o:ole="">
            <v:imagedata r:id="rId10" o:title=""/>
          </v:shape>
          <o:OLEObject Type="Embed" ProgID="Excel.Sheet.12" ShapeID="_x0000_i1026" DrawAspect="Content" ObjectID="_1505904310" r:id="rId11"/>
        </w:object>
      </w:r>
    </w:p>
    <w:p w:rsidR="00E70878" w:rsidRDefault="00E70878" w:rsidP="00E70878">
      <w:r>
        <w:rPr>
          <w:noProof/>
        </w:rPr>
        <w:lastRenderedPageBreak/>
        <w:object w:dxaOrig="1440" w:dyaOrig="1440">
          <v:shape id="_x0000_s1078" type="#_x0000_t75" style="position:absolute;margin-left:-11.95pt;margin-top:0;width:704.95pt;height:433.5pt;z-index:251673600">
            <v:imagedata r:id="rId12" o:title=""/>
            <w10:wrap type="square" side="right"/>
          </v:shape>
          <o:OLEObject Type="Embed" ProgID="Excel.Sheet.12" ShapeID="_x0000_s1078" DrawAspect="Content" ObjectID="_1505904315" r:id="rId13"/>
        </w:object>
      </w:r>
    </w:p>
    <w:p w:rsidR="00E70878" w:rsidRDefault="00E70878" w:rsidP="00E70878">
      <w:pPr>
        <w:jc w:val="center"/>
      </w:pPr>
      <w:r>
        <w:object w:dxaOrig="17711" w:dyaOrig="12404">
          <v:shape id="_x0000_i1027" type="#_x0000_t75" style="width:645pt;height:450.75pt" o:ole="">
            <v:imagedata r:id="rId14" o:title=""/>
          </v:shape>
          <o:OLEObject Type="Embed" ProgID="Excel.Sheet.12" ShapeID="_x0000_i1027" DrawAspect="Content" ObjectID="_1505904311" r:id="rId15"/>
        </w:object>
      </w:r>
    </w:p>
    <w:p w:rsidR="00E70878" w:rsidRDefault="00E70878" w:rsidP="00E70878">
      <w:pPr>
        <w:jc w:val="center"/>
      </w:pPr>
      <w:r>
        <w:object w:dxaOrig="17805" w:dyaOrig="12251">
          <v:shape id="_x0000_i1028" type="#_x0000_t75" style="width:632.25pt;height:433.5pt" o:ole="">
            <v:imagedata r:id="rId16" o:title=""/>
          </v:shape>
          <o:OLEObject Type="Embed" ProgID="Excel.Sheet.12" ShapeID="_x0000_i1028" DrawAspect="Content" ObjectID="_1505904312" r:id="rId17"/>
        </w:object>
      </w:r>
    </w:p>
    <w:p w:rsidR="00E70878" w:rsidRDefault="00E70878" w:rsidP="00E70878">
      <w:pPr>
        <w:tabs>
          <w:tab w:val="left" w:pos="2430"/>
        </w:tabs>
      </w:pPr>
    </w:p>
    <w:p w:rsidR="00E70878" w:rsidRDefault="00E70878" w:rsidP="00E70878">
      <w:pPr>
        <w:tabs>
          <w:tab w:val="left" w:pos="2430"/>
        </w:tabs>
        <w:jc w:val="center"/>
      </w:pPr>
      <w:r>
        <w:object w:dxaOrig="18229" w:dyaOrig="11655">
          <v:shape id="_x0000_i1029" type="#_x0000_t75" style="width:635.25pt;height:405.75pt" o:ole="">
            <v:imagedata r:id="rId18" o:title=""/>
          </v:shape>
          <o:OLEObject Type="Embed" ProgID="Excel.Sheet.12" ShapeID="_x0000_i1029" DrawAspect="Content" ObjectID="_1505904313" r:id="rId19"/>
        </w:object>
      </w:r>
    </w:p>
    <w:p w:rsidR="00E70878" w:rsidRDefault="00E70878" w:rsidP="00E70878">
      <w:pPr>
        <w:tabs>
          <w:tab w:val="left" w:pos="2430"/>
        </w:tabs>
        <w:jc w:val="center"/>
      </w:pPr>
      <w:r>
        <w:object w:dxaOrig="25922" w:dyaOrig="16771">
          <v:shape id="_x0000_i1030" type="#_x0000_t75" style="width:690.75pt;height:447.75pt" o:ole="">
            <v:imagedata r:id="rId20" o:title=""/>
          </v:shape>
          <o:OLEObject Type="Embed" ProgID="Excel.Sheet.12" ShapeID="_x0000_i1030" DrawAspect="Content" ObjectID="_1505904314" r:id="rId21"/>
        </w:object>
      </w:r>
    </w:p>
    <w:p w:rsidR="00E70878" w:rsidRDefault="00E70878" w:rsidP="00E70878"/>
    <w:p w:rsidR="00E70878" w:rsidRPr="00540418" w:rsidRDefault="00E70878" w:rsidP="00E70878">
      <w:pPr>
        <w:jc w:val="center"/>
        <w:rPr>
          <w:rFonts w:ascii="Soberana Sans Light" w:hAnsi="Soberana Sans Light"/>
        </w:rPr>
      </w:pPr>
      <w:r w:rsidRPr="00540418">
        <w:rPr>
          <w:rFonts w:ascii="Soberana Sans Light" w:hAnsi="Soberana Sans Light"/>
        </w:rPr>
        <w:t>Informe de Pasivos Contingentes</w:t>
      </w:r>
    </w:p>
    <w:p w:rsidR="00E70878" w:rsidRPr="00540418" w:rsidRDefault="00E70878" w:rsidP="00E70878">
      <w:pPr>
        <w:rPr>
          <w:rFonts w:ascii="Soberana Sans Light" w:hAnsi="Soberana Sans Light"/>
        </w:rPr>
      </w:pPr>
    </w:p>
    <w:p w:rsidR="00E70878" w:rsidRPr="00540418" w:rsidRDefault="00E70878" w:rsidP="00E70878">
      <w:pPr>
        <w:jc w:val="center"/>
        <w:rPr>
          <w:rFonts w:ascii="Soberana Sans Light" w:hAnsi="Soberana Sans Light"/>
        </w:rPr>
      </w:pPr>
      <w:r>
        <w:rPr>
          <w:rFonts w:ascii="Soberana Sans Light" w:hAnsi="Soberana Sans Light"/>
        </w:rPr>
        <w:t>No aplica</w:t>
      </w:r>
    </w:p>
    <w:p w:rsidR="00E70878" w:rsidRDefault="00E70878" w:rsidP="00E70878">
      <w:pPr>
        <w:rPr>
          <w:rFonts w:ascii="Soberana Sans Light" w:hAnsi="Soberana Sans Light"/>
        </w:rPr>
      </w:pPr>
      <w:r>
        <w:rPr>
          <w:rFonts w:ascii="Arial" w:hAnsi="Arial" w:cs="Arial"/>
          <w:noProof/>
          <w:sz w:val="18"/>
          <w:szCs w:val="18"/>
          <w:lang w:eastAsia="es-MX"/>
        </w:rPr>
        <w:object w:dxaOrig="1440" w:dyaOrig="1440">
          <v:shape id="_x0000_s1077" type="#_x0000_t75" style="position:absolute;margin-left:15.75pt;margin-top:197.9pt;width:699.55pt;height:84.25pt;z-index:251672576">
            <v:imagedata r:id="rId22" o:title=""/>
            <w10:wrap type="topAndBottom"/>
          </v:shape>
          <o:OLEObject Type="Embed" ProgID="Excel.Sheet.12" ShapeID="_x0000_s1077" DrawAspect="Content" ObjectID="_1505904316" r:id="rId23"/>
        </w:object>
      </w:r>
      <w:r>
        <w:rPr>
          <w:rFonts w:ascii="Soberana Sans Light" w:hAnsi="Soberana Sans Light"/>
        </w:rPr>
        <w:br w:type="page"/>
      </w:r>
    </w:p>
    <w:p w:rsidR="00E32708" w:rsidRDefault="00E32708" w:rsidP="00E32708">
      <w:pPr>
        <w:tabs>
          <w:tab w:val="left" w:pos="2430"/>
        </w:tabs>
        <w:jc w:val="center"/>
      </w:pPr>
    </w:p>
    <w:p w:rsidR="00372F40" w:rsidRDefault="00372F40"/>
    <w:p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rsidR="00372F40" w:rsidRPr="00540418" w:rsidRDefault="00372F40">
      <w:pPr>
        <w:rPr>
          <w:rFonts w:ascii="Soberana Sans Light" w:hAnsi="Soberana Sans Light"/>
        </w:rPr>
      </w:pPr>
    </w:p>
    <w:p w:rsidR="00372F40" w:rsidRPr="00540418" w:rsidRDefault="00E20BAD" w:rsidP="0079582C">
      <w:pPr>
        <w:jc w:val="center"/>
        <w:rPr>
          <w:rFonts w:ascii="Soberana Sans Light" w:hAnsi="Soberana Sans Light"/>
        </w:rPr>
      </w:pPr>
      <w:r>
        <w:rPr>
          <w:rFonts w:ascii="Soberana Sans Light" w:hAnsi="Soberana Sans Light"/>
        </w:rPr>
        <w:t>No aplica</w:t>
      </w:r>
    </w:p>
    <w:p w:rsidR="00540418" w:rsidRDefault="00482349">
      <w:pPr>
        <w:rPr>
          <w:rFonts w:ascii="Soberana Sans Light" w:hAnsi="Soberana Sans Light"/>
        </w:rPr>
      </w:pPr>
      <w:r>
        <w:rPr>
          <w:rFonts w:ascii="Arial" w:hAnsi="Arial" w:cs="Arial"/>
          <w:noProof/>
          <w:sz w:val="18"/>
          <w:szCs w:val="18"/>
          <w:lang w:eastAsia="es-MX"/>
        </w:rPr>
        <w:object w:dxaOrig="1440" w:dyaOrig="1440">
          <v:shape id="_x0000_s1054" type="#_x0000_t75" style="position:absolute;margin-left:15.75pt;margin-top:197.9pt;width:699.55pt;height:84.25pt;z-index:251665408;mso-position-horizontal-relative:text;mso-position-vertical-relative:text;mso-width-relative:page;mso-height-relative:page">
            <v:imagedata r:id="rId22" o:title=""/>
            <w10:wrap type="topAndBottom"/>
          </v:shape>
          <o:OLEObject Type="Embed" ProgID="Excel.Sheet.12" ShapeID="_x0000_s1054" DrawAspect="Content" ObjectID="_1505904317" r:id="rId24"/>
        </w:object>
      </w:r>
      <w:r w:rsidR="00540418">
        <w:rPr>
          <w:rFonts w:ascii="Soberana Sans Light" w:hAnsi="Soberana Sans Light"/>
        </w:rPr>
        <w:br w:type="page"/>
      </w:r>
    </w:p>
    <w:p w:rsidR="009F2E87" w:rsidRDefault="009F2E87" w:rsidP="009F2E87">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9F2E87" w:rsidRDefault="009F2E87" w:rsidP="009F2E87">
      <w:pPr>
        <w:pStyle w:val="Texto"/>
        <w:spacing w:after="0" w:line="240" w:lineRule="exact"/>
        <w:jc w:val="center"/>
        <w:rPr>
          <w:rFonts w:ascii="Soberana Sans Light" w:hAnsi="Soberana Sans Light"/>
          <w:b/>
          <w:sz w:val="22"/>
          <w:szCs w:val="22"/>
        </w:rPr>
      </w:pPr>
    </w:p>
    <w:p w:rsidR="009F2E87" w:rsidRDefault="009F2E87" w:rsidP="009F2E87">
      <w:pPr>
        <w:pStyle w:val="Texto"/>
        <w:spacing w:after="0" w:line="240" w:lineRule="exact"/>
        <w:jc w:val="center"/>
        <w:rPr>
          <w:rFonts w:ascii="Soberana Sans Light" w:hAnsi="Soberana Sans Light"/>
          <w:b/>
          <w:sz w:val="22"/>
          <w:szCs w:val="22"/>
        </w:rPr>
      </w:pPr>
    </w:p>
    <w:p w:rsidR="009F2E87" w:rsidRPr="00540418" w:rsidRDefault="009F2E87" w:rsidP="009F2E87">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9F2E87" w:rsidRPr="00540418" w:rsidRDefault="009F2E87" w:rsidP="009F2E87">
      <w:pPr>
        <w:pStyle w:val="Texto"/>
        <w:spacing w:after="0" w:line="240" w:lineRule="exact"/>
        <w:rPr>
          <w:rFonts w:ascii="Soberana Sans Light" w:hAnsi="Soberana Sans Light"/>
          <w:sz w:val="22"/>
          <w:szCs w:val="22"/>
          <w:lang w:val="es-MX"/>
        </w:rPr>
      </w:pPr>
    </w:p>
    <w:p w:rsidR="009F2E87" w:rsidRPr="00540418" w:rsidRDefault="009F2E87" w:rsidP="009F2E87">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rsidR="009F2E87" w:rsidRPr="00540418" w:rsidRDefault="009F2E87" w:rsidP="009F2E87">
      <w:pPr>
        <w:pStyle w:val="Texto"/>
        <w:spacing w:after="0" w:line="240" w:lineRule="exact"/>
        <w:rPr>
          <w:rFonts w:ascii="Soberana Sans Light" w:hAnsi="Soberana Sans Light"/>
          <w:b/>
          <w:sz w:val="22"/>
          <w:szCs w:val="22"/>
          <w:lang w:val="es-MX"/>
        </w:rPr>
      </w:pPr>
    </w:p>
    <w:p w:rsidR="009F2E87" w:rsidRPr="00540418" w:rsidRDefault="009F2E87" w:rsidP="009F2E87">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9F2E87" w:rsidRDefault="009F2E87" w:rsidP="009F2E87">
      <w:pPr>
        <w:pStyle w:val="ROMANOS"/>
        <w:spacing w:after="0" w:line="240" w:lineRule="exact"/>
        <w:ind w:left="723" w:firstLine="0"/>
        <w:rPr>
          <w:rFonts w:ascii="Soberana Sans Light" w:hAnsi="Soberana Sans Light"/>
          <w:sz w:val="22"/>
          <w:szCs w:val="22"/>
          <w:lang w:val="es-MX"/>
        </w:rPr>
      </w:pPr>
      <w:r>
        <w:rPr>
          <w:rFonts w:ascii="Soberana Sans Light" w:hAnsi="Soberana Sans Light"/>
          <w:sz w:val="22"/>
          <w:szCs w:val="22"/>
          <w:lang w:val="es-MX"/>
        </w:rPr>
        <w:t>La Universidad Tecnológica de Tlaxcala para su operación tiene las siguientes cuentas bancarias:</w:t>
      </w:r>
    </w:p>
    <w:p w:rsidR="009F2E87" w:rsidRDefault="009F2E87" w:rsidP="008F43BD">
      <w:pPr>
        <w:pStyle w:val="ROMANOS"/>
        <w:spacing w:after="0" w:line="240" w:lineRule="exact"/>
        <w:ind w:left="0" w:firstLine="0"/>
        <w:rPr>
          <w:rFonts w:ascii="Soberana Sans Light" w:hAnsi="Soberana Sans Light"/>
          <w:sz w:val="22"/>
          <w:szCs w:val="22"/>
          <w:lang w:val="es-MX"/>
        </w:rPr>
      </w:pPr>
    </w:p>
    <w:tbl>
      <w:tblPr>
        <w:tblW w:w="12138" w:type="dxa"/>
        <w:tblInd w:w="70" w:type="dxa"/>
        <w:tblCellMar>
          <w:left w:w="70" w:type="dxa"/>
          <w:right w:w="70" w:type="dxa"/>
        </w:tblCellMar>
        <w:tblLook w:val="04A0" w:firstRow="1" w:lastRow="0" w:firstColumn="1" w:lastColumn="0" w:noHBand="0" w:noVBand="1"/>
      </w:tblPr>
      <w:tblGrid>
        <w:gridCol w:w="1800"/>
        <w:gridCol w:w="7800"/>
        <w:gridCol w:w="2538"/>
      </w:tblGrid>
      <w:tr w:rsidR="009F2E87" w:rsidRPr="00CC699A" w:rsidTr="009F2E87">
        <w:trPr>
          <w:trHeight w:val="375"/>
        </w:trPr>
        <w:tc>
          <w:tcPr>
            <w:tcW w:w="1800" w:type="dxa"/>
            <w:vMerge w:val="restart"/>
            <w:tcBorders>
              <w:top w:val="nil"/>
              <w:left w:val="nil"/>
              <w:bottom w:val="nil"/>
              <w:right w:val="nil"/>
            </w:tcBorders>
            <w:vAlign w:val="center"/>
            <w:hideMark/>
          </w:tcPr>
          <w:p w:rsidR="009F2E87" w:rsidRPr="001E07A0" w:rsidRDefault="009F2E87" w:rsidP="009F2E87">
            <w:pPr>
              <w:spacing w:after="0" w:line="240" w:lineRule="auto"/>
              <w:rPr>
                <w:rFonts w:ascii="Soberana Sans Light" w:eastAsia="Times New Roman" w:hAnsi="Soberana Sans Light" w:cs="Arial"/>
                <w:sz w:val="20"/>
                <w:szCs w:val="20"/>
                <w:lang w:eastAsia="es-ES"/>
              </w:rPr>
            </w:pPr>
          </w:p>
        </w:tc>
        <w:tc>
          <w:tcPr>
            <w:tcW w:w="7800" w:type="dxa"/>
            <w:vMerge w:val="restart"/>
            <w:tcBorders>
              <w:top w:val="nil"/>
              <w:left w:val="nil"/>
              <w:bottom w:val="nil"/>
              <w:right w:val="nil"/>
            </w:tcBorders>
            <w:vAlign w:val="center"/>
            <w:hideMark/>
          </w:tcPr>
          <w:p w:rsidR="009F2E87" w:rsidRPr="001E07A0" w:rsidRDefault="009F2E87" w:rsidP="009F2E87">
            <w:pPr>
              <w:spacing w:after="0" w:line="240" w:lineRule="auto"/>
              <w:rPr>
                <w:rFonts w:ascii="Soberana Sans Light" w:eastAsia="Times New Roman" w:hAnsi="Soberana Sans Light" w:cs="Arial"/>
                <w:sz w:val="20"/>
                <w:szCs w:val="20"/>
                <w:lang w:eastAsia="es-ES"/>
              </w:rPr>
            </w:pPr>
          </w:p>
        </w:tc>
        <w:tc>
          <w:tcPr>
            <w:tcW w:w="2538" w:type="dxa"/>
            <w:vMerge w:val="restart"/>
            <w:tcBorders>
              <w:top w:val="nil"/>
              <w:left w:val="nil"/>
              <w:bottom w:val="nil"/>
              <w:right w:val="nil"/>
            </w:tcBorders>
            <w:vAlign w:val="center"/>
            <w:hideMark/>
          </w:tcPr>
          <w:p w:rsidR="009F2E87" w:rsidRPr="001E07A0" w:rsidRDefault="009F2E87" w:rsidP="009F2E87">
            <w:pPr>
              <w:spacing w:after="0" w:line="240" w:lineRule="auto"/>
              <w:jc w:val="right"/>
              <w:rPr>
                <w:rFonts w:ascii="Soberana Sans Light" w:eastAsia="Times New Roman" w:hAnsi="Soberana Sans Light" w:cs="Arial"/>
                <w:sz w:val="20"/>
                <w:szCs w:val="20"/>
                <w:lang w:eastAsia="es-ES"/>
              </w:rPr>
            </w:pPr>
          </w:p>
        </w:tc>
      </w:tr>
      <w:tr w:rsidR="009F2E87" w:rsidRPr="00CC699A" w:rsidTr="009F2E87">
        <w:trPr>
          <w:trHeight w:val="375"/>
        </w:trPr>
        <w:tc>
          <w:tcPr>
            <w:tcW w:w="1800" w:type="dxa"/>
            <w:vMerge/>
            <w:tcBorders>
              <w:top w:val="nil"/>
              <w:left w:val="nil"/>
              <w:bottom w:val="single" w:sz="4" w:space="0" w:color="auto"/>
              <w:right w:val="nil"/>
            </w:tcBorders>
            <w:vAlign w:val="center"/>
            <w:hideMark/>
          </w:tcPr>
          <w:p w:rsidR="009F2E87" w:rsidRPr="001E07A0" w:rsidRDefault="009F2E87" w:rsidP="009F2E87">
            <w:pPr>
              <w:spacing w:after="0" w:line="240" w:lineRule="auto"/>
              <w:rPr>
                <w:rFonts w:ascii="Soberana Sans Light" w:eastAsia="Times New Roman" w:hAnsi="Soberana Sans Light" w:cs="Arial"/>
                <w:sz w:val="20"/>
                <w:szCs w:val="20"/>
                <w:lang w:eastAsia="es-ES"/>
              </w:rPr>
            </w:pPr>
          </w:p>
        </w:tc>
        <w:tc>
          <w:tcPr>
            <w:tcW w:w="7800" w:type="dxa"/>
            <w:vMerge/>
            <w:tcBorders>
              <w:top w:val="nil"/>
              <w:left w:val="nil"/>
              <w:bottom w:val="single" w:sz="4" w:space="0" w:color="auto"/>
              <w:right w:val="nil"/>
            </w:tcBorders>
            <w:vAlign w:val="center"/>
            <w:hideMark/>
          </w:tcPr>
          <w:p w:rsidR="009F2E87" w:rsidRPr="001E07A0" w:rsidRDefault="009F2E87" w:rsidP="009F2E87">
            <w:pPr>
              <w:spacing w:after="0" w:line="240" w:lineRule="auto"/>
              <w:rPr>
                <w:rFonts w:ascii="Soberana Sans Light" w:eastAsia="Times New Roman" w:hAnsi="Soberana Sans Light" w:cs="Arial"/>
                <w:sz w:val="20"/>
                <w:szCs w:val="20"/>
                <w:lang w:eastAsia="es-ES"/>
              </w:rPr>
            </w:pPr>
          </w:p>
        </w:tc>
        <w:tc>
          <w:tcPr>
            <w:tcW w:w="2538" w:type="dxa"/>
            <w:vMerge/>
            <w:tcBorders>
              <w:top w:val="nil"/>
              <w:left w:val="nil"/>
              <w:bottom w:val="single" w:sz="4" w:space="0" w:color="auto"/>
              <w:right w:val="nil"/>
            </w:tcBorders>
            <w:vAlign w:val="center"/>
            <w:hideMark/>
          </w:tcPr>
          <w:p w:rsidR="009F2E87" w:rsidRPr="001E07A0" w:rsidRDefault="009F2E87" w:rsidP="009F2E87">
            <w:pPr>
              <w:spacing w:after="0" w:line="240" w:lineRule="auto"/>
              <w:jc w:val="right"/>
              <w:rPr>
                <w:rFonts w:ascii="Soberana Sans Light" w:eastAsia="Times New Roman" w:hAnsi="Soberana Sans Light" w:cs="Arial"/>
                <w:sz w:val="20"/>
                <w:szCs w:val="20"/>
                <w:lang w:eastAsia="es-ES"/>
              </w:rPr>
            </w:pPr>
          </w:p>
        </w:tc>
      </w:tr>
      <w:tr w:rsidR="009F2E87" w:rsidRPr="00CC699A" w:rsidTr="009F2E87">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E87" w:rsidRPr="001E07A0" w:rsidRDefault="009F2E87" w:rsidP="009F2E87">
            <w:pPr>
              <w:spacing w:after="0" w:line="240" w:lineRule="auto"/>
              <w:jc w:val="center"/>
              <w:rPr>
                <w:rFonts w:ascii="Soberana Sans Light" w:eastAsia="Times New Roman" w:hAnsi="Soberana Sans Light" w:cs="Arial"/>
                <w:b/>
                <w:sz w:val="20"/>
                <w:szCs w:val="20"/>
                <w:lang w:eastAsia="es-ES"/>
              </w:rPr>
            </w:pPr>
            <w:r w:rsidRPr="001E07A0">
              <w:rPr>
                <w:rFonts w:ascii="Soberana Sans Light" w:eastAsia="Times New Roman" w:hAnsi="Soberana Sans Light" w:cs="Arial"/>
                <w:b/>
                <w:sz w:val="20"/>
                <w:szCs w:val="20"/>
                <w:lang w:eastAsia="es-ES"/>
              </w:rPr>
              <w:t>NO. DE CTA.</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E87" w:rsidRPr="001E07A0" w:rsidRDefault="009F2E87" w:rsidP="009F2E87">
            <w:pPr>
              <w:spacing w:after="0" w:line="240" w:lineRule="auto"/>
              <w:jc w:val="center"/>
              <w:rPr>
                <w:rFonts w:ascii="Soberana Sans Light" w:eastAsia="Times New Roman" w:hAnsi="Soberana Sans Light" w:cs="Arial"/>
                <w:b/>
                <w:sz w:val="20"/>
                <w:szCs w:val="20"/>
                <w:lang w:eastAsia="es-ES"/>
              </w:rPr>
            </w:pPr>
            <w:r w:rsidRPr="001E07A0">
              <w:rPr>
                <w:rFonts w:ascii="Soberana Sans Light" w:eastAsia="Times New Roman" w:hAnsi="Soberana Sans Light" w:cs="Arial"/>
                <w:b/>
                <w:sz w:val="20"/>
                <w:szCs w:val="20"/>
                <w:lang w:eastAsia="es-ES"/>
              </w:rPr>
              <w:t>DESCRIPCION</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E87" w:rsidRPr="001E07A0" w:rsidRDefault="009F2E87" w:rsidP="009F2E87">
            <w:pPr>
              <w:spacing w:after="0" w:line="240" w:lineRule="auto"/>
              <w:jc w:val="center"/>
              <w:rPr>
                <w:rFonts w:ascii="Soberana Sans Light" w:eastAsia="Times New Roman" w:hAnsi="Soberana Sans Light" w:cs="Arial"/>
                <w:b/>
                <w:sz w:val="20"/>
                <w:szCs w:val="20"/>
                <w:lang w:eastAsia="es-ES"/>
              </w:rPr>
            </w:pPr>
            <w:r w:rsidRPr="001E07A0">
              <w:rPr>
                <w:rFonts w:ascii="Soberana Sans Light" w:eastAsia="Times New Roman" w:hAnsi="Soberana Sans Light" w:cs="Arial"/>
                <w:b/>
                <w:sz w:val="20"/>
                <w:szCs w:val="20"/>
                <w:lang w:eastAsia="es-ES"/>
              </w:rPr>
              <w:t>IMPORTE</w:t>
            </w:r>
          </w:p>
        </w:tc>
      </w:tr>
      <w:tr w:rsidR="009F2E87" w:rsidRPr="00CC699A" w:rsidTr="00EF08B9">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E87" w:rsidRPr="001E07A0" w:rsidRDefault="009F2E87" w:rsidP="009F2E87">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65501204939</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E87" w:rsidRPr="001E07A0" w:rsidRDefault="009F2E87" w:rsidP="009F2E87">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CUENTA DE CHEQUES  SUBSIDIO ESTATAL Y FEDERAL 2014</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2E87" w:rsidRPr="001E07A0" w:rsidRDefault="00EF08B9" w:rsidP="009F2E87">
            <w:pPr>
              <w:spacing w:after="0" w:line="240" w:lineRule="auto"/>
              <w:jc w:val="right"/>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22,640</w:t>
            </w:r>
          </w:p>
        </w:tc>
      </w:tr>
      <w:tr w:rsidR="009F2E87" w:rsidRPr="00CC699A" w:rsidTr="0086679D">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E87" w:rsidRPr="001E07A0" w:rsidRDefault="009F2E87" w:rsidP="009F2E87">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65501205306</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E87" w:rsidRPr="001E07A0" w:rsidRDefault="009F2E87" w:rsidP="009F2E87">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CUENTA DE CHEQUES INGRESOS PROPIOS</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2E87" w:rsidRPr="001E07A0" w:rsidRDefault="00EF08B9" w:rsidP="009F2E87">
            <w:pPr>
              <w:spacing w:after="0" w:line="240" w:lineRule="auto"/>
              <w:jc w:val="right"/>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1,556,353</w:t>
            </w:r>
          </w:p>
        </w:tc>
      </w:tr>
      <w:tr w:rsidR="009F2E87" w:rsidRPr="00CC699A" w:rsidTr="0086679D">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E87" w:rsidRPr="001E07A0" w:rsidRDefault="009F2E87" w:rsidP="009F2E87">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65501205169</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E87" w:rsidRPr="001E07A0" w:rsidRDefault="009F2E87" w:rsidP="009F2E87">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CUENTA DE CHEQUES PAGO DE NÓMINA</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2E87" w:rsidRPr="001E07A0" w:rsidRDefault="00EF08B9" w:rsidP="009F2E87">
            <w:pPr>
              <w:spacing w:after="0" w:line="240" w:lineRule="auto"/>
              <w:jc w:val="right"/>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457,215</w:t>
            </w:r>
          </w:p>
        </w:tc>
      </w:tr>
      <w:tr w:rsidR="009F2E87" w:rsidRPr="00CC699A" w:rsidTr="0086679D">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E87" w:rsidRPr="001E07A0" w:rsidRDefault="009F2E87" w:rsidP="009F2E87">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65502577619</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E87" w:rsidRPr="001E07A0" w:rsidRDefault="009F2E87" w:rsidP="009F2E87">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CUENTA DE CHEQUES CUENTA PARA PAGO DE GASTOS</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2E87" w:rsidRPr="001E07A0" w:rsidRDefault="00EF08B9" w:rsidP="009F2E87">
            <w:pPr>
              <w:spacing w:after="0" w:line="240" w:lineRule="auto"/>
              <w:jc w:val="right"/>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148,34</w:t>
            </w:r>
          </w:p>
        </w:tc>
      </w:tr>
      <w:tr w:rsidR="009F2E87" w:rsidRPr="00CC699A" w:rsidTr="0086679D">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E87" w:rsidRPr="001E07A0" w:rsidRDefault="009F2E87" w:rsidP="009F2E87">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65502769436</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E87" w:rsidRPr="001E07A0" w:rsidRDefault="009F2E87" w:rsidP="009F2E87">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CUENTA DE CHEQUES FONDO DE APOYO A LA CALIDAD 2010</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2E87" w:rsidRPr="001E07A0" w:rsidRDefault="00EF08B9" w:rsidP="009F2E87">
            <w:pPr>
              <w:spacing w:after="0" w:line="240" w:lineRule="auto"/>
              <w:jc w:val="right"/>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217,993</w:t>
            </w:r>
          </w:p>
        </w:tc>
      </w:tr>
      <w:tr w:rsidR="009F2E87" w:rsidRPr="00CC699A" w:rsidTr="0086679D">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E87" w:rsidRPr="001E07A0" w:rsidRDefault="009F2E87" w:rsidP="009F2E87">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65502812311</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E87" w:rsidRPr="001E07A0" w:rsidRDefault="009F2E87" w:rsidP="009F2E87">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CUENTA DE CHEQUES PROGRAMA DE APOYO AL PROFESORADO</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2E87" w:rsidRPr="001E07A0" w:rsidRDefault="00EF08B9" w:rsidP="009F2E87">
            <w:pPr>
              <w:spacing w:after="0" w:line="240" w:lineRule="auto"/>
              <w:jc w:val="right"/>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58,061</w:t>
            </w:r>
          </w:p>
        </w:tc>
      </w:tr>
      <w:tr w:rsidR="009F2E87" w:rsidRPr="00CC699A" w:rsidTr="0086679D">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E87" w:rsidRPr="001E07A0" w:rsidRDefault="009F2E87" w:rsidP="009F2E87">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65503075290</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E87" w:rsidRPr="001E07A0" w:rsidRDefault="009F2E87" w:rsidP="009F2E87">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CUENTA DE CHEQUES PROGRAMA INTEGRAL DE FORTALECIMIENTO INSTITUCIONAL 2011</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2E87" w:rsidRPr="001E07A0" w:rsidRDefault="00EF08B9" w:rsidP="009F2E87">
            <w:pPr>
              <w:spacing w:after="0" w:line="240" w:lineRule="auto"/>
              <w:jc w:val="right"/>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10,842</w:t>
            </w:r>
          </w:p>
        </w:tc>
      </w:tr>
      <w:tr w:rsidR="009F2E87" w:rsidRPr="00CC699A" w:rsidTr="0086679D">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E87" w:rsidRPr="001E07A0" w:rsidRDefault="009F2E87" w:rsidP="009F2E87">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65503076828</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E87" w:rsidRPr="001E07A0" w:rsidRDefault="009F2E87" w:rsidP="009F2E87">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CUENTA DE CHEQUES FONDO DE APOYO A LA CALIDAD 2011</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2E87" w:rsidRPr="001E07A0" w:rsidRDefault="00EF08B9" w:rsidP="009F2E87">
            <w:pPr>
              <w:spacing w:after="0" w:line="240" w:lineRule="auto"/>
              <w:jc w:val="right"/>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87,026</w:t>
            </w:r>
          </w:p>
        </w:tc>
      </w:tr>
      <w:tr w:rsidR="009F2E87" w:rsidRPr="00CC699A" w:rsidTr="0086679D">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E87" w:rsidRPr="001E07A0" w:rsidRDefault="009F2E87" w:rsidP="009F2E87">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65503410385</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E87" w:rsidRPr="001E07A0" w:rsidRDefault="009F2E87" w:rsidP="009F2E87">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CUENTA DE CHEQUES PROYECTO FORDECYT TECNOLÓGICO DE MONTERREY 2012</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2E87" w:rsidRPr="001E07A0" w:rsidRDefault="00EF08B9" w:rsidP="009F2E87">
            <w:pPr>
              <w:spacing w:after="0" w:line="240" w:lineRule="auto"/>
              <w:jc w:val="right"/>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1,642,922</w:t>
            </w:r>
          </w:p>
        </w:tc>
      </w:tr>
      <w:tr w:rsidR="009F2E87" w:rsidRPr="00CC699A" w:rsidTr="0086679D">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E87" w:rsidRPr="001E07A0" w:rsidRDefault="009F2E87" w:rsidP="009F2E87">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65503473621</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E87" w:rsidRPr="001E07A0" w:rsidRDefault="009F2E87" w:rsidP="009F2E87">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CUENTA DE CHEQUES  FONDO DE APOYO A LA CALIDAD 2012</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2E87" w:rsidRPr="001E07A0" w:rsidRDefault="00EF08B9" w:rsidP="009F2E87">
            <w:pPr>
              <w:spacing w:after="0" w:line="240" w:lineRule="auto"/>
              <w:jc w:val="right"/>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95,242</w:t>
            </w:r>
          </w:p>
        </w:tc>
      </w:tr>
      <w:tr w:rsidR="009F2E87" w:rsidRPr="00CC699A" w:rsidTr="0086679D">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E87" w:rsidRPr="001E07A0" w:rsidRDefault="009F2E87" w:rsidP="009F2E87">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65503558836</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E87" w:rsidRPr="001E07A0" w:rsidRDefault="009F2E87" w:rsidP="009F2E87">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 xml:space="preserve">CUENTA DE CHEQUES PROGRAMA DE MEJORA AL PROFESORADO 2012 </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2E87" w:rsidRPr="001E07A0" w:rsidRDefault="00EF08B9" w:rsidP="009F2E87">
            <w:pPr>
              <w:spacing w:after="0" w:line="240" w:lineRule="auto"/>
              <w:jc w:val="right"/>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147,495</w:t>
            </w:r>
          </w:p>
        </w:tc>
      </w:tr>
      <w:tr w:rsidR="009F2E87" w:rsidRPr="00CC699A" w:rsidTr="0086679D">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E87" w:rsidRPr="001E07A0" w:rsidRDefault="009F2E87" w:rsidP="009F2E87">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65503496986</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E87" w:rsidRPr="001E07A0" w:rsidRDefault="009F2E87" w:rsidP="009F2E87">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CUENTA DE CHEQUES CONVENIO DINA CAMIONES 2012</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2E87" w:rsidRPr="001E07A0" w:rsidRDefault="00EF08B9" w:rsidP="009F2E87">
            <w:pPr>
              <w:spacing w:after="0" w:line="240" w:lineRule="auto"/>
              <w:jc w:val="right"/>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190,562</w:t>
            </w:r>
          </w:p>
        </w:tc>
      </w:tr>
      <w:tr w:rsidR="009F2E87" w:rsidRPr="00CC699A" w:rsidTr="0086679D">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E87" w:rsidRPr="001E07A0" w:rsidRDefault="009F2E87" w:rsidP="009F2E87">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65504031439</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E87" w:rsidRPr="001E07A0" w:rsidRDefault="009F2E87" w:rsidP="009F2E87">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CUENTA DE CHEQUES PROGRAMA DE MEJORA AL PROFESORADO 2013</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2E87" w:rsidRPr="001E07A0" w:rsidRDefault="00EF08B9" w:rsidP="009F2E87">
            <w:pPr>
              <w:spacing w:after="0" w:line="240" w:lineRule="auto"/>
              <w:jc w:val="right"/>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12,083</w:t>
            </w:r>
          </w:p>
        </w:tc>
      </w:tr>
      <w:tr w:rsidR="009F2E87" w:rsidRPr="00CC699A" w:rsidTr="0086679D">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E87" w:rsidRPr="001E07A0" w:rsidRDefault="009F2E87" w:rsidP="009F2E87">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65503974853</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E87" w:rsidRPr="001E07A0" w:rsidRDefault="009F2E87" w:rsidP="009F2E87">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CUENTA DE CHEQUES CONVENIO GLOBAL FLOCK 2013</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2E87" w:rsidRPr="001E07A0" w:rsidRDefault="00EF08B9" w:rsidP="009F2E87">
            <w:pPr>
              <w:spacing w:after="0" w:line="240" w:lineRule="auto"/>
              <w:jc w:val="right"/>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28,283</w:t>
            </w:r>
          </w:p>
        </w:tc>
      </w:tr>
      <w:tr w:rsidR="009F2E87" w:rsidRPr="00CC699A" w:rsidTr="0086679D">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E87" w:rsidRPr="001E07A0" w:rsidRDefault="009F2E87" w:rsidP="009F2E87">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lastRenderedPageBreak/>
              <w:t>65504481687</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E87" w:rsidRPr="001E07A0" w:rsidRDefault="009F2E87" w:rsidP="009F2E87">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CUENTA DE CHEQUES BECAS CONACYT 2014 MADRES SOLTERAS</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2E87" w:rsidRPr="001E07A0" w:rsidRDefault="00EF08B9" w:rsidP="009F2E87">
            <w:pPr>
              <w:spacing w:after="0" w:line="240" w:lineRule="auto"/>
              <w:jc w:val="right"/>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13,525</w:t>
            </w:r>
          </w:p>
        </w:tc>
      </w:tr>
      <w:tr w:rsidR="009F2E87" w:rsidRPr="00CC699A" w:rsidTr="0086679D">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E87" w:rsidRPr="001E07A0" w:rsidRDefault="009F2E87" w:rsidP="009F2E87">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65504537975</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E87" w:rsidRPr="001E07A0" w:rsidRDefault="009F2E87" w:rsidP="009F2E87">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CUENTA DE CHEQUES CONVENIO METAPOL</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2E87" w:rsidRPr="001E07A0" w:rsidRDefault="00EF08B9" w:rsidP="009F2E87">
            <w:pPr>
              <w:spacing w:after="0" w:line="240" w:lineRule="auto"/>
              <w:jc w:val="right"/>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285,937</w:t>
            </w:r>
          </w:p>
        </w:tc>
      </w:tr>
      <w:tr w:rsidR="009F2E87" w:rsidRPr="00CC699A" w:rsidTr="009F2E87">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2E87" w:rsidRPr="001E07A0" w:rsidRDefault="009F2E87" w:rsidP="009F2E87">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65504798911</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2E87" w:rsidRPr="001E07A0" w:rsidRDefault="009F2E87" w:rsidP="009F2E87">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CUENTA DE CHEQUES SUBSIDIO FEDERAL</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2E87" w:rsidRPr="001E07A0" w:rsidRDefault="00EF08B9" w:rsidP="009F2E87">
            <w:pPr>
              <w:spacing w:after="0" w:line="240" w:lineRule="auto"/>
              <w:jc w:val="right"/>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6,054,259</w:t>
            </w:r>
          </w:p>
        </w:tc>
      </w:tr>
      <w:tr w:rsidR="009F2E87" w:rsidRPr="00CC699A" w:rsidTr="009F2E87">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2E87" w:rsidRPr="001E07A0" w:rsidRDefault="009F2E87" w:rsidP="009F2E87">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65504798879</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2E87" w:rsidRPr="001E07A0" w:rsidRDefault="009F2E87" w:rsidP="009F2E87">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CUENTA DE CHEQUES SUBSIDIO ESTATAL</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2E87" w:rsidRPr="001E07A0" w:rsidRDefault="00B054E5" w:rsidP="009F2E87">
            <w:pPr>
              <w:spacing w:after="0" w:line="240" w:lineRule="auto"/>
              <w:jc w:val="right"/>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1,993,796</w:t>
            </w:r>
          </w:p>
        </w:tc>
      </w:tr>
      <w:tr w:rsidR="009F2E87" w:rsidRPr="00CC699A" w:rsidTr="009F2E87">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2E87" w:rsidRPr="001E07A0" w:rsidRDefault="009F2E87" w:rsidP="009F2E87">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65504396422</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2E87" w:rsidRPr="001E07A0" w:rsidRDefault="009F2E87" w:rsidP="009F2E87">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CUENTA DE CHEQUES CRUZADA CONTRA EL HAMBRE 2014</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2E87" w:rsidRPr="001E07A0" w:rsidRDefault="00B054E5" w:rsidP="009F2E87">
            <w:pPr>
              <w:spacing w:after="0" w:line="240" w:lineRule="auto"/>
              <w:jc w:val="right"/>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6,390</w:t>
            </w:r>
          </w:p>
        </w:tc>
      </w:tr>
      <w:tr w:rsidR="009F2E87" w:rsidRPr="00CC699A" w:rsidTr="009F2E87">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2E87" w:rsidRPr="001E07A0" w:rsidRDefault="009F2E87" w:rsidP="009F2E87">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65504843420</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2E87" w:rsidRPr="001E07A0" w:rsidRDefault="009F2E87" w:rsidP="009F2E87">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CUENTA DE CHEQUES CRUZADA CONTRA EL HAMBRE 2015</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2E87" w:rsidRPr="001E07A0" w:rsidRDefault="00B054E5" w:rsidP="009F2E87">
            <w:pPr>
              <w:spacing w:after="0" w:line="240" w:lineRule="auto"/>
              <w:jc w:val="right"/>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244,678</w:t>
            </w:r>
          </w:p>
        </w:tc>
      </w:tr>
      <w:tr w:rsidR="009F2E87" w:rsidRPr="00CC699A" w:rsidTr="009F2E87">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2E87" w:rsidRPr="001E07A0" w:rsidRDefault="009F2E87" w:rsidP="009F2E87">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65505055280</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2E87" w:rsidRPr="001E07A0" w:rsidRDefault="009F2E87" w:rsidP="009F2E87">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CUENTA DE CHEQUES FONDO DE APORTACIONES MÚLTIPLES 2015</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2E87" w:rsidRPr="001E07A0" w:rsidRDefault="00B054E5" w:rsidP="009F2E87">
            <w:pPr>
              <w:spacing w:after="0" w:line="240" w:lineRule="auto"/>
              <w:jc w:val="right"/>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3,021,378</w:t>
            </w:r>
          </w:p>
        </w:tc>
      </w:tr>
      <w:tr w:rsidR="00B054E5" w:rsidRPr="00CC699A" w:rsidTr="009F2E87">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54E5" w:rsidRPr="001E07A0" w:rsidRDefault="00B054E5" w:rsidP="009F2E87">
            <w:pPr>
              <w:spacing w:after="0" w:line="240" w:lineRule="auto"/>
              <w:jc w:val="center"/>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65505196582</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54E5" w:rsidRPr="001E07A0" w:rsidRDefault="00B054E5" w:rsidP="009F2E87">
            <w:pPr>
              <w:spacing w:after="0" w:line="240" w:lineRule="auto"/>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CUENTA DE CHEQUES PROEXOEES 2015</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54E5" w:rsidRDefault="00B054E5" w:rsidP="009F2E87">
            <w:pPr>
              <w:spacing w:after="0" w:line="240" w:lineRule="auto"/>
              <w:jc w:val="right"/>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69,355</w:t>
            </w:r>
          </w:p>
        </w:tc>
      </w:tr>
      <w:tr w:rsidR="009F2E87" w:rsidRPr="00CC699A" w:rsidTr="009F2E87">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E87" w:rsidRPr="001E07A0" w:rsidRDefault="009F2E87" w:rsidP="009F2E87">
            <w:pPr>
              <w:spacing w:after="0" w:line="240" w:lineRule="auto"/>
              <w:rPr>
                <w:rFonts w:ascii="Soberana Sans Light" w:eastAsia="Times New Roman" w:hAnsi="Soberana Sans Light" w:cs="Arial"/>
                <w:sz w:val="20"/>
                <w:szCs w:val="20"/>
                <w:lang w:eastAsia="es-ES"/>
              </w:rPr>
            </w:pP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E87" w:rsidRPr="001E07A0" w:rsidRDefault="009F2E87" w:rsidP="009F2E87">
            <w:pPr>
              <w:spacing w:after="0" w:line="240" w:lineRule="auto"/>
              <w:jc w:val="center"/>
              <w:rPr>
                <w:rFonts w:ascii="Soberana Sans Light" w:eastAsia="Times New Roman" w:hAnsi="Soberana Sans Light" w:cs="Arial"/>
                <w:b/>
                <w:sz w:val="20"/>
                <w:szCs w:val="20"/>
                <w:lang w:eastAsia="es-ES"/>
              </w:rPr>
            </w:pPr>
            <w:r w:rsidRPr="001E07A0">
              <w:rPr>
                <w:rFonts w:ascii="Soberana Sans Light" w:eastAsia="Times New Roman" w:hAnsi="Soberana Sans Light" w:cs="Arial"/>
                <w:b/>
                <w:sz w:val="20"/>
                <w:szCs w:val="20"/>
                <w:lang w:eastAsia="es-ES"/>
              </w:rPr>
              <w:t>TOTAL</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E87" w:rsidRPr="001E07A0" w:rsidRDefault="00B054E5" w:rsidP="009F2E87">
            <w:pPr>
              <w:spacing w:after="0" w:line="240" w:lineRule="auto"/>
              <w:jc w:val="right"/>
              <w:rPr>
                <w:rFonts w:ascii="Soberana Sans Light" w:eastAsia="Times New Roman" w:hAnsi="Soberana Sans Light" w:cs="Arial"/>
                <w:b/>
                <w:sz w:val="20"/>
                <w:szCs w:val="20"/>
                <w:lang w:eastAsia="es-ES"/>
              </w:rPr>
            </w:pPr>
            <w:r>
              <w:rPr>
                <w:rFonts w:ascii="Soberana Sans Light" w:eastAsia="Times New Roman" w:hAnsi="Soberana Sans Light" w:cs="Arial"/>
                <w:b/>
                <w:sz w:val="20"/>
                <w:szCs w:val="20"/>
                <w:lang w:eastAsia="es-ES"/>
              </w:rPr>
              <w:t>16,364,770</w:t>
            </w:r>
          </w:p>
        </w:tc>
      </w:tr>
    </w:tbl>
    <w:p w:rsidR="009F2E87" w:rsidRDefault="009F2E87" w:rsidP="009F2E87">
      <w:pPr>
        <w:pStyle w:val="ROMANOS"/>
        <w:spacing w:after="0" w:line="240" w:lineRule="exact"/>
        <w:ind w:left="723" w:firstLine="0"/>
        <w:rPr>
          <w:rFonts w:ascii="Soberana Sans Light" w:hAnsi="Soberana Sans Light"/>
          <w:sz w:val="22"/>
          <w:szCs w:val="22"/>
          <w:lang w:val="es-MX"/>
        </w:rPr>
      </w:pPr>
    </w:p>
    <w:p w:rsidR="009F2E87" w:rsidRDefault="009F2E87" w:rsidP="009F2E87">
      <w:pPr>
        <w:pStyle w:val="ROMANOS"/>
        <w:spacing w:after="0" w:line="240" w:lineRule="exact"/>
        <w:ind w:left="0" w:firstLine="0"/>
        <w:rPr>
          <w:rFonts w:ascii="Soberana Sans Light" w:hAnsi="Soberana Sans Light"/>
          <w:sz w:val="22"/>
          <w:szCs w:val="22"/>
          <w:lang w:val="es-MX"/>
        </w:rPr>
      </w:pPr>
    </w:p>
    <w:p w:rsidR="009F2E87" w:rsidRDefault="009F2E87" w:rsidP="009F2E87">
      <w:pPr>
        <w:pStyle w:val="ROMANOS"/>
        <w:spacing w:after="0" w:line="240" w:lineRule="exact"/>
        <w:ind w:left="723" w:firstLine="0"/>
        <w:rPr>
          <w:rFonts w:ascii="Soberana Sans Light" w:hAnsi="Soberana Sans Light"/>
          <w:sz w:val="22"/>
          <w:szCs w:val="22"/>
          <w:lang w:val="es-MX"/>
        </w:rPr>
      </w:pPr>
      <w:r>
        <w:rPr>
          <w:rFonts w:ascii="Soberana Sans Light" w:hAnsi="Soberana Sans Light"/>
          <w:sz w:val="22"/>
          <w:szCs w:val="22"/>
          <w:lang w:val="es-MX"/>
        </w:rPr>
        <w:t>En el caso de las inversiones financieras se encuentran invertidas a corto plazo y son de disponibilidad inmediata, en cumplimiento a lo establecido en las reglas de operación de los Programas correspondientes. El saldo de l</w:t>
      </w:r>
      <w:r w:rsidR="00B054E5">
        <w:rPr>
          <w:rFonts w:ascii="Soberana Sans Light" w:hAnsi="Soberana Sans Light"/>
          <w:sz w:val="22"/>
          <w:szCs w:val="22"/>
          <w:lang w:val="es-MX"/>
        </w:rPr>
        <w:t>as inversiones es de $26,385,720</w:t>
      </w:r>
      <w:r>
        <w:rPr>
          <w:rFonts w:ascii="Soberana Sans Light" w:hAnsi="Soberana Sans Light"/>
          <w:sz w:val="22"/>
          <w:szCs w:val="22"/>
          <w:lang w:val="es-MX"/>
        </w:rPr>
        <w:t xml:space="preserve"> y se detalla a continuación</w:t>
      </w:r>
    </w:p>
    <w:p w:rsidR="009F2E87" w:rsidRDefault="009F2E87" w:rsidP="009F2E87">
      <w:pPr>
        <w:pStyle w:val="ROMANOS"/>
        <w:spacing w:after="0" w:line="240" w:lineRule="exact"/>
        <w:ind w:left="0" w:firstLine="0"/>
        <w:rPr>
          <w:rFonts w:ascii="Soberana Sans Light" w:hAnsi="Soberana Sans Light"/>
          <w:sz w:val="22"/>
          <w:szCs w:val="22"/>
          <w:lang w:val="es-MX"/>
        </w:rPr>
      </w:pPr>
    </w:p>
    <w:tbl>
      <w:tblPr>
        <w:tblW w:w="12598" w:type="dxa"/>
        <w:tblInd w:w="70" w:type="dxa"/>
        <w:tblCellMar>
          <w:left w:w="70" w:type="dxa"/>
          <w:right w:w="70" w:type="dxa"/>
        </w:tblCellMar>
        <w:tblLook w:val="04A0" w:firstRow="1" w:lastRow="0" w:firstColumn="1" w:lastColumn="0" w:noHBand="0" w:noVBand="1"/>
      </w:tblPr>
      <w:tblGrid>
        <w:gridCol w:w="1800"/>
        <w:gridCol w:w="160"/>
        <w:gridCol w:w="8100"/>
        <w:gridCol w:w="2538"/>
      </w:tblGrid>
      <w:tr w:rsidR="009F2E87" w:rsidRPr="00CC699A" w:rsidTr="008F43BD">
        <w:trPr>
          <w:trHeight w:val="375"/>
        </w:trPr>
        <w:tc>
          <w:tcPr>
            <w:tcW w:w="18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F2E87" w:rsidRPr="00236751" w:rsidRDefault="009F2E87" w:rsidP="009F2E87">
            <w:pPr>
              <w:spacing w:after="0" w:line="240" w:lineRule="auto"/>
              <w:jc w:val="center"/>
              <w:rPr>
                <w:rFonts w:ascii="Soberana Sans Light" w:eastAsia="Times New Roman" w:hAnsi="Soberana Sans Light" w:cs="Arial"/>
                <w:b/>
                <w:color w:val="000000" w:themeColor="text1"/>
                <w:sz w:val="20"/>
                <w:szCs w:val="20"/>
                <w:lang w:eastAsia="es-ES"/>
              </w:rPr>
            </w:pPr>
            <w:r w:rsidRPr="00236751">
              <w:rPr>
                <w:rFonts w:ascii="Soberana Sans Light" w:eastAsia="Times New Roman" w:hAnsi="Soberana Sans Light" w:cs="Arial"/>
                <w:b/>
                <w:color w:val="000000" w:themeColor="text1"/>
                <w:sz w:val="20"/>
                <w:szCs w:val="20"/>
                <w:lang w:eastAsia="es-ES"/>
              </w:rPr>
              <w:t>NO. DE CTA.</w:t>
            </w:r>
          </w:p>
        </w:tc>
        <w:tc>
          <w:tcPr>
            <w:tcW w:w="160" w:type="dxa"/>
            <w:tcBorders>
              <w:top w:val="single" w:sz="4" w:space="0" w:color="auto"/>
              <w:left w:val="single" w:sz="4" w:space="0" w:color="auto"/>
              <w:right w:val="single" w:sz="4" w:space="0" w:color="auto"/>
            </w:tcBorders>
            <w:shd w:val="clear" w:color="auto" w:fill="FFFFFF" w:themeFill="background1"/>
            <w:noWrap/>
            <w:vAlign w:val="bottom"/>
            <w:hideMark/>
          </w:tcPr>
          <w:p w:rsidR="009F2E87" w:rsidRPr="00236751" w:rsidRDefault="009F2E87" w:rsidP="009F2E87">
            <w:pPr>
              <w:spacing w:after="0" w:line="240" w:lineRule="auto"/>
              <w:jc w:val="center"/>
              <w:rPr>
                <w:rFonts w:ascii="Soberana Sans Light" w:eastAsia="Times New Roman" w:hAnsi="Soberana Sans Light" w:cs="Arial"/>
                <w:b/>
                <w:color w:val="000000" w:themeColor="text1"/>
                <w:sz w:val="20"/>
                <w:szCs w:val="20"/>
                <w:lang w:eastAsia="es-ES"/>
              </w:rPr>
            </w:pPr>
          </w:p>
        </w:tc>
        <w:tc>
          <w:tcPr>
            <w:tcW w:w="81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F2E87" w:rsidRPr="00236751" w:rsidRDefault="009F2E87" w:rsidP="009F2E87">
            <w:pPr>
              <w:spacing w:after="0" w:line="240" w:lineRule="auto"/>
              <w:jc w:val="center"/>
              <w:rPr>
                <w:rFonts w:ascii="Soberana Sans Light" w:eastAsia="Times New Roman" w:hAnsi="Soberana Sans Light" w:cs="Arial"/>
                <w:b/>
                <w:color w:val="000000" w:themeColor="text1"/>
                <w:sz w:val="20"/>
                <w:szCs w:val="20"/>
                <w:lang w:eastAsia="es-ES"/>
              </w:rPr>
            </w:pPr>
            <w:r w:rsidRPr="00236751">
              <w:rPr>
                <w:rFonts w:ascii="Soberana Sans Light" w:eastAsia="Times New Roman" w:hAnsi="Soberana Sans Light" w:cs="Arial"/>
                <w:b/>
                <w:color w:val="000000" w:themeColor="text1"/>
                <w:sz w:val="20"/>
                <w:szCs w:val="20"/>
                <w:lang w:eastAsia="es-ES"/>
              </w:rPr>
              <w:t>DESCRIPCION</w:t>
            </w:r>
          </w:p>
        </w:tc>
        <w:tc>
          <w:tcPr>
            <w:tcW w:w="253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F2E87" w:rsidRPr="00236751" w:rsidRDefault="009F2E87" w:rsidP="009F2E87">
            <w:pPr>
              <w:spacing w:after="0" w:line="240" w:lineRule="auto"/>
              <w:jc w:val="center"/>
              <w:rPr>
                <w:rFonts w:ascii="Soberana Sans Light" w:eastAsia="Times New Roman" w:hAnsi="Soberana Sans Light" w:cs="Arial"/>
                <w:b/>
                <w:color w:val="000000" w:themeColor="text1"/>
                <w:sz w:val="20"/>
                <w:szCs w:val="20"/>
                <w:lang w:eastAsia="es-ES"/>
              </w:rPr>
            </w:pPr>
            <w:r w:rsidRPr="00236751">
              <w:rPr>
                <w:rFonts w:ascii="Soberana Sans Light" w:eastAsia="Times New Roman" w:hAnsi="Soberana Sans Light" w:cs="Arial"/>
                <w:b/>
                <w:color w:val="000000" w:themeColor="text1"/>
                <w:sz w:val="20"/>
                <w:szCs w:val="20"/>
                <w:lang w:eastAsia="es-ES"/>
              </w:rPr>
              <w:t>IMPORTE</w:t>
            </w:r>
          </w:p>
        </w:tc>
      </w:tr>
      <w:tr w:rsidR="009F2E87" w:rsidRPr="00CC699A" w:rsidTr="008F43BD">
        <w:trPr>
          <w:trHeight w:val="375"/>
        </w:trPr>
        <w:tc>
          <w:tcPr>
            <w:tcW w:w="18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2E87" w:rsidRPr="001B04A9" w:rsidRDefault="009F2E87" w:rsidP="009F2E87">
            <w:pPr>
              <w:spacing w:after="0" w:line="240" w:lineRule="auto"/>
              <w:rPr>
                <w:rFonts w:ascii="Soberana Sans Light" w:eastAsia="Times New Roman" w:hAnsi="Soberana Sans Light" w:cs="Arial"/>
                <w:color w:val="000000" w:themeColor="text1"/>
                <w:sz w:val="20"/>
                <w:szCs w:val="20"/>
                <w:lang w:eastAsia="es-ES"/>
              </w:rPr>
            </w:pPr>
          </w:p>
        </w:tc>
        <w:tc>
          <w:tcPr>
            <w:tcW w:w="160" w:type="dxa"/>
            <w:tcBorders>
              <w:left w:val="single" w:sz="4" w:space="0" w:color="auto"/>
              <w:right w:val="single" w:sz="4" w:space="0" w:color="auto"/>
            </w:tcBorders>
            <w:shd w:val="clear" w:color="auto" w:fill="FFFFFF" w:themeFill="background1"/>
            <w:noWrap/>
            <w:vAlign w:val="center"/>
            <w:hideMark/>
          </w:tcPr>
          <w:p w:rsidR="009F2E87" w:rsidRPr="001B04A9" w:rsidRDefault="009F2E87" w:rsidP="009F2E87">
            <w:pPr>
              <w:spacing w:after="0" w:line="240" w:lineRule="auto"/>
              <w:jc w:val="center"/>
              <w:rPr>
                <w:rFonts w:ascii="Soberana Sans Light" w:eastAsia="Times New Roman" w:hAnsi="Soberana Sans Light" w:cs="Arial"/>
                <w:color w:val="000000" w:themeColor="text1"/>
                <w:sz w:val="20"/>
                <w:szCs w:val="20"/>
                <w:lang w:eastAsia="es-ES"/>
              </w:rPr>
            </w:pPr>
          </w:p>
        </w:tc>
        <w:tc>
          <w:tcPr>
            <w:tcW w:w="81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2E87" w:rsidRPr="001B04A9" w:rsidRDefault="009F2E87" w:rsidP="009F2E87">
            <w:pPr>
              <w:spacing w:after="0" w:line="240" w:lineRule="auto"/>
              <w:rPr>
                <w:rFonts w:ascii="Soberana Sans Light" w:eastAsia="Times New Roman" w:hAnsi="Soberana Sans Light" w:cs="Arial"/>
                <w:color w:val="000000" w:themeColor="text1"/>
                <w:sz w:val="20"/>
                <w:szCs w:val="20"/>
                <w:lang w:eastAsia="es-ES"/>
              </w:rPr>
            </w:pPr>
          </w:p>
        </w:tc>
        <w:tc>
          <w:tcPr>
            <w:tcW w:w="253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2E87" w:rsidRPr="001B04A9" w:rsidRDefault="009F2E87" w:rsidP="009F2E87">
            <w:pPr>
              <w:spacing w:after="0" w:line="240" w:lineRule="auto"/>
              <w:jc w:val="right"/>
              <w:rPr>
                <w:rFonts w:ascii="Soberana Sans Light" w:eastAsia="Times New Roman" w:hAnsi="Soberana Sans Light" w:cs="Arial"/>
                <w:color w:val="000000" w:themeColor="text1"/>
                <w:sz w:val="20"/>
                <w:szCs w:val="20"/>
                <w:lang w:eastAsia="es-ES"/>
              </w:rPr>
            </w:pPr>
          </w:p>
        </w:tc>
      </w:tr>
      <w:tr w:rsidR="009F2E87" w:rsidRPr="00CC699A" w:rsidTr="008F43BD">
        <w:trPr>
          <w:trHeight w:val="80"/>
        </w:trPr>
        <w:tc>
          <w:tcPr>
            <w:tcW w:w="18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2E87" w:rsidRPr="001B04A9" w:rsidRDefault="009F2E87" w:rsidP="009F2E87">
            <w:pPr>
              <w:spacing w:after="0" w:line="240" w:lineRule="auto"/>
              <w:rPr>
                <w:rFonts w:ascii="Soberana Sans Light" w:eastAsia="Times New Roman" w:hAnsi="Soberana Sans Light" w:cs="Arial"/>
                <w:color w:val="000000" w:themeColor="text1"/>
                <w:sz w:val="20"/>
                <w:szCs w:val="20"/>
                <w:lang w:eastAsia="es-ES"/>
              </w:rPr>
            </w:pPr>
          </w:p>
        </w:tc>
        <w:tc>
          <w:tcPr>
            <w:tcW w:w="160" w:type="dxa"/>
            <w:tcBorders>
              <w:left w:val="single" w:sz="4" w:space="0" w:color="auto"/>
              <w:bottom w:val="single" w:sz="4" w:space="0" w:color="auto"/>
              <w:right w:val="single" w:sz="4" w:space="0" w:color="auto"/>
            </w:tcBorders>
            <w:shd w:val="clear" w:color="auto" w:fill="FFFFFF" w:themeFill="background1"/>
            <w:noWrap/>
            <w:vAlign w:val="bottom"/>
            <w:hideMark/>
          </w:tcPr>
          <w:p w:rsidR="009F2E87" w:rsidRPr="001B04A9" w:rsidRDefault="009F2E87" w:rsidP="009F2E87">
            <w:pPr>
              <w:spacing w:after="0" w:line="240" w:lineRule="auto"/>
              <w:jc w:val="center"/>
              <w:rPr>
                <w:rFonts w:ascii="Soberana Sans Light" w:eastAsia="Times New Roman" w:hAnsi="Soberana Sans Light" w:cs="Arial"/>
                <w:color w:val="000000" w:themeColor="text1"/>
                <w:sz w:val="20"/>
                <w:szCs w:val="20"/>
                <w:lang w:eastAsia="es-ES"/>
              </w:rPr>
            </w:pPr>
          </w:p>
        </w:tc>
        <w:tc>
          <w:tcPr>
            <w:tcW w:w="81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2E87" w:rsidRPr="001B04A9" w:rsidRDefault="009F2E87" w:rsidP="009F2E87">
            <w:pPr>
              <w:spacing w:after="0" w:line="240" w:lineRule="auto"/>
              <w:rPr>
                <w:rFonts w:ascii="Soberana Sans Light" w:eastAsia="Times New Roman" w:hAnsi="Soberana Sans Light" w:cs="Arial"/>
                <w:color w:val="000000" w:themeColor="text1"/>
                <w:sz w:val="20"/>
                <w:szCs w:val="20"/>
                <w:lang w:eastAsia="es-ES"/>
              </w:rPr>
            </w:pPr>
          </w:p>
        </w:tc>
        <w:tc>
          <w:tcPr>
            <w:tcW w:w="253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2E87" w:rsidRPr="001B04A9" w:rsidRDefault="009F2E87" w:rsidP="009F2E87">
            <w:pPr>
              <w:spacing w:after="0" w:line="240" w:lineRule="auto"/>
              <w:jc w:val="right"/>
              <w:rPr>
                <w:rFonts w:ascii="Soberana Sans Light" w:eastAsia="Times New Roman" w:hAnsi="Soberana Sans Light" w:cs="Arial"/>
                <w:color w:val="000000" w:themeColor="text1"/>
                <w:sz w:val="20"/>
                <w:szCs w:val="20"/>
                <w:lang w:eastAsia="es-ES"/>
              </w:rPr>
            </w:pPr>
          </w:p>
        </w:tc>
      </w:tr>
      <w:tr w:rsidR="009F2E87" w:rsidRPr="00CC699A" w:rsidTr="009F2E87">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F2E87" w:rsidRPr="001B04A9" w:rsidRDefault="009F2E87" w:rsidP="009F2E87">
            <w:pPr>
              <w:spacing w:after="0" w:line="240" w:lineRule="auto"/>
              <w:jc w:val="center"/>
              <w:rPr>
                <w:rFonts w:ascii="Soberana Sans Light" w:eastAsia="Times New Roman" w:hAnsi="Soberana Sans Light" w:cs="Arial"/>
                <w:color w:val="000000" w:themeColor="text1"/>
                <w:sz w:val="20"/>
                <w:szCs w:val="20"/>
                <w:lang w:eastAsia="es-ES"/>
              </w:rPr>
            </w:pPr>
            <w:r w:rsidRPr="001B04A9">
              <w:rPr>
                <w:rFonts w:ascii="Soberana Sans Light" w:eastAsia="Times New Roman" w:hAnsi="Soberana Sans Light" w:cs="Arial"/>
                <w:color w:val="000000" w:themeColor="text1"/>
                <w:sz w:val="20"/>
                <w:szCs w:val="20"/>
                <w:lang w:eastAsia="es-ES"/>
              </w:rPr>
              <w:t>65501205306</w:t>
            </w:r>
          </w:p>
        </w:tc>
        <w:tc>
          <w:tcPr>
            <w:tcW w:w="1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F2E87" w:rsidRPr="001B04A9" w:rsidRDefault="009F2E87" w:rsidP="009F2E87">
            <w:pPr>
              <w:spacing w:after="0" w:line="240" w:lineRule="auto"/>
              <w:jc w:val="center"/>
              <w:rPr>
                <w:rFonts w:ascii="Soberana Sans Light" w:eastAsia="Times New Roman" w:hAnsi="Soberana Sans Light" w:cs="Arial"/>
                <w:color w:val="000000" w:themeColor="text1"/>
                <w:sz w:val="20"/>
                <w:szCs w:val="20"/>
                <w:lang w:eastAsia="es-ES"/>
              </w:rPr>
            </w:pPr>
          </w:p>
        </w:tc>
        <w:tc>
          <w:tcPr>
            <w:tcW w:w="81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F2E87" w:rsidRPr="001B04A9" w:rsidRDefault="009F2E87" w:rsidP="009F2E87">
            <w:pPr>
              <w:spacing w:after="0" w:line="240" w:lineRule="auto"/>
              <w:rPr>
                <w:rFonts w:ascii="Soberana Sans Light" w:eastAsia="Times New Roman" w:hAnsi="Soberana Sans Light" w:cs="Arial"/>
                <w:color w:val="000000" w:themeColor="text1"/>
                <w:sz w:val="20"/>
                <w:szCs w:val="20"/>
                <w:lang w:eastAsia="es-ES"/>
              </w:rPr>
            </w:pPr>
            <w:r w:rsidRPr="001B04A9">
              <w:rPr>
                <w:rFonts w:ascii="Soberana Sans Light" w:eastAsia="Times New Roman" w:hAnsi="Soberana Sans Light" w:cs="Arial"/>
                <w:color w:val="000000" w:themeColor="text1"/>
                <w:sz w:val="20"/>
                <w:szCs w:val="20"/>
                <w:lang w:eastAsia="es-ES"/>
              </w:rPr>
              <w:t>INVERSIÓN INGRESOS PROPIOS</w:t>
            </w:r>
          </w:p>
        </w:tc>
        <w:tc>
          <w:tcPr>
            <w:tcW w:w="25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9F2E87" w:rsidRPr="001B04A9" w:rsidRDefault="00B054E5" w:rsidP="009F2E87">
            <w:pPr>
              <w:spacing w:after="0" w:line="240" w:lineRule="auto"/>
              <w:jc w:val="right"/>
              <w:rPr>
                <w:rFonts w:ascii="Soberana Sans Light" w:eastAsia="Times New Roman" w:hAnsi="Soberana Sans Light" w:cs="Arial"/>
                <w:color w:val="000000" w:themeColor="text1"/>
                <w:sz w:val="20"/>
                <w:szCs w:val="20"/>
                <w:lang w:eastAsia="es-ES"/>
              </w:rPr>
            </w:pPr>
            <w:r>
              <w:rPr>
                <w:rFonts w:ascii="Soberana Sans Light" w:eastAsia="Times New Roman" w:hAnsi="Soberana Sans Light" w:cs="Arial"/>
                <w:color w:val="000000" w:themeColor="text1"/>
                <w:sz w:val="20"/>
                <w:szCs w:val="20"/>
                <w:lang w:eastAsia="es-ES"/>
              </w:rPr>
              <w:t>3,285,720</w:t>
            </w:r>
          </w:p>
        </w:tc>
      </w:tr>
      <w:tr w:rsidR="009F2E87" w:rsidRPr="00CC699A" w:rsidTr="009F2E87">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F2E87" w:rsidRPr="001B04A9" w:rsidRDefault="009F2E87" w:rsidP="009F2E87">
            <w:pPr>
              <w:spacing w:after="0" w:line="240" w:lineRule="auto"/>
              <w:jc w:val="center"/>
              <w:rPr>
                <w:rFonts w:ascii="Soberana Sans Light" w:eastAsia="Times New Roman" w:hAnsi="Soberana Sans Light" w:cs="Arial"/>
                <w:color w:val="000000" w:themeColor="text1"/>
                <w:sz w:val="20"/>
                <w:szCs w:val="20"/>
                <w:lang w:eastAsia="es-ES"/>
              </w:rPr>
            </w:pPr>
            <w:r w:rsidRPr="001B04A9">
              <w:rPr>
                <w:rFonts w:ascii="Soberana Sans Light" w:eastAsia="Times New Roman" w:hAnsi="Soberana Sans Light" w:cs="Arial"/>
                <w:color w:val="000000" w:themeColor="text1"/>
                <w:sz w:val="20"/>
                <w:szCs w:val="20"/>
                <w:lang w:eastAsia="es-ES"/>
              </w:rPr>
              <w:t>65502812311</w:t>
            </w:r>
          </w:p>
        </w:tc>
        <w:tc>
          <w:tcPr>
            <w:tcW w:w="1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F2E87" w:rsidRPr="001B04A9" w:rsidRDefault="009F2E87" w:rsidP="009F2E87">
            <w:pPr>
              <w:spacing w:after="0" w:line="240" w:lineRule="auto"/>
              <w:jc w:val="center"/>
              <w:rPr>
                <w:rFonts w:ascii="Soberana Sans Light" w:eastAsia="Times New Roman" w:hAnsi="Soberana Sans Light" w:cs="Arial"/>
                <w:color w:val="000000" w:themeColor="text1"/>
                <w:sz w:val="20"/>
                <w:szCs w:val="20"/>
                <w:lang w:eastAsia="es-ES"/>
              </w:rPr>
            </w:pPr>
          </w:p>
        </w:tc>
        <w:tc>
          <w:tcPr>
            <w:tcW w:w="81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F2E87" w:rsidRPr="001B04A9" w:rsidRDefault="009F2E87" w:rsidP="009F2E87">
            <w:pPr>
              <w:spacing w:after="0" w:line="240" w:lineRule="auto"/>
              <w:rPr>
                <w:rFonts w:ascii="Soberana Sans Light" w:eastAsia="Times New Roman" w:hAnsi="Soberana Sans Light" w:cs="Arial"/>
                <w:color w:val="000000" w:themeColor="text1"/>
                <w:sz w:val="20"/>
                <w:szCs w:val="20"/>
                <w:lang w:eastAsia="es-ES"/>
              </w:rPr>
            </w:pPr>
            <w:r w:rsidRPr="001B04A9">
              <w:rPr>
                <w:rFonts w:ascii="Soberana Sans Light" w:eastAsia="Times New Roman" w:hAnsi="Soberana Sans Light" w:cs="Arial"/>
                <w:color w:val="000000" w:themeColor="text1"/>
                <w:sz w:val="20"/>
                <w:szCs w:val="20"/>
                <w:lang w:eastAsia="es-ES"/>
              </w:rPr>
              <w:t>INVERSIÓN PROGRAMA DE APOYO AL PROFESORADO</w:t>
            </w:r>
            <w:r>
              <w:rPr>
                <w:rFonts w:ascii="Soberana Sans Light" w:eastAsia="Times New Roman" w:hAnsi="Soberana Sans Light" w:cs="Arial"/>
                <w:color w:val="000000" w:themeColor="text1"/>
                <w:sz w:val="20"/>
                <w:szCs w:val="20"/>
                <w:lang w:eastAsia="es-ES"/>
              </w:rPr>
              <w:t xml:space="preserve"> 2010</w:t>
            </w:r>
          </w:p>
        </w:tc>
        <w:tc>
          <w:tcPr>
            <w:tcW w:w="25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9F2E87" w:rsidRPr="001B04A9" w:rsidRDefault="00B054E5" w:rsidP="009F2E87">
            <w:pPr>
              <w:spacing w:after="0" w:line="240" w:lineRule="auto"/>
              <w:jc w:val="right"/>
              <w:rPr>
                <w:rFonts w:ascii="Soberana Sans Light" w:eastAsia="Times New Roman" w:hAnsi="Soberana Sans Light" w:cs="Arial"/>
                <w:color w:val="000000" w:themeColor="text1"/>
                <w:sz w:val="20"/>
                <w:szCs w:val="20"/>
                <w:lang w:eastAsia="es-ES"/>
              </w:rPr>
            </w:pPr>
            <w:r>
              <w:rPr>
                <w:rFonts w:ascii="Soberana Sans Light" w:eastAsia="Times New Roman" w:hAnsi="Soberana Sans Light" w:cs="Arial"/>
                <w:color w:val="000000" w:themeColor="text1"/>
                <w:sz w:val="20"/>
                <w:szCs w:val="20"/>
                <w:lang w:eastAsia="es-ES"/>
              </w:rPr>
              <w:t>40</w:t>
            </w:r>
            <w:r w:rsidR="009F2E87">
              <w:rPr>
                <w:rFonts w:ascii="Soberana Sans Light" w:eastAsia="Times New Roman" w:hAnsi="Soberana Sans Light" w:cs="Arial"/>
                <w:color w:val="000000" w:themeColor="text1"/>
                <w:sz w:val="20"/>
                <w:szCs w:val="20"/>
                <w:lang w:eastAsia="es-ES"/>
              </w:rPr>
              <w:t>0,000</w:t>
            </w:r>
          </w:p>
        </w:tc>
      </w:tr>
      <w:tr w:rsidR="009F2E87" w:rsidRPr="00CC699A" w:rsidTr="009F2E87">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F2E87" w:rsidRPr="001B04A9" w:rsidRDefault="00B054E5" w:rsidP="009F2E87">
            <w:pPr>
              <w:spacing w:after="0" w:line="240" w:lineRule="auto"/>
              <w:jc w:val="center"/>
              <w:rPr>
                <w:rFonts w:ascii="Soberana Sans Light" w:eastAsia="Times New Roman" w:hAnsi="Soberana Sans Light" w:cs="Arial"/>
                <w:color w:val="000000" w:themeColor="text1"/>
                <w:sz w:val="20"/>
                <w:szCs w:val="20"/>
                <w:lang w:eastAsia="es-ES"/>
              </w:rPr>
            </w:pPr>
            <w:r>
              <w:rPr>
                <w:rFonts w:ascii="Soberana Sans Light" w:eastAsia="Times New Roman" w:hAnsi="Soberana Sans Light" w:cs="Arial"/>
                <w:sz w:val="20"/>
                <w:szCs w:val="20"/>
                <w:lang w:eastAsia="es-ES"/>
              </w:rPr>
              <w:t>65505196582</w:t>
            </w:r>
          </w:p>
        </w:tc>
        <w:tc>
          <w:tcPr>
            <w:tcW w:w="1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F2E87" w:rsidRPr="001B04A9" w:rsidRDefault="009F2E87" w:rsidP="009F2E87">
            <w:pPr>
              <w:spacing w:after="0" w:line="240" w:lineRule="auto"/>
              <w:jc w:val="center"/>
              <w:rPr>
                <w:rFonts w:ascii="Soberana Sans Light" w:eastAsia="Times New Roman" w:hAnsi="Soberana Sans Light" w:cs="Arial"/>
                <w:color w:val="000000" w:themeColor="text1"/>
                <w:sz w:val="20"/>
                <w:szCs w:val="20"/>
                <w:lang w:eastAsia="es-ES"/>
              </w:rPr>
            </w:pPr>
          </w:p>
        </w:tc>
        <w:tc>
          <w:tcPr>
            <w:tcW w:w="81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F2E87" w:rsidRPr="001B04A9" w:rsidRDefault="00B054E5" w:rsidP="009F2E87">
            <w:pPr>
              <w:spacing w:after="0" w:line="240" w:lineRule="auto"/>
              <w:rPr>
                <w:rFonts w:ascii="Soberana Sans Light" w:eastAsia="Times New Roman" w:hAnsi="Soberana Sans Light" w:cs="Arial"/>
                <w:color w:val="000000" w:themeColor="text1"/>
                <w:sz w:val="20"/>
                <w:szCs w:val="20"/>
                <w:lang w:eastAsia="es-ES"/>
              </w:rPr>
            </w:pPr>
            <w:r>
              <w:rPr>
                <w:rFonts w:ascii="Soberana Sans Light" w:eastAsia="Times New Roman" w:hAnsi="Soberana Sans Light" w:cs="Arial"/>
                <w:color w:val="000000" w:themeColor="text1"/>
                <w:sz w:val="20"/>
                <w:szCs w:val="20"/>
                <w:lang w:eastAsia="es-ES"/>
              </w:rPr>
              <w:t>INVERSIÓN PROEXOEES 2015</w:t>
            </w:r>
          </w:p>
        </w:tc>
        <w:tc>
          <w:tcPr>
            <w:tcW w:w="25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9F2E87" w:rsidRPr="001B04A9" w:rsidRDefault="00B054E5" w:rsidP="009F2E87">
            <w:pPr>
              <w:spacing w:after="0" w:line="240" w:lineRule="auto"/>
              <w:jc w:val="right"/>
              <w:rPr>
                <w:rFonts w:ascii="Soberana Sans Light" w:eastAsia="Times New Roman" w:hAnsi="Soberana Sans Light" w:cs="Arial"/>
                <w:color w:val="000000" w:themeColor="text1"/>
                <w:sz w:val="20"/>
                <w:szCs w:val="20"/>
                <w:lang w:eastAsia="es-ES"/>
              </w:rPr>
            </w:pPr>
            <w:r>
              <w:rPr>
                <w:rFonts w:ascii="Soberana Sans Light" w:eastAsia="Times New Roman" w:hAnsi="Soberana Sans Light" w:cs="Arial"/>
                <w:color w:val="000000" w:themeColor="text1"/>
                <w:sz w:val="20"/>
                <w:szCs w:val="20"/>
                <w:lang w:eastAsia="es-ES"/>
              </w:rPr>
              <w:t>5,500,000</w:t>
            </w:r>
          </w:p>
        </w:tc>
      </w:tr>
      <w:tr w:rsidR="009F2E87" w:rsidRPr="00CC699A" w:rsidTr="009F2E87">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F2E87" w:rsidRPr="001B04A9" w:rsidRDefault="009F2E87" w:rsidP="009F2E87">
            <w:pPr>
              <w:spacing w:after="0" w:line="240" w:lineRule="auto"/>
              <w:jc w:val="center"/>
              <w:rPr>
                <w:rFonts w:ascii="Soberana Sans Light" w:eastAsia="Times New Roman" w:hAnsi="Soberana Sans Light" w:cs="Arial"/>
                <w:color w:val="000000" w:themeColor="text1"/>
                <w:sz w:val="20"/>
                <w:szCs w:val="20"/>
                <w:lang w:eastAsia="es-ES"/>
              </w:rPr>
            </w:pPr>
            <w:r w:rsidRPr="001B04A9">
              <w:rPr>
                <w:rFonts w:ascii="Soberana Sans Light" w:eastAsia="Times New Roman" w:hAnsi="Soberana Sans Light" w:cs="Arial"/>
                <w:color w:val="000000" w:themeColor="text1"/>
                <w:sz w:val="20"/>
                <w:szCs w:val="20"/>
                <w:lang w:eastAsia="es-ES"/>
              </w:rPr>
              <w:t>65503076828</w:t>
            </w:r>
          </w:p>
        </w:tc>
        <w:tc>
          <w:tcPr>
            <w:tcW w:w="1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F2E87" w:rsidRPr="001B04A9" w:rsidRDefault="009F2E87" w:rsidP="009F2E87">
            <w:pPr>
              <w:spacing w:after="0" w:line="240" w:lineRule="auto"/>
              <w:jc w:val="center"/>
              <w:rPr>
                <w:rFonts w:ascii="Soberana Sans Light" w:eastAsia="Times New Roman" w:hAnsi="Soberana Sans Light" w:cs="Arial"/>
                <w:color w:val="000000" w:themeColor="text1"/>
                <w:sz w:val="20"/>
                <w:szCs w:val="20"/>
                <w:lang w:eastAsia="es-ES"/>
              </w:rPr>
            </w:pPr>
          </w:p>
        </w:tc>
        <w:tc>
          <w:tcPr>
            <w:tcW w:w="81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F2E87" w:rsidRPr="001B04A9" w:rsidRDefault="009F2E87" w:rsidP="009F2E87">
            <w:pPr>
              <w:spacing w:after="0" w:line="240" w:lineRule="auto"/>
              <w:rPr>
                <w:rFonts w:ascii="Soberana Sans Light" w:eastAsia="Times New Roman" w:hAnsi="Soberana Sans Light" w:cs="Arial"/>
                <w:color w:val="000000" w:themeColor="text1"/>
                <w:sz w:val="20"/>
                <w:szCs w:val="20"/>
                <w:lang w:eastAsia="es-ES"/>
              </w:rPr>
            </w:pPr>
            <w:r w:rsidRPr="001B04A9">
              <w:rPr>
                <w:rFonts w:ascii="Soberana Sans Light" w:eastAsia="Times New Roman" w:hAnsi="Soberana Sans Light" w:cs="Arial"/>
                <w:color w:val="000000" w:themeColor="text1"/>
                <w:sz w:val="20"/>
                <w:szCs w:val="20"/>
                <w:lang w:eastAsia="es-ES"/>
              </w:rPr>
              <w:t>INVERSIÓN FONDO DE APOYO A LA CALIDAD 2011</w:t>
            </w:r>
          </w:p>
        </w:tc>
        <w:tc>
          <w:tcPr>
            <w:tcW w:w="25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9F2E87" w:rsidRPr="001B04A9" w:rsidRDefault="00D3447D" w:rsidP="009F2E87">
            <w:pPr>
              <w:spacing w:after="0" w:line="240" w:lineRule="auto"/>
              <w:jc w:val="right"/>
              <w:rPr>
                <w:rFonts w:ascii="Soberana Sans Light" w:eastAsia="Times New Roman" w:hAnsi="Soberana Sans Light" w:cs="Arial"/>
                <w:color w:val="000000" w:themeColor="text1"/>
                <w:sz w:val="20"/>
                <w:szCs w:val="20"/>
                <w:lang w:eastAsia="es-ES"/>
              </w:rPr>
            </w:pPr>
            <w:r>
              <w:rPr>
                <w:rFonts w:ascii="Soberana Sans Light" w:eastAsia="Times New Roman" w:hAnsi="Soberana Sans Light" w:cs="Arial"/>
                <w:color w:val="000000" w:themeColor="text1"/>
                <w:sz w:val="20"/>
                <w:szCs w:val="20"/>
                <w:lang w:eastAsia="es-ES"/>
              </w:rPr>
              <w:t>1</w:t>
            </w:r>
            <w:r w:rsidR="009F2E87">
              <w:rPr>
                <w:rFonts w:ascii="Soberana Sans Light" w:eastAsia="Times New Roman" w:hAnsi="Soberana Sans Light" w:cs="Arial"/>
                <w:color w:val="000000" w:themeColor="text1"/>
                <w:sz w:val="20"/>
                <w:szCs w:val="20"/>
                <w:lang w:eastAsia="es-ES"/>
              </w:rPr>
              <w:t>,600,000</w:t>
            </w:r>
          </w:p>
        </w:tc>
      </w:tr>
      <w:tr w:rsidR="009F2E87" w:rsidRPr="00CC699A" w:rsidTr="009F2E87">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F2E87" w:rsidRPr="001B04A9" w:rsidRDefault="009F2E87" w:rsidP="009F2E87">
            <w:pPr>
              <w:spacing w:after="0" w:line="240" w:lineRule="auto"/>
              <w:jc w:val="center"/>
              <w:rPr>
                <w:rFonts w:ascii="Soberana Sans Light" w:eastAsia="Times New Roman" w:hAnsi="Soberana Sans Light" w:cs="Arial"/>
                <w:color w:val="000000" w:themeColor="text1"/>
                <w:sz w:val="20"/>
                <w:szCs w:val="20"/>
                <w:lang w:eastAsia="es-ES"/>
              </w:rPr>
            </w:pPr>
            <w:r w:rsidRPr="001B04A9">
              <w:rPr>
                <w:rFonts w:ascii="Soberana Sans Light" w:eastAsia="Times New Roman" w:hAnsi="Soberana Sans Light" w:cs="Arial"/>
                <w:color w:val="000000" w:themeColor="text1"/>
                <w:sz w:val="20"/>
                <w:szCs w:val="20"/>
                <w:lang w:eastAsia="es-ES"/>
              </w:rPr>
              <w:t>65503473621</w:t>
            </w:r>
          </w:p>
        </w:tc>
        <w:tc>
          <w:tcPr>
            <w:tcW w:w="1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F2E87" w:rsidRPr="001B04A9" w:rsidRDefault="009F2E87" w:rsidP="009F2E87">
            <w:pPr>
              <w:spacing w:after="0" w:line="240" w:lineRule="auto"/>
              <w:jc w:val="center"/>
              <w:rPr>
                <w:rFonts w:ascii="Soberana Sans Light" w:eastAsia="Times New Roman" w:hAnsi="Soberana Sans Light" w:cs="Arial"/>
                <w:color w:val="000000" w:themeColor="text1"/>
                <w:sz w:val="20"/>
                <w:szCs w:val="20"/>
                <w:lang w:eastAsia="es-ES"/>
              </w:rPr>
            </w:pPr>
          </w:p>
        </w:tc>
        <w:tc>
          <w:tcPr>
            <w:tcW w:w="81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F2E87" w:rsidRPr="001B04A9" w:rsidRDefault="009F2E87" w:rsidP="009F2E87">
            <w:pPr>
              <w:spacing w:after="0" w:line="240" w:lineRule="auto"/>
              <w:rPr>
                <w:rFonts w:ascii="Soberana Sans Light" w:eastAsia="Times New Roman" w:hAnsi="Soberana Sans Light" w:cs="Arial"/>
                <w:color w:val="000000" w:themeColor="text1"/>
                <w:sz w:val="20"/>
                <w:szCs w:val="20"/>
                <w:lang w:eastAsia="es-ES"/>
              </w:rPr>
            </w:pPr>
            <w:r w:rsidRPr="001B04A9">
              <w:rPr>
                <w:rFonts w:ascii="Soberana Sans Light" w:eastAsia="Times New Roman" w:hAnsi="Soberana Sans Light" w:cs="Arial"/>
                <w:color w:val="000000" w:themeColor="text1"/>
                <w:sz w:val="20"/>
                <w:szCs w:val="20"/>
                <w:lang w:eastAsia="es-ES"/>
              </w:rPr>
              <w:t>INVERSIÓN FONDO DE APOYO A LA CALIDAD 2012</w:t>
            </w:r>
          </w:p>
        </w:tc>
        <w:tc>
          <w:tcPr>
            <w:tcW w:w="25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F2E87" w:rsidRPr="001B04A9" w:rsidRDefault="00B054E5" w:rsidP="009F2E87">
            <w:pPr>
              <w:spacing w:after="0" w:line="240" w:lineRule="auto"/>
              <w:jc w:val="right"/>
              <w:rPr>
                <w:rFonts w:ascii="Soberana Sans Light" w:eastAsia="Times New Roman" w:hAnsi="Soberana Sans Light" w:cs="Arial"/>
                <w:color w:val="000000" w:themeColor="text1"/>
                <w:sz w:val="20"/>
                <w:szCs w:val="20"/>
                <w:lang w:eastAsia="es-ES"/>
              </w:rPr>
            </w:pPr>
            <w:r>
              <w:rPr>
                <w:rFonts w:ascii="Soberana Sans Light" w:eastAsia="Times New Roman" w:hAnsi="Soberana Sans Light" w:cs="Arial"/>
                <w:color w:val="000000" w:themeColor="text1"/>
                <w:sz w:val="20"/>
                <w:szCs w:val="20"/>
                <w:lang w:eastAsia="es-ES"/>
              </w:rPr>
              <w:t>1,1</w:t>
            </w:r>
            <w:r w:rsidR="00D3447D">
              <w:rPr>
                <w:rFonts w:ascii="Soberana Sans Light" w:eastAsia="Times New Roman" w:hAnsi="Soberana Sans Light" w:cs="Arial"/>
                <w:color w:val="000000" w:themeColor="text1"/>
                <w:sz w:val="20"/>
                <w:szCs w:val="20"/>
                <w:lang w:eastAsia="es-ES"/>
              </w:rPr>
              <w:t>0</w:t>
            </w:r>
            <w:r w:rsidR="009F2E87">
              <w:rPr>
                <w:rFonts w:ascii="Soberana Sans Light" w:eastAsia="Times New Roman" w:hAnsi="Soberana Sans Light" w:cs="Arial"/>
                <w:color w:val="000000" w:themeColor="text1"/>
                <w:sz w:val="20"/>
                <w:szCs w:val="20"/>
                <w:lang w:eastAsia="es-ES"/>
              </w:rPr>
              <w:t>0,000</w:t>
            </w:r>
          </w:p>
        </w:tc>
      </w:tr>
      <w:tr w:rsidR="009F2E87" w:rsidRPr="00CC699A" w:rsidTr="009F2E87">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F2E87" w:rsidRPr="001B04A9" w:rsidRDefault="009F2E87" w:rsidP="009F2E87">
            <w:pPr>
              <w:spacing w:after="0" w:line="240" w:lineRule="auto"/>
              <w:jc w:val="center"/>
              <w:rPr>
                <w:rFonts w:ascii="Soberana Sans Light" w:eastAsia="Times New Roman" w:hAnsi="Soberana Sans Light" w:cs="Arial"/>
                <w:color w:val="000000" w:themeColor="text1"/>
                <w:sz w:val="20"/>
                <w:szCs w:val="20"/>
                <w:lang w:eastAsia="es-ES"/>
              </w:rPr>
            </w:pPr>
            <w:r w:rsidRPr="001E07A0">
              <w:rPr>
                <w:rFonts w:ascii="Soberana Sans Light" w:eastAsia="Times New Roman" w:hAnsi="Soberana Sans Light" w:cs="Arial"/>
                <w:sz w:val="20"/>
                <w:szCs w:val="20"/>
                <w:lang w:eastAsia="es-ES"/>
              </w:rPr>
              <w:t>65505055280</w:t>
            </w:r>
          </w:p>
        </w:tc>
        <w:tc>
          <w:tcPr>
            <w:tcW w:w="1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F2E87" w:rsidRPr="001B04A9" w:rsidRDefault="009F2E87" w:rsidP="009F2E87">
            <w:pPr>
              <w:spacing w:after="0" w:line="240" w:lineRule="auto"/>
              <w:jc w:val="center"/>
              <w:rPr>
                <w:rFonts w:ascii="Soberana Sans Light" w:eastAsia="Times New Roman" w:hAnsi="Soberana Sans Light" w:cs="Arial"/>
                <w:color w:val="000000" w:themeColor="text1"/>
                <w:sz w:val="20"/>
                <w:szCs w:val="20"/>
                <w:lang w:eastAsia="es-ES"/>
              </w:rPr>
            </w:pPr>
          </w:p>
        </w:tc>
        <w:tc>
          <w:tcPr>
            <w:tcW w:w="81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F2E87" w:rsidRPr="001B04A9" w:rsidRDefault="009F2E87" w:rsidP="009F2E87">
            <w:pPr>
              <w:spacing w:after="0" w:line="240" w:lineRule="auto"/>
              <w:rPr>
                <w:rFonts w:ascii="Soberana Sans Light" w:eastAsia="Times New Roman" w:hAnsi="Soberana Sans Light" w:cs="Arial"/>
                <w:color w:val="000000" w:themeColor="text1"/>
                <w:sz w:val="20"/>
                <w:szCs w:val="20"/>
                <w:lang w:eastAsia="es-ES"/>
              </w:rPr>
            </w:pPr>
            <w:r w:rsidRPr="001B04A9">
              <w:rPr>
                <w:rFonts w:ascii="Soberana Sans Light" w:eastAsia="Times New Roman" w:hAnsi="Soberana Sans Light" w:cs="Arial"/>
                <w:color w:val="000000" w:themeColor="text1"/>
                <w:sz w:val="20"/>
                <w:szCs w:val="20"/>
                <w:lang w:eastAsia="es-ES"/>
              </w:rPr>
              <w:t xml:space="preserve">INVERSIÓN </w:t>
            </w:r>
            <w:r>
              <w:rPr>
                <w:rFonts w:ascii="Soberana Sans Light" w:eastAsia="Times New Roman" w:hAnsi="Soberana Sans Light" w:cs="Arial"/>
                <w:color w:val="000000" w:themeColor="text1"/>
                <w:sz w:val="20"/>
                <w:szCs w:val="20"/>
                <w:lang w:eastAsia="es-ES"/>
              </w:rPr>
              <w:t>FONDO DE APORTACIONES MÚLTIPLES 2015</w:t>
            </w:r>
          </w:p>
        </w:tc>
        <w:tc>
          <w:tcPr>
            <w:tcW w:w="25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F2E87" w:rsidRPr="001B04A9" w:rsidRDefault="00B054E5" w:rsidP="009F2E87">
            <w:pPr>
              <w:spacing w:after="0" w:line="240" w:lineRule="auto"/>
              <w:jc w:val="right"/>
              <w:rPr>
                <w:rFonts w:ascii="Soberana Sans Light" w:eastAsia="Times New Roman" w:hAnsi="Soberana Sans Light" w:cs="Arial"/>
                <w:color w:val="000000" w:themeColor="text1"/>
                <w:sz w:val="20"/>
                <w:szCs w:val="20"/>
                <w:lang w:eastAsia="es-ES"/>
              </w:rPr>
            </w:pPr>
            <w:r>
              <w:rPr>
                <w:rFonts w:ascii="Soberana Sans Light" w:eastAsia="Times New Roman" w:hAnsi="Soberana Sans Light" w:cs="Arial"/>
                <w:color w:val="000000" w:themeColor="text1"/>
                <w:sz w:val="20"/>
                <w:szCs w:val="20"/>
                <w:lang w:eastAsia="es-ES"/>
              </w:rPr>
              <w:t>14,5</w:t>
            </w:r>
            <w:r w:rsidR="009F2E87">
              <w:rPr>
                <w:rFonts w:ascii="Soberana Sans Light" w:eastAsia="Times New Roman" w:hAnsi="Soberana Sans Light" w:cs="Arial"/>
                <w:color w:val="000000" w:themeColor="text1"/>
                <w:sz w:val="20"/>
                <w:szCs w:val="20"/>
                <w:lang w:eastAsia="es-ES"/>
              </w:rPr>
              <w:t>00,000</w:t>
            </w:r>
          </w:p>
        </w:tc>
      </w:tr>
      <w:tr w:rsidR="009F2E87" w:rsidRPr="00CC699A" w:rsidTr="009F2E87">
        <w:trPr>
          <w:trHeight w:val="375"/>
        </w:trPr>
        <w:tc>
          <w:tcPr>
            <w:tcW w:w="1006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F2E87" w:rsidRPr="00236751" w:rsidRDefault="009F2E87" w:rsidP="009F2E87">
            <w:pPr>
              <w:spacing w:after="0" w:line="240" w:lineRule="auto"/>
              <w:jc w:val="center"/>
              <w:rPr>
                <w:rFonts w:ascii="Soberana Sans Light" w:eastAsia="Times New Roman" w:hAnsi="Soberana Sans Light" w:cs="Arial"/>
                <w:b/>
                <w:color w:val="000000" w:themeColor="text1"/>
                <w:sz w:val="20"/>
                <w:szCs w:val="20"/>
                <w:lang w:eastAsia="es-ES"/>
              </w:rPr>
            </w:pPr>
            <w:r w:rsidRPr="00236751">
              <w:rPr>
                <w:rFonts w:ascii="Soberana Sans Light" w:eastAsia="Times New Roman" w:hAnsi="Soberana Sans Light" w:cs="Arial"/>
                <w:b/>
                <w:color w:val="000000" w:themeColor="text1"/>
                <w:sz w:val="20"/>
                <w:szCs w:val="20"/>
                <w:lang w:eastAsia="es-ES"/>
              </w:rPr>
              <w:t>TOTAL</w:t>
            </w:r>
          </w:p>
        </w:tc>
        <w:tc>
          <w:tcPr>
            <w:tcW w:w="25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F2E87" w:rsidRPr="00236751" w:rsidRDefault="00B054E5" w:rsidP="009F2E87">
            <w:pPr>
              <w:spacing w:after="0" w:line="240" w:lineRule="auto"/>
              <w:jc w:val="right"/>
              <w:rPr>
                <w:rFonts w:ascii="Soberana Sans Light" w:eastAsia="Times New Roman" w:hAnsi="Soberana Sans Light" w:cs="Arial"/>
                <w:b/>
                <w:color w:val="000000" w:themeColor="text1"/>
                <w:sz w:val="20"/>
                <w:szCs w:val="20"/>
                <w:lang w:eastAsia="es-ES"/>
              </w:rPr>
            </w:pPr>
            <w:r>
              <w:rPr>
                <w:rFonts w:ascii="Soberana Sans Light" w:eastAsia="Times New Roman" w:hAnsi="Soberana Sans Light" w:cs="Arial"/>
                <w:b/>
                <w:color w:val="000000" w:themeColor="text1"/>
                <w:sz w:val="20"/>
                <w:szCs w:val="20"/>
                <w:lang w:eastAsia="es-ES"/>
              </w:rPr>
              <w:t>26,385,720</w:t>
            </w:r>
          </w:p>
        </w:tc>
      </w:tr>
    </w:tbl>
    <w:p w:rsidR="009F2E87" w:rsidRDefault="009F2E87" w:rsidP="009F2E87">
      <w:pPr>
        <w:pStyle w:val="ROMANOS"/>
        <w:spacing w:after="0" w:line="240" w:lineRule="exact"/>
        <w:ind w:left="723" w:firstLine="0"/>
        <w:rPr>
          <w:rFonts w:ascii="Soberana Sans Light" w:hAnsi="Soberana Sans Light"/>
          <w:sz w:val="22"/>
          <w:szCs w:val="22"/>
          <w:lang w:val="es-MX"/>
        </w:rPr>
      </w:pPr>
    </w:p>
    <w:p w:rsidR="008F43BD" w:rsidRDefault="008F43BD" w:rsidP="009F2E87">
      <w:pPr>
        <w:pStyle w:val="ROMANOS"/>
        <w:spacing w:after="0" w:line="240" w:lineRule="exact"/>
        <w:ind w:left="723" w:firstLine="0"/>
        <w:rPr>
          <w:rFonts w:ascii="Soberana Sans Light" w:hAnsi="Soberana Sans Light"/>
          <w:sz w:val="22"/>
          <w:szCs w:val="22"/>
          <w:lang w:val="es-MX"/>
        </w:rPr>
      </w:pPr>
    </w:p>
    <w:p w:rsidR="00293D86" w:rsidRDefault="00293D86" w:rsidP="009F2E87">
      <w:pPr>
        <w:pStyle w:val="ROMANOS"/>
        <w:spacing w:after="0" w:line="240" w:lineRule="exact"/>
        <w:ind w:left="723" w:firstLine="0"/>
        <w:rPr>
          <w:rFonts w:ascii="Soberana Sans Light" w:hAnsi="Soberana Sans Light"/>
          <w:sz w:val="22"/>
          <w:szCs w:val="22"/>
          <w:lang w:val="es-MX"/>
        </w:rPr>
      </w:pPr>
    </w:p>
    <w:p w:rsidR="00293D86" w:rsidRDefault="00293D86" w:rsidP="009F2E87">
      <w:pPr>
        <w:pStyle w:val="ROMANOS"/>
        <w:spacing w:after="0" w:line="240" w:lineRule="exact"/>
        <w:ind w:left="723" w:firstLine="0"/>
        <w:rPr>
          <w:rFonts w:ascii="Soberana Sans Light" w:hAnsi="Soberana Sans Light"/>
          <w:sz w:val="22"/>
          <w:szCs w:val="22"/>
          <w:lang w:val="es-MX"/>
        </w:rPr>
      </w:pPr>
    </w:p>
    <w:p w:rsidR="009F2E87" w:rsidRDefault="009F2E87" w:rsidP="009F2E87">
      <w:pPr>
        <w:pStyle w:val="ROMANOS"/>
        <w:spacing w:after="0" w:line="240" w:lineRule="exact"/>
        <w:ind w:left="723" w:firstLine="0"/>
        <w:rPr>
          <w:rFonts w:ascii="Soberana Sans Light" w:hAnsi="Soberana Sans Light"/>
          <w:sz w:val="22"/>
          <w:szCs w:val="22"/>
          <w:lang w:val="es-MX"/>
        </w:rPr>
      </w:pPr>
      <w:r>
        <w:rPr>
          <w:rFonts w:ascii="Soberana Sans Light" w:hAnsi="Soberana Sans Light"/>
          <w:sz w:val="22"/>
          <w:szCs w:val="22"/>
          <w:lang w:val="es-MX"/>
        </w:rPr>
        <w:lastRenderedPageBreak/>
        <w:t xml:space="preserve">La suma de las cuentas bancarias y de inversiones es igual a </w:t>
      </w:r>
      <w:r w:rsidR="008F43BD">
        <w:rPr>
          <w:rFonts w:ascii="Soberana Sans Light" w:hAnsi="Soberana Sans Light"/>
          <w:sz w:val="22"/>
          <w:szCs w:val="22"/>
          <w:lang w:val="es-MX"/>
        </w:rPr>
        <w:t>$</w:t>
      </w:r>
      <w:r w:rsidR="00B054E5">
        <w:rPr>
          <w:rFonts w:ascii="Soberana Sans Light" w:hAnsi="Soberana Sans Light"/>
          <w:sz w:val="22"/>
          <w:szCs w:val="22"/>
          <w:lang w:val="es-MX"/>
        </w:rPr>
        <w:t>42,750,490.</w:t>
      </w:r>
    </w:p>
    <w:p w:rsidR="009F2E87" w:rsidRDefault="009F2E87" w:rsidP="009F2E87">
      <w:pPr>
        <w:pStyle w:val="ROMANOS"/>
        <w:spacing w:after="0" w:line="240" w:lineRule="exact"/>
        <w:ind w:left="723" w:firstLine="0"/>
        <w:rPr>
          <w:rFonts w:ascii="Soberana Sans Light" w:hAnsi="Soberana Sans Light"/>
          <w:sz w:val="22"/>
          <w:szCs w:val="22"/>
          <w:lang w:val="es-MX"/>
        </w:rPr>
      </w:pPr>
    </w:p>
    <w:p w:rsidR="009F2E87" w:rsidRDefault="009F2E87" w:rsidP="009F2E87">
      <w:pPr>
        <w:pStyle w:val="ROMANOS"/>
        <w:spacing w:after="0" w:line="240" w:lineRule="exact"/>
        <w:ind w:left="723" w:firstLine="0"/>
        <w:rPr>
          <w:rFonts w:ascii="Soberana Sans Light" w:hAnsi="Soberana Sans Light"/>
          <w:sz w:val="22"/>
          <w:szCs w:val="22"/>
          <w:lang w:val="es-MX"/>
        </w:rPr>
      </w:pPr>
      <w:r>
        <w:rPr>
          <w:rFonts w:ascii="Soberana Sans Light" w:hAnsi="Soberana Sans Light"/>
          <w:sz w:val="22"/>
          <w:szCs w:val="22"/>
          <w:lang w:val="es-MX"/>
        </w:rPr>
        <w:t xml:space="preserve">La Universidad Tecnológica de Tlaxcala también cuenta con un Fideicomiso cuyo saldo al </w:t>
      </w:r>
      <w:r w:rsidR="00B054E5">
        <w:rPr>
          <w:rFonts w:ascii="Soberana Sans Light" w:hAnsi="Soberana Sans Light"/>
          <w:sz w:val="22"/>
          <w:szCs w:val="22"/>
          <w:lang w:val="es-MX"/>
        </w:rPr>
        <w:t>30 de septiembre  de 2015 es de $112,784</w:t>
      </w:r>
      <w:r>
        <w:rPr>
          <w:rFonts w:ascii="Soberana Sans Light" w:hAnsi="Soberana Sans Light"/>
          <w:sz w:val="22"/>
          <w:szCs w:val="22"/>
          <w:lang w:val="es-MX"/>
        </w:rPr>
        <w:t xml:space="preserve"> debido a que el Convenio de Colaboración y Apoyo del Programa de Fortalecimiento de la Calidad en las Instituciones Educativas PROFOCIE 2014; en su cláusula Tercera establece la obligatoriedad por parte de la Universidad de constituir un Fideicomiso para la operación de los recursos provenientes de ese Programa mismo que cuenta con un Comité Técnico.</w:t>
      </w:r>
    </w:p>
    <w:p w:rsidR="009F2E87" w:rsidRPr="00540418" w:rsidRDefault="009F2E87" w:rsidP="009F2E87">
      <w:pPr>
        <w:pStyle w:val="ROMANOS"/>
        <w:spacing w:after="0" w:line="240" w:lineRule="exact"/>
        <w:ind w:left="723" w:firstLine="0"/>
        <w:rPr>
          <w:rFonts w:ascii="Soberana Sans Light" w:hAnsi="Soberana Sans Light"/>
          <w:sz w:val="22"/>
          <w:szCs w:val="22"/>
          <w:lang w:val="es-MX"/>
        </w:rPr>
      </w:pPr>
    </w:p>
    <w:p w:rsidR="00293D86" w:rsidRDefault="00293D86" w:rsidP="009F2E87">
      <w:pPr>
        <w:pStyle w:val="ROMANOS"/>
        <w:spacing w:after="0" w:line="240" w:lineRule="exact"/>
        <w:rPr>
          <w:rFonts w:ascii="Soberana Sans Light" w:hAnsi="Soberana Sans Light"/>
          <w:b/>
          <w:sz w:val="22"/>
          <w:szCs w:val="22"/>
          <w:lang w:val="es-MX"/>
        </w:rPr>
      </w:pPr>
    </w:p>
    <w:p w:rsidR="00293D86" w:rsidRDefault="00293D86" w:rsidP="009F2E87">
      <w:pPr>
        <w:pStyle w:val="ROMANOS"/>
        <w:spacing w:after="0" w:line="240" w:lineRule="exact"/>
        <w:rPr>
          <w:rFonts w:ascii="Soberana Sans Light" w:hAnsi="Soberana Sans Light"/>
          <w:b/>
          <w:sz w:val="22"/>
          <w:szCs w:val="22"/>
          <w:lang w:val="es-MX"/>
        </w:rPr>
      </w:pPr>
    </w:p>
    <w:p w:rsidR="009F2E87" w:rsidRDefault="009F2E87" w:rsidP="009F2E87">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Derechos a recibir Efectivo y Equivalentes y Bienes o Servicios a Recibir</w:t>
      </w:r>
    </w:p>
    <w:p w:rsidR="009F2E87" w:rsidRPr="00540418" w:rsidRDefault="009F2E87" w:rsidP="009F2E87">
      <w:pPr>
        <w:pStyle w:val="ROMANOS"/>
        <w:spacing w:after="0" w:line="240" w:lineRule="exact"/>
        <w:rPr>
          <w:rFonts w:ascii="Soberana Sans Light" w:hAnsi="Soberana Sans Light"/>
          <w:b/>
          <w:sz w:val="22"/>
          <w:szCs w:val="22"/>
          <w:lang w:val="es-MX"/>
        </w:rPr>
      </w:pPr>
    </w:p>
    <w:p w:rsidR="009F2E87" w:rsidRDefault="009F2E87" w:rsidP="009F2E87">
      <w:pPr>
        <w:pStyle w:val="ROMANOS"/>
        <w:numPr>
          <w:ilvl w:val="0"/>
          <w:numId w:val="5"/>
        </w:numPr>
        <w:spacing w:after="0" w:line="240" w:lineRule="exact"/>
        <w:rPr>
          <w:rFonts w:ascii="Soberana Sans Light" w:hAnsi="Soberana Sans Light"/>
          <w:sz w:val="22"/>
          <w:szCs w:val="22"/>
          <w:lang w:val="es-MX"/>
        </w:rPr>
      </w:pPr>
      <w:r>
        <w:rPr>
          <w:rFonts w:ascii="Soberana Sans Light" w:hAnsi="Soberana Sans Light"/>
          <w:sz w:val="22"/>
          <w:szCs w:val="22"/>
          <w:lang w:val="es-MX"/>
        </w:rPr>
        <w:t>El importe de esta cuenta se encuentra integrado por los siguientes conceptos:</w:t>
      </w:r>
    </w:p>
    <w:p w:rsidR="009F2E87" w:rsidRDefault="009F2E87" w:rsidP="009F2E87">
      <w:pPr>
        <w:pStyle w:val="ROMANOS"/>
        <w:spacing w:after="0" w:line="240" w:lineRule="exact"/>
        <w:ind w:left="723" w:firstLine="0"/>
        <w:rPr>
          <w:rFonts w:ascii="Soberana Sans Light" w:hAnsi="Soberana Sans Light"/>
          <w:sz w:val="22"/>
          <w:szCs w:val="22"/>
          <w:lang w:val="es-MX"/>
        </w:rPr>
      </w:pPr>
    </w:p>
    <w:p w:rsidR="009F2E87" w:rsidRPr="007113F3" w:rsidRDefault="007113F3" w:rsidP="009F2E87">
      <w:pPr>
        <w:pStyle w:val="ROMANOS"/>
        <w:numPr>
          <w:ilvl w:val="0"/>
          <w:numId w:val="6"/>
        </w:numPr>
        <w:spacing w:after="0" w:line="240" w:lineRule="exact"/>
        <w:rPr>
          <w:rFonts w:ascii="Soberana Sans Light" w:hAnsi="Soberana Sans Light"/>
          <w:color w:val="000000" w:themeColor="text1"/>
          <w:sz w:val="22"/>
          <w:szCs w:val="22"/>
          <w:lang w:val="es-MX"/>
        </w:rPr>
      </w:pPr>
      <w:r w:rsidRPr="007113F3">
        <w:rPr>
          <w:rFonts w:ascii="Soberana Sans Light" w:hAnsi="Soberana Sans Light"/>
          <w:color w:val="000000" w:themeColor="text1"/>
          <w:sz w:val="22"/>
          <w:szCs w:val="22"/>
          <w:lang w:val="es-MX"/>
        </w:rPr>
        <w:t>$85,015</w:t>
      </w:r>
      <w:r w:rsidR="009F2E87" w:rsidRPr="007113F3">
        <w:rPr>
          <w:rFonts w:ascii="Soberana Sans Light" w:hAnsi="Soberana Sans Light"/>
          <w:color w:val="000000" w:themeColor="text1"/>
          <w:sz w:val="22"/>
          <w:szCs w:val="22"/>
          <w:lang w:val="es-MX"/>
        </w:rPr>
        <w:t xml:space="preserve"> por concepto de diversos gastos a comprobar otorgados a diversos funcionarios de la Universidad Tecnológica de Tlaxcala para el cumplimiento de sus actividades principalmente viáticos. Cabe destacar que estos importes serán comprobados en un lapso no mayor de 15 días de acuerdo a lo que establecen los Lineamientos de Racionalidad y Austeridad vigentes.</w:t>
      </w:r>
    </w:p>
    <w:p w:rsidR="009F2E87" w:rsidRDefault="007113F3" w:rsidP="009F2E87">
      <w:pPr>
        <w:pStyle w:val="ROMANOS"/>
        <w:numPr>
          <w:ilvl w:val="0"/>
          <w:numId w:val="6"/>
        </w:numPr>
        <w:spacing w:after="0" w:line="240" w:lineRule="exact"/>
        <w:rPr>
          <w:rFonts w:ascii="Soberana Sans Light" w:hAnsi="Soberana Sans Light"/>
          <w:sz w:val="22"/>
          <w:szCs w:val="22"/>
          <w:lang w:val="es-MX"/>
        </w:rPr>
      </w:pPr>
      <w:r w:rsidRPr="007113F3">
        <w:rPr>
          <w:rFonts w:ascii="Soberana Sans Light" w:hAnsi="Soberana Sans Light"/>
          <w:color w:val="000000" w:themeColor="text1"/>
          <w:sz w:val="22"/>
          <w:szCs w:val="22"/>
          <w:lang w:val="es-MX"/>
        </w:rPr>
        <w:t>$2,6</w:t>
      </w:r>
      <w:r w:rsidR="00EF179A" w:rsidRPr="007113F3">
        <w:rPr>
          <w:rFonts w:ascii="Soberana Sans Light" w:hAnsi="Soberana Sans Light"/>
          <w:color w:val="000000" w:themeColor="text1"/>
          <w:sz w:val="22"/>
          <w:szCs w:val="22"/>
          <w:lang w:val="es-MX"/>
        </w:rPr>
        <w:t>00</w:t>
      </w:r>
      <w:r w:rsidR="009F2E87" w:rsidRPr="007113F3">
        <w:rPr>
          <w:rFonts w:ascii="Soberana Sans Light" w:hAnsi="Soberana Sans Light"/>
          <w:color w:val="000000" w:themeColor="text1"/>
          <w:sz w:val="22"/>
          <w:szCs w:val="22"/>
          <w:lang w:val="es-MX"/>
        </w:rPr>
        <w:t xml:space="preserve"> por </w:t>
      </w:r>
      <w:r w:rsidR="009F2E87">
        <w:rPr>
          <w:rFonts w:ascii="Soberana Sans Light" w:hAnsi="Soberana Sans Light"/>
          <w:sz w:val="22"/>
          <w:szCs w:val="22"/>
          <w:lang w:val="es-MX"/>
        </w:rPr>
        <w:t>concepto de diversos facturas por cobrar a la industria derivado de la prestación de servicios de capacitación y tecnológicos por parte de las diversas áreas que integran la Universidad. La recuperación de este concepto no será mayor de un plazo de 15 días.</w:t>
      </w:r>
    </w:p>
    <w:p w:rsidR="009F2E87" w:rsidRDefault="009F2E87" w:rsidP="009F2E87">
      <w:pPr>
        <w:pStyle w:val="ROMANOS"/>
        <w:spacing w:after="0" w:line="240" w:lineRule="exact"/>
        <w:ind w:left="1083" w:firstLine="0"/>
        <w:rPr>
          <w:rFonts w:ascii="Soberana Sans Light" w:hAnsi="Soberana Sans Light"/>
          <w:sz w:val="22"/>
          <w:szCs w:val="22"/>
          <w:lang w:val="es-MX"/>
        </w:rPr>
      </w:pPr>
    </w:p>
    <w:p w:rsidR="009F2E87" w:rsidRDefault="009F2E87" w:rsidP="009F2E87">
      <w:pPr>
        <w:pStyle w:val="ROMANOS"/>
        <w:spacing w:after="0" w:line="240" w:lineRule="exact"/>
        <w:ind w:left="1083" w:firstLine="0"/>
        <w:rPr>
          <w:rFonts w:ascii="Soberana Sans Light" w:hAnsi="Soberana Sans Light"/>
          <w:sz w:val="22"/>
          <w:szCs w:val="22"/>
          <w:lang w:val="es-MX"/>
        </w:rPr>
      </w:pPr>
      <w:r>
        <w:rPr>
          <w:rFonts w:ascii="Soberana Sans Light" w:hAnsi="Soberana Sans Light"/>
          <w:sz w:val="22"/>
          <w:szCs w:val="22"/>
          <w:lang w:val="es-MX"/>
        </w:rPr>
        <w:t xml:space="preserve">La cuenta de Anticipos a Proveedores </w:t>
      </w:r>
      <w:r w:rsidR="00D3447D">
        <w:rPr>
          <w:rFonts w:ascii="Soberana Sans Light" w:hAnsi="Soberana Sans Light"/>
          <w:sz w:val="22"/>
          <w:szCs w:val="22"/>
          <w:lang w:val="es-MX"/>
        </w:rPr>
        <w:t>presenta</w:t>
      </w:r>
      <w:r w:rsidR="00B054E5">
        <w:rPr>
          <w:rFonts w:ascii="Soberana Sans Light" w:hAnsi="Soberana Sans Light"/>
          <w:sz w:val="22"/>
          <w:szCs w:val="22"/>
          <w:lang w:val="es-MX"/>
        </w:rPr>
        <w:t xml:space="preserve"> un saldo al 30 de septiembre</w:t>
      </w:r>
      <w:r>
        <w:rPr>
          <w:rFonts w:ascii="Soberana Sans Light" w:hAnsi="Soberana Sans Light"/>
          <w:sz w:val="22"/>
          <w:szCs w:val="22"/>
          <w:lang w:val="es-MX"/>
        </w:rPr>
        <w:t xml:space="preserve"> de 20</w:t>
      </w:r>
      <w:r w:rsidR="00FF23BB">
        <w:rPr>
          <w:rFonts w:ascii="Soberana Sans Light" w:hAnsi="Soberana Sans Light"/>
          <w:sz w:val="22"/>
          <w:szCs w:val="22"/>
          <w:lang w:val="es-MX"/>
        </w:rPr>
        <w:t>15 por la cantidad de $1,177,164</w:t>
      </w:r>
      <w:r>
        <w:rPr>
          <w:rFonts w:ascii="Soberana Sans Light" w:hAnsi="Soberana Sans Light"/>
          <w:sz w:val="22"/>
          <w:szCs w:val="22"/>
          <w:lang w:val="es-MX"/>
        </w:rPr>
        <w:t xml:space="preserve"> mismo que representa las cantidades pagadas por concepto de los contratos realizados con diversos proveedores de equipo de cómputo, equipos de laboratorio y mantenimiento preventivo y correctivo a las instalaciones de la Universidad mismos que se derivan de los planes y programas autorizados.</w:t>
      </w:r>
    </w:p>
    <w:p w:rsidR="009F2E87" w:rsidRDefault="009F2E87" w:rsidP="009F2E87">
      <w:pPr>
        <w:pStyle w:val="ROMANOS"/>
        <w:spacing w:after="0" w:line="240" w:lineRule="exact"/>
        <w:ind w:left="1083" w:firstLine="0"/>
        <w:rPr>
          <w:rFonts w:ascii="Soberana Sans Light" w:hAnsi="Soberana Sans Light"/>
          <w:sz w:val="22"/>
          <w:szCs w:val="22"/>
          <w:lang w:val="es-MX"/>
        </w:rPr>
      </w:pPr>
    </w:p>
    <w:p w:rsidR="009F2E87" w:rsidRDefault="009F2E87" w:rsidP="009F2E87">
      <w:pPr>
        <w:pStyle w:val="ROMANOS"/>
        <w:spacing w:after="0" w:line="240" w:lineRule="exact"/>
        <w:ind w:left="1083" w:firstLine="0"/>
        <w:rPr>
          <w:rFonts w:ascii="Soberana Sans Light" w:hAnsi="Soberana Sans Light"/>
          <w:sz w:val="22"/>
          <w:szCs w:val="22"/>
          <w:lang w:val="es-MX"/>
        </w:rPr>
      </w:pPr>
      <w:r>
        <w:rPr>
          <w:rFonts w:ascii="Soberana Sans Light" w:hAnsi="Soberana Sans Light"/>
          <w:sz w:val="22"/>
          <w:szCs w:val="22"/>
          <w:lang w:val="es-MX"/>
        </w:rPr>
        <w:t>Por otra parte la cuenta de Subsidio al Emple</w:t>
      </w:r>
      <w:r w:rsidR="00B054E5">
        <w:rPr>
          <w:rFonts w:ascii="Soberana Sans Light" w:hAnsi="Soberana Sans Light"/>
          <w:sz w:val="22"/>
          <w:szCs w:val="22"/>
          <w:lang w:val="es-MX"/>
        </w:rPr>
        <w:t>o cuenta con un saldo de $20,280</w:t>
      </w:r>
      <w:r>
        <w:rPr>
          <w:rFonts w:ascii="Soberana Sans Light" w:hAnsi="Soberana Sans Light"/>
          <w:sz w:val="22"/>
          <w:szCs w:val="22"/>
          <w:lang w:val="es-MX"/>
        </w:rPr>
        <w:t xml:space="preserve"> que representa el importe pendiente de acreditar contra el Impuesto sobre la Renta retenido por la Universidad a los trabajadores tal y como lo establecen las leyes fiscales.</w:t>
      </w:r>
    </w:p>
    <w:p w:rsidR="009F2E87" w:rsidRDefault="009F2E87" w:rsidP="009F2E87">
      <w:pPr>
        <w:pStyle w:val="ROMANOS"/>
        <w:spacing w:after="0" w:line="240" w:lineRule="exact"/>
        <w:ind w:left="0" w:firstLine="0"/>
        <w:rPr>
          <w:rFonts w:ascii="Soberana Sans Light" w:hAnsi="Soberana Sans Light"/>
          <w:sz w:val="22"/>
          <w:szCs w:val="22"/>
          <w:lang w:val="es-MX"/>
        </w:rPr>
      </w:pPr>
    </w:p>
    <w:p w:rsidR="00293D86" w:rsidRPr="00540418" w:rsidRDefault="00293D86" w:rsidP="009F2E87">
      <w:pPr>
        <w:pStyle w:val="ROMANOS"/>
        <w:spacing w:after="0" w:line="240" w:lineRule="exact"/>
        <w:ind w:left="0" w:firstLine="0"/>
        <w:rPr>
          <w:rFonts w:ascii="Soberana Sans Light" w:hAnsi="Soberana Sans Light"/>
          <w:sz w:val="22"/>
          <w:szCs w:val="22"/>
          <w:lang w:val="es-MX"/>
        </w:rPr>
      </w:pPr>
    </w:p>
    <w:p w:rsidR="009F2E87" w:rsidRPr="00540418" w:rsidRDefault="009F2E87" w:rsidP="009F2E87">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Disponibles para su Transformación o Consumo (inventarios)</w:t>
      </w:r>
    </w:p>
    <w:p w:rsidR="009F2E87" w:rsidRDefault="009F2E87" w:rsidP="009F2E87">
      <w:pPr>
        <w:pStyle w:val="ROMANOS"/>
        <w:numPr>
          <w:ilvl w:val="0"/>
          <w:numId w:val="5"/>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aplica.</w:t>
      </w:r>
    </w:p>
    <w:p w:rsidR="009F2E87" w:rsidRDefault="009F2E87" w:rsidP="009F2E87">
      <w:pPr>
        <w:pStyle w:val="ROMANOS"/>
        <w:spacing w:after="0" w:line="240" w:lineRule="exact"/>
        <w:ind w:left="723" w:firstLine="0"/>
        <w:rPr>
          <w:rFonts w:ascii="Soberana Sans Light" w:hAnsi="Soberana Sans Light"/>
          <w:sz w:val="22"/>
          <w:szCs w:val="22"/>
          <w:lang w:val="es-MX"/>
        </w:rPr>
      </w:pPr>
    </w:p>
    <w:p w:rsidR="00293D86" w:rsidRPr="00540418" w:rsidRDefault="00293D86" w:rsidP="009F2E87">
      <w:pPr>
        <w:pStyle w:val="ROMANOS"/>
        <w:spacing w:after="0" w:line="240" w:lineRule="exact"/>
        <w:ind w:left="723" w:firstLine="0"/>
        <w:rPr>
          <w:rFonts w:ascii="Soberana Sans Light" w:hAnsi="Soberana Sans Light"/>
          <w:sz w:val="22"/>
          <w:szCs w:val="22"/>
          <w:lang w:val="es-MX"/>
        </w:rPr>
      </w:pPr>
    </w:p>
    <w:p w:rsidR="009F2E87" w:rsidRPr="00540418" w:rsidRDefault="009F2E87" w:rsidP="009F2E87">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Inversiones Financieras</w:t>
      </w:r>
    </w:p>
    <w:p w:rsidR="009F2E87" w:rsidRDefault="009F2E87" w:rsidP="009F2E87">
      <w:pPr>
        <w:pStyle w:val="ROMANOS"/>
        <w:numPr>
          <w:ilvl w:val="0"/>
          <w:numId w:val="5"/>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aplica.</w:t>
      </w:r>
    </w:p>
    <w:p w:rsidR="009F2E87" w:rsidRPr="00540418" w:rsidRDefault="009F2E87" w:rsidP="009F2E87">
      <w:pPr>
        <w:pStyle w:val="ROMANOS"/>
        <w:spacing w:after="0" w:line="240" w:lineRule="exact"/>
        <w:ind w:left="723" w:firstLine="0"/>
        <w:rPr>
          <w:rFonts w:ascii="Soberana Sans Light" w:hAnsi="Soberana Sans Light"/>
          <w:sz w:val="22"/>
          <w:szCs w:val="22"/>
          <w:lang w:val="es-MX"/>
        </w:rPr>
      </w:pPr>
    </w:p>
    <w:p w:rsidR="00293D86" w:rsidRDefault="00293D86" w:rsidP="009F2E87">
      <w:pPr>
        <w:pStyle w:val="ROMANOS"/>
        <w:spacing w:after="0" w:line="240" w:lineRule="exact"/>
        <w:rPr>
          <w:rFonts w:ascii="Soberana Sans Light" w:hAnsi="Soberana Sans Light"/>
          <w:b/>
          <w:sz w:val="22"/>
          <w:szCs w:val="22"/>
          <w:lang w:val="es-MX"/>
        </w:rPr>
      </w:pPr>
    </w:p>
    <w:p w:rsidR="00293D86" w:rsidRDefault="00293D86" w:rsidP="009F2E87">
      <w:pPr>
        <w:pStyle w:val="ROMANOS"/>
        <w:spacing w:after="0" w:line="240" w:lineRule="exact"/>
        <w:rPr>
          <w:rFonts w:ascii="Soberana Sans Light" w:hAnsi="Soberana Sans Light"/>
          <w:b/>
          <w:sz w:val="22"/>
          <w:szCs w:val="22"/>
          <w:lang w:val="es-MX"/>
        </w:rPr>
      </w:pPr>
    </w:p>
    <w:p w:rsidR="00293D86" w:rsidRDefault="00293D86" w:rsidP="009F2E87">
      <w:pPr>
        <w:pStyle w:val="ROMANOS"/>
        <w:spacing w:after="0" w:line="240" w:lineRule="exact"/>
        <w:rPr>
          <w:rFonts w:ascii="Soberana Sans Light" w:hAnsi="Soberana Sans Light"/>
          <w:b/>
          <w:sz w:val="22"/>
          <w:szCs w:val="22"/>
          <w:lang w:val="es-MX"/>
        </w:rPr>
      </w:pPr>
    </w:p>
    <w:p w:rsidR="00293D86" w:rsidRDefault="00293D86" w:rsidP="009F2E87">
      <w:pPr>
        <w:pStyle w:val="ROMANOS"/>
        <w:spacing w:after="0" w:line="240" w:lineRule="exact"/>
        <w:rPr>
          <w:rFonts w:ascii="Soberana Sans Light" w:hAnsi="Soberana Sans Light"/>
          <w:b/>
          <w:sz w:val="22"/>
          <w:szCs w:val="22"/>
          <w:lang w:val="es-MX"/>
        </w:rPr>
      </w:pPr>
    </w:p>
    <w:p w:rsidR="00293D86" w:rsidRDefault="00293D86" w:rsidP="009F2E87">
      <w:pPr>
        <w:pStyle w:val="ROMANOS"/>
        <w:spacing w:after="0" w:line="240" w:lineRule="exact"/>
        <w:rPr>
          <w:rFonts w:ascii="Soberana Sans Light" w:hAnsi="Soberana Sans Light"/>
          <w:b/>
          <w:sz w:val="22"/>
          <w:szCs w:val="22"/>
          <w:lang w:val="es-MX"/>
        </w:rPr>
      </w:pPr>
    </w:p>
    <w:p w:rsidR="00293D86" w:rsidRDefault="00293D86" w:rsidP="009F2E87">
      <w:pPr>
        <w:pStyle w:val="ROMANOS"/>
        <w:spacing w:after="0" w:line="240" w:lineRule="exact"/>
        <w:rPr>
          <w:rFonts w:ascii="Soberana Sans Light" w:hAnsi="Soberana Sans Light"/>
          <w:b/>
          <w:sz w:val="22"/>
          <w:szCs w:val="22"/>
          <w:lang w:val="es-MX"/>
        </w:rPr>
      </w:pPr>
    </w:p>
    <w:p w:rsidR="00293D86" w:rsidRDefault="00293D86" w:rsidP="009F2E87">
      <w:pPr>
        <w:pStyle w:val="ROMANOS"/>
        <w:spacing w:after="0" w:line="240" w:lineRule="exact"/>
        <w:rPr>
          <w:rFonts w:ascii="Soberana Sans Light" w:hAnsi="Soberana Sans Light"/>
          <w:b/>
          <w:sz w:val="22"/>
          <w:szCs w:val="22"/>
          <w:lang w:val="es-MX"/>
        </w:rPr>
      </w:pPr>
    </w:p>
    <w:p w:rsidR="00293D86" w:rsidRDefault="00293D86" w:rsidP="009F2E87">
      <w:pPr>
        <w:pStyle w:val="ROMANOS"/>
        <w:spacing w:after="0" w:line="240" w:lineRule="exact"/>
        <w:rPr>
          <w:rFonts w:ascii="Soberana Sans Light" w:hAnsi="Soberana Sans Light"/>
          <w:b/>
          <w:sz w:val="22"/>
          <w:szCs w:val="22"/>
          <w:lang w:val="es-MX"/>
        </w:rPr>
      </w:pPr>
    </w:p>
    <w:p w:rsidR="00293D86" w:rsidRDefault="00293D86" w:rsidP="009F2E87">
      <w:pPr>
        <w:pStyle w:val="ROMANOS"/>
        <w:spacing w:after="0" w:line="240" w:lineRule="exact"/>
        <w:rPr>
          <w:rFonts w:ascii="Soberana Sans Light" w:hAnsi="Soberana Sans Light"/>
          <w:b/>
          <w:sz w:val="22"/>
          <w:szCs w:val="22"/>
          <w:lang w:val="es-MX"/>
        </w:rPr>
      </w:pPr>
    </w:p>
    <w:p w:rsidR="00293D86" w:rsidRDefault="00293D86" w:rsidP="009F2E87">
      <w:pPr>
        <w:pStyle w:val="ROMANOS"/>
        <w:spacing w:after="0" w:line="240" w:lineRule="exact"/>
        <w:rPr>
          <w:rFonts w:ascii="Soberana Sans Light" w:hAnsi="Soberana Sans Light"/>
          <w:b/>
          <w:sz w:val="22"/>
          <w:szCs w:val="22"/>
          <w:lang w:val="es-MX"/>
        </w:rPr>
      </w:pPr>
    </w:p>
    <w:p w:rsidR="009F2E87" w:rsidRDefault="009F2E87" w:rsidP="009F2E87">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 xml:space="preserve">Bienes </w:t>
      </w:r>
      <w:r>
        <w:rPr>
          <w:rFonts w:ascii="Soberana Sans Light" w:hAnsi="Soberana Sans Light"/>
          <w:b/>
          <w:sz w:val="22"/>
          <w:szCs w:val="22"/>
          <w:lang w:val="es-MX"/>
        </w:rPr>
        <w:t>Muebles, Inmuebles e Intangibles.</w:t>
      </w:r>
    </w:p>
    <w:p w:rsidR="009F2E87" w:rsidRPr="00540418" w:rsidRDefault="009F2E87" w:rsidP="009F2E87">
      <w:pPr>
        <w:pStyle w:val="ROMANOS"/>
        <w:spacing w:after="0" w:line="240" w:lineRule="exact"/>
        <w:rPr>
          <w:rFonts w:ascii="Soberana Sans Light" w:hAnsi="Soberana Sans Light"/>
          <w:b/>
          <w:sz w:val="22"/>
          <w:szCs w:val="22"/>
          <w:lang w:val="es-MX"/>
        </w:rPr>
      </w:pPr>
    </w:p>
    <w:p w:rsidR="009F2E87" w:rsidRDefault="009F2E87" w:rsidP="009F2E87">
      <w:pPr>
        <w:pStyle w:val="ROMANOS"/>
        <w:numPr>
          <w:ilvl w:val="0"/>
          <w:numId w:val="5"/>
        </w:numPr>
        <w:spacing w:after="0" w:line="240" w:lineRule="exact"/>
        <w:rPr>
          <w:rFonts w:ascii="Soberana Sans Light" w:hAnsi="Soberana Sans Light"/>
          <w:sz w:val="22"/>
          <w:szCs w:val="22"/>
          <w:lang w:val="es-MX"/>
        </w:rPr>
      </w:pPr>
      <w:r>
        <w:rPr>
          <w:rFonts w:ascii="Soberana Sans Light" w:hAnsi="Soberana Sans Light"/>
          <w:sz w:val="22"/>
          <w:szCs w:val="22"/>
          <w:lang w:val="es-MX"/>
        </w:rPr>
        <w:t xml:space="preserve">El importe de los Bienes Inmuebles al cierre del </w:t>
      </w:r>
      <w:r w:rsidR="00FF23BB">
        <w:rPr>
          <w:rFonts w:ascii="Soberana Sans Light" w:hAnsi="Soberana Sans Light"/>
          <w:sz w:val="22"/>
          <w:szCs w:val="22"/>
          <w:lang w:val="es-MX"/>
        </w:rPr>
        <w:t>mes de septiembre de 2015 es de $47,623,406</w:t>
      </w:r>
      <w:r>
        <w:rPr>
          <w:rFonts w:ascii="Soberana Sans Light" w:hAnsi="Soberana Sans Light"/>
          <w:sz w:val="22"/>
          <w:szCs w:val="22"/>
          <w:lang w:val="es-MX"/>
        </w:rPr>
        <w:t xml:space="preserve"> mismos que se encuentr</w:t>
      </w:r>
      <w:r w:rsidR="00EF179A">
        <w:rPr>
          <w:rFonts w:ascii="Soberana Sans Light" w:hAnsi="Soberana Sans Light"/>
          <w:sz w:val="22"/>
          <w:szCs w:val="22"/>
          <w:lang w:val="es-MX"/>
        </w:rPr>
        <w:t>an desagregados de la siguiente</w:t>
      </w:r>
      <w:r>
        <w:rPr>
          <w:rFonts w:ascii="Soberana Sans Light" w:hAnsi="Soberana Sans Light"/>
          <w:sz w:val="22"/>
          <w:szCs w:val="22"/>
          <w:lang w:val="es-MX"/>
        </w:rPr>
        <w:t xml:space="preserve"> manera:</w:t>
      </w:r>
    </w:p>
    <w:p w:rsidR="009F2E87" w:rsidRDefault="009F2E87" w:rsidP="009F2E87">
      <w:pPr>
        <w:pStyle w:val="ROMANOS"/>
        <w:spacing w:after="0" w:line="240" w:lineRule="exact"/>
        <w:ind w:left="723" w:firstLine="0"/>
        <w:rPr>
          <w:rFonts w:ascii="Soberana Sans Light" w:hAnsi="Soberana Sans Light"/>
          <w:sz w:val="22"/>
          <w:szCs w:val="22"/>
          <w:lang w:val="es-MX"/>
        </w:rPr>
      </w:pPr>
    </w:p>
    <w:p w:rsidR="009F2E87" w:rsidRDefault="009F2E87" w:rsidP="009F2E87">
      <w:pPr>
        <w:pStyle w:val="ROMANOS"/>
        <w:numPr>
          <w:ilvl w:val="0"/>
          <w:numId w:val="7"/>
        </w:numPr>
        <w:spacing w:after="0" w:line="240" w:lineRule="exact"/>
        <w:rPr>
          <w:rFonts w:ascii="Soberana Sans Light" w:hAnsi="Soberana Sans Light"/>
          <w:sz w:val="22"/>
          <w:szCs w:val="22"/>
          <w:lang w:val="es-MX"/>
        </w:rPr>
      </w:pPr>
      <w:r>
        <w:rPr>
          <w:rFonts w:ascii="Soberana Sans Light" w:hAnsi="Soberana Sans Light"/>
          <w:sz w:val="22"/>
          <w:szCs w:val="22"/>
          <w:lang w:val="es-MX"/>
        </w:rPr>
        <w:t>El importe de Terrenos es igual a $2,550,000 por el predio donde se encuentra edificada la Universidad Tecnológica de Tlaxcala en la comunidad del Carmen Xalpatlahuaya Municipio de Huamantla Tlaxcala mismo que no es sujeto de depreciación.</w:t>
      </w:r>
    </w:p>
    <w:p w:rsidR="009F2E87" w:rsidRDefault="009F2E87" w:rsidP="009F2E87">
      <w:pPr>
        <w:pStyle w:val="ROMANOS"/>
        <w:numPr>
          <w:ilvl w:val="0"/>
          <w:numId w:val="7"/>
        </w:numPr>
        <w:spacing w:after="0" w:line="240" w:lineRule="exact"/>
        <w:rPr>
          <w:rFonts w:ascii="Soberana Sans Light" w:hAnsi="Soberana Sans Light"/>
          <w:sz w:val="22"/>
          <w:szCs w:val="22"/>
          <w:lang w:val="es-MX"/>
        </w:rPr>
      </w:pPr>
      <w:r>
        <w:rPr>
          <w:rFonts w:ascii="Soberana Sans Light" w:hAnsi="Soberana Sans Light"/>
          <w:sz w:val="22"/>
          <w:szCs w:val="22"/>
          <w:lang w:val="es-MX"/>
        </w:rPr>
        <w:t>El saldo de la cuenta d</w:t>
      </w:r>
      <w:r w:rsidR="00EF179A">
        <w:rPr>
          <w:rFonts w:ascii="Soberana Sans Light" w:hAnsi="Soberana Sans Light"/>
          <w:sz w:val="22"/>
          <w:szCs w:val="22"/>
          <w:lang w:val="es-MX"/>
        </w:rPr>
        <w:t>e Edificios es igual a $36,229,0</w:t>
      </w:r>
      <w:r>
        <w:rPr>
          <w:rFonts w:ascii="Soberana Sans Light" w:hAnsi="Soberana Sans Light"/>
          <w:sz w:val="22"/>
          <w:szCs w:val="22"/>
          <w:lang w:val="es-MX"/>
        </w:rPr>
        <w:t>75, el cual equivale al valor de las construcciones que forman parte de la Universidad Tecnológica de Tlaxcala.</w:t>
      </w:r>
    </w:p>
    <w:p w:rsidR="009F2E87" w:rsidRDefault="009F2E87" w:rsidP="008F43BD">
      <w:pPr>
        <w:pStyle w:val="ROMANOS"/>
        <w:spacing w:after="0" w:line="240" w:lineRule="exact"/>
        <w:ind w:left="0" w:firstLine="0"/>
        <w:rPr>
          <w:rFonts w:ascii="Soberana Sans Light" w:hAnsi="Soberana Sans Light"/>
          <w:sz w:val="22"/>
          <w:szCs w:val="22"/>
          <w:lang w:val="es-MX"/>
        </w:rPr>
      </w:pPr>
    </w:p>
    <w:p w:rsidR="009F2E87" w:rsidRDefault="009F2E87" w:rsidP="009F2E87">
      <w:pPr>
        <w:pStyle w:val="ROMANOS"/>
        <w:numPr>
          <w:ilvl w:val="0"/>
          <w:numId w:val="7"/>
        </w:numPr>
        <w:spacing w:after="0" w:line="240" w:lineRule="exact"/>
        <w:rPr>
          <w:rFonts w:ascii="Soberana Sans Light" w:hAnsi="Soberana Sans Light"/>
          <w:sz w:val="22"/>
          <w:szCs w:val="22"/>
          <w:lang w:val="es-MX"/>
        </w:rPr>
      </w:pPr>
      <w:r>
        <w:rPr>
          <w:rFonts w:ascii="Soberana Sans Light" w:hAnsi="Soberana Sans Light"/>
          <w:sz w:val="22"/>
          <w:szCs w:val="22"/>
          <w:lang w:val="es-MX"/>
        </w:rPr>
        <w:t>El saldo de la cuenta de Ins</w:t>
      </w:r>
      <w:r w:rsidR="00FF23BB">
        <w:rPr>
          <w:rFonts w:ascii="Soberana Sans Light" w:hAnsi="Soberana Sans Light"/>
          <w:sz w:val="22"/>
          <w:szCs w:val="22"/>
          <w:lang w:val="es-MX"/>
        </w:rPr>
        <w:t>talaciones es igual a $8,844,331</w:t>
      </w:r>
      <w:r>
        <w:rPr>
          <w:rFonts w:ascii="Soberana Sans Light" w:hAnsi="Soberana Sans Light"/>
          <w:sz w:val="22"/>
          <w:szCs w:val="22"/>
          <w:lang w:val="es-MX"/>
        </w:rPr>
        <w:t xml:space="preserve">, el cual equivale a las adiciones y mejoras que han sufrido las construcciones de la Universidad Tecnológica de Tlaxcala a lo largo de los años como consecuencia de los planes de ampliación de la oferta educativa y mejoras en laboratorios y aulas. </w:t>
      </w:r>
    </w:p>
    <w:p w:rsidR="009F2E87" w:rsidRDefault="009F2E87" w:rsidP="009F2E87">
      <w:pPr>
        <w:pStyle w:val="ROMANOS"/>
        <w:spacing w:after="0" w:line="240" w:lineRule="exact"/>
        <w:ind w:left="723" w:firstLine="0"/>
        <w:rPr>
          <w:rFonts w:ascii="Soberana Sans Light" w:hAnsi="Soberana Sans Light"/>
          <w:sz w:val="22"/>
          <w:szCs w:val="22"/>
          <w:lang w:val="es-MX"/>
        </w:rPr>
      </w:pPr>
    </w:p>
    <w:p w:rsidR="009F2E87" w:rsidRDefault="009F2E87" w:rsidP="009F2E87">
      <w:pPr>
        <w:pStyle w:val="ROMANOS"/>
        <w:spacing w:after="0" w:line="240" w:lineRule="exact"/>
        <w:ind w:left="723" w:firstLine="0"/>
        <w:rPr>
          <w:rFonts w:ascii="Soberana Sans Light" w:hAnsi="Soberana Sans Light"/>
          <w:sz w:val="22"/>
          <w:szCs w:val="22"/>
          <w:lang w:val="es-MX"/>
        </w:rPr>
      </w:pPr>
      <w:r>
        <w:rPr>
          <w:rFonts w:ascii="Soberana Sans Light" w:hAnsi="Soberana Sans Light"/>
          <w:sz w:val="22"/>
          <w:szCs w:val="22"/>
          <w:lang w:val="es-MX"/>
        </w:rPr>
        <w:t>Por otra parte, el saldo de los Biene</w:t>
      </w:r>
      <w:r w:rsidR="00FF23BB">
        <w:rPr>
          <w:rFonts w:ascii="Soberana Sans Light" w:hAnsi="Soberana Sans Light"/>
          <w:sz w:val="22"/>
          <w:szCs w:val="22"/>
          <w:lang w:val="es-MX"/>
        </w:rPr>
        <w:t>s Muebles es igual a $98,821,021</w:t>
      </w:r>
      <w:r>
        <w:rPr>
          <w:rFonts w:ascii="Soberana Sans Light" w:hAnsi="Soberana Sans Light"/>
          <w:sz w:val="22"/>
          <w:szCs w:val="22"/>
          <w:lang w:val="es-MX"/>
        </w:rPr>
        <w:t xml:space="preserve"> el cual se encuentra desagregado en los siguientes rubros:</w:t>
      </w:r>
    </w:p>
    <w:p w:rsidR="009F2E87" w:rsidRDefault="009F2E87" w:rsidP="009F2E87">
      <w:pPr>
        <w:pStyle w:val="ROMANOS"/>
        <w:spacing w:after="0" w:line="240" w:lineRule="exact"/>
        <w:ind w:left="723" w:firstLine="0"/>
        <w:rPr>
          <w:rFonts w:ascii="Soberana Sans Light" w:hAnsi="Soberana Sans Light"/>
          <w:sz w:val="22"/>
          <w:szCs w:val="22"/>
          <w:lang w:val="es-MX"/>
        </w:rPr>
      </w:pPr>
    </w:p>
    <w:p w:rsidR="009F2E87" w:rsidRPr="00F74137" w:rsidRDefault="009F2E87" w:rsidP="009F2E87">
      <w:pPr>
        <w:pStyle w:val="ROMANOS"/>
        <w:numPr>
          <w:ilvl w:val="0"/>
          <w:numId w:val="8"/>
        </w:numPr>
        <w:spacing w:after="0" w:line="240" w:lineRule="exact"/>
        <w:rPr>
          <w:rFonts w:ascii="Soberana Sans Light" w:hAnsi="Soberana Sans Light"/>
          <w:color w:val="000000" w:themeColor="text1"/>
          <w:sz w:val="22"/>
          <w:szCs w:val="22"/>
          <w:lang w:val="es-MX"/>
        </w:rPr>
      </w:pPr>
      <w:r>
        <w:rPr>
          <w:rFonts w:ascii="Soberana Sans Light" w:hAnsi="Soberana Sans Light"/>
          <w:sz w:val="22"/>
          <w:szCs w:val="22"/>
          <w:lang w:val="es-MX"/>
        </w:rPr>
        <w:t>El saldo de la cuenta de Mobiliario y Equipo de Admin</w:t>
      </w:r>
      <w:r w:rsidR="00F90746">
        <w:rPr>
          <w:rFonts w:ascii="Soberana Sans Light" w:hAnsi="Soberana Sans Light"/>
          <w:sz w:val="22"/>
          <w:szCs w:val="22"/>
          <w:lang w:val="es-MX"/>
        </w:rPr>
        <w:t xml:space="preserve">istración es </w:t>
      </w:r>
      <w:r w:rsidR="00F90746" w:rsidRPr="00F74137">
        <w:rPr>
          <w:rFonts w:ascii="Soberana Sans Light" w:hAnsi="Soberana Sans Light"/>
          <w:color w:val="000000" w:themeColor="text1"/>
          <w:sz w:val="22"/>
          <w:szCs w:val="22"/>
          <w:lang w:val="es-MX"/>
        </w:rPr>
        <w:t>igual a $</w:t>
      </w:r>
      <w:r w:rsidR="00F74137" w:rsidRPr="00F74137">
        <w:rPr>
          <w:rFonts w:ascii="Soberana Sans Light" w:hAnsi="Soberana Sans Light"/>
          <w:color w:val="000000" w:themeColor="text1"/>
          <w:sz w:val="22"/>
          <w:szCs w:val="22"/>
          <w:lang w:val="es-MX"/>
        </w:rPr>
        <w:t>27,235,731</w:t>
      </w:r>
      <w:r w:rsidRPr="00F74137">
        <w:rPr>
          <w:rFonts w:ascii="Soberana Sans Light" w:hAnsi="Soberana Sans Light"/>
          <w:color w:val="000000" w:themeColor="text1"/>
          <w:sz w:val="22"/>
          <w:szCs w:val="22"/>
          <w:lang w:val="es-MX"/>
        </w:rPr>
        <w:t xml:space="preserve"> el cual equivale a los bienes muebles utilizados en oficinas administrativas y académicas para la realización de los objetivos de la Universidad.</w:t>
      </w:r>
    </w:p>
    <w:p w:rsidR="009F2E87" w:rsidRPr="00F74137" w:rsidRDefault="009F2E87" w:rsidP="009F2E87">
      <w:pPr>
        <w:pStyle w:val="ROMANOS"/>
        <w:numPr>
          <w:ilvl w:val="0"/>
          <w:numId w:val="8"/>
        </w:numPr>
        <w:spacing w:after="0" w:line="240" w:lineRule="exact"/>
        <w:rPr>
          <w:rFonts w:ascii="Soberana Sans Light" w:hAnsi="Soberana Sans Light"/>
          <w:color w:val="000000" w:themeColor="text1"/>
          <w:sz w:val="22"/>
          <w:szCs w:val="22"/>
          <w:lang w:val="es-MX"/>
        </w:rPr>
      </w:pPr>
      <w:r w:rsidRPr="00F74137">
        <w:rPr>
          <w:rFonts w:ascii="Soberana Sans Light" w:hAnsi="Soberana Sans Light"/>
          <w:color w:val="000000" w:themeColor="text1"/>
          <w:sz w:val="22"/>
          <w:szCs w:val="22"/>
          <w:lang w:val="es-MX"/>
        </w:rPr>
        <w:t>El saldo de la cuenta de Mobiliario y Equipo Educacional y R</w:t>
      </w:r>
      <w:r w:rsidR="00F90746" w:rsidRPr="00F74137">
        <w:rPr>
          <w:rFonts w:ascii="Soberana Sans Light" w:hAnsi="Soberana Sans Light"/>
          <w:color w:val="000000" w:themeColor="text1"/>
          <w:sz w:val="22"/>
          <w:szCs w:val="22"/>
          <w:lang w:val="es-MX"/>
        </w:rPr>
        <w:t>ecreativo equivale a $</w:t>
      </w:r>
      <w:r w:rsidR="00F74137" w:rsidRPr="00F74137">
        <w:rPr>
          <w:rFonts w:ascii="Soberana Sans Light" w:hAnsi="Soberana Sans Light"/>
          <w:color w:val="000000" w:themeColor="text1"/>
          <w:sz w:val="22"/>
          <w:szCs w:val="22"/>
          <w:lang w:val="es-MX"/>
        </w:rPr>
        <w:t>64,712,156</w:t>
      </w:r>
      <w:r w:rsidRPr="00F74137">
        <w:rPr>
          <w:rFonts w:ascii="Soberana Sans Light" w:hAnsi="Soberana Sans Light"/>
          <w:color w:val="000000" w:themeColor="text1"/>
          <w:sz w:val="22"/>
          <w:szCs w:val="22"/>
          <w:lang w:val="es-MX"/>
        </w:rPr>
        <w:t xml:space="preserve"> que representa el valor de los bienes y equipos utilizados en laboratorios de ingeniería para fines didácticos y de servicio a la industria. </w:t>
      </w:r>
    </w:p>
    <w:p w:rsidR="009F2E87" w:rsidRPr="00F74137" w:rsidRDefault="009F2E87" w:rsidP="009F2E87">
      <w:pPr>
        <w:pStyle w:val="ROMANOS"/>
        <w:numPr>
          <w:ilvl w:val="0"/>
          <w:numId w:val="8"/>
        </w:numPr>
        <w:spacing w:after="0" w:line="240" w:lineRule="exact"/>
        <w:rPr>
          <w:rFonts w:ascii="Soberana Sans Light" w:hAnsi="Soberana Sans Light"/>
          <w:color w:val="000000" w:themeColor="text1"/>
          <w:sz w:val="22"/>
          <w:szCs w:val="22"/>
          <w:lang w:val="es-MX"/>
        </w:rPr>
      </w:pPr>
      <w:r w:rsidRPr="00F74137">
        <w:rPr>
          <w:rFonts w:ascii="Soberana Sans Light" w:hAnsi="Soberana Sans Light"/>
          <w:color w:val="000000" w:themeColor="text1"/>
          <w:sz w:val="22"/>
          <w:szCs w:val="22"/>
          <w:lang w:val="es-MX"/>
        </w:rPr>
        <w:t>Por otra parte se incluyen $1,635,920 que equivalen al valor del acervo bibliográfico de la institución.</w:t>
      </w:r>
    </w:p>
    <w:p w:rsidR="009F2E87" w:rsidRPr="00F74137" w:rsidRDefault="009F2E87" w:rsidP="009F2E87">
      <w:pPr>
        <w:pStyle w:val="ROMANOS"/>
        <w:numPr>
          <w:ilvl w:val="0"/>
          <w:numId w:val="8"/>
        </w:numPr>
        <w:spacing w:after="0" w:line="240" w:lineRule="exact"/>
        <w:rPr>
          <w:rFonts w:ascii="Soberana Sans Light" w:hAnsi="Soberana Sans Light"/>
          <w:color w:val="000000" w:themeColor="text1"/>
          <w:sz w:val="22"/>
          <w:szCs w:val="22"/>
          <w:lang w:val="es-MX"/>
        </w:rPr>
      </w:pPr>
      <w:r w:rsidRPr="00F74137">
        <w:rPr>
          <w:rFonts w:ascii="Soberana Sans Light" w:hAnsi="Soberana Sans Light"/>
          <w:color w:val="000000" w:themeColor="text1"/>
          <w:sz w:val="22"/>
          <w:szCs w:val="22"/>
          <w:lang w:val="es-MX"/>
        </w:rPr>
        <w:t>La cuenta de equipo de transporte suma $4,991,565 equivale al importe de tres autobuses y otras unidades vehiculares que son utilizadas para el servicio del alumnado y del personal académico, así como para las actividades administrativas.</w:t>
      </w:r>
    </w:p>
    <w:p w:rsidR="009F2E87" w:rsidRPr="00F74137" w:rsidRDefault="009F2E87" w:rsidP="009F2E87">
      <w:pPr>
        <w:pStyle w:val="ROMANOS"/>
        <w:numPr>
          <w:ilvl w:val="0"/>
          <w:numId w:val="8"/>
        </w:numPr>
        <w:spacing w:after="0" w:line="240" w:lineRule="exact"/>
        <w:rPr>
          <w:rFonts w:ascii="Soberana Sans Light" w:hAnsi="Soberana Sans Light"/>
          <w:color w:val="000000" w:themeColor="text1"/>
          <w:sz w:val="22"/>
          <w:szCs w:val="22"/>
          <w:lang w:val="es-MX"/>
        </w:rPr>
      </w:pPr>
      <w:r w:rsidRPr="00F74137">
        <w:rPr>
          <w:rFonts w:ascii="Soberana Sans Light" w:hAnsi="Soberana Sans Light"/>
          <w:color w:val="000000" w:themeColor="text1"/>
          <w:sz w:val="22"/>
          <w:szCs w:val="22"/>
          <w:lang w:val="es-MX"/>
        </w:rPr>
        <w:t>Dentro de los Activos Intangibles se encuentra el software que rep</w:t>
      </w:r>
      <w:r w:rsidR="00F90746" w:rsidRPr="00F74137">
        <w:rPr>
          <w:rFonts w:ascii="Soberana Sans Light" w:hAnsi="Soberana Sans Light"/>
          <w:color w:val="000000" w:themeColor="text1"/>
          <w:sz w:val="22"/>
          <w:szCs w:val="22"/>
          <w:lang w:val="es-MX"/>
        </w:rPr>
        <w:t>resenta la cantidad de $245,649.</w:t>
      </w:r>
    </w:p>
    <w:p w:rsidR="009F2E87" w:rsidRDefault="009F2E87" w:rsidP="009F2E87">
      <w:pPr>
        <w:pStyle w:val="ROMANOS"/>
        <w:spacing w:after="0" w:line="240" w:lineRule="exact"/>
        <w:ind w:left="723" w:firstLine="0"/>
        <w:rPr>
          <w:rFonts w:ascii="Soberana Sans Light" w:hAnsi="Soberana Sans Light"/>
          <w:sz w:val="22"/>
          <w:szCs w:val="22"/>
          <w:lang w:val="es-MX"/>
        </w:rPr>
      </w:pPr>
    </w:p>
    <w:p w:rsidR="009F2E87" w:rsidRDefault="009F2E87" w:rsidP="009F2E87">
      <w:pPr>
        <w:pStyle w:val="ROMANOS"/>
        <w:spacing w:after="0" w:line="240" w:lineRule="exact"/>
        <w:ind w:left="288" w:firstLine="0"/>
        <w:rPr>
          <w:rFonts w:ascii="Soberana Sans Light" w:hAnsi="Soberana Sans Light"/>
          <w:sz w:val="22"/>
          <w:szCs w:val="22"/>
          <w:lang w:val="es-MX"/>
        </w:rPr>
      </w:pPr>
      <w:r>
        <w:rPr>
          <w:rFonts w:ascii="Soberana Sans Light" w:hAnsi="Soberana Sans Light"/>
          <w:sz w:val="22"/>
          <w:szCs w:val="22"/>
          <w:lang w:val="es-MX"/>
        </w:rPr>
        <w:t>En el per</w:t>
      </w:r>
      <w:r w:rsidR="00F90746">
        <w:rPr>
          <w:rFonts w:ascii="Soberana Sans Light" w:hAnsi="Soberana Sans Light"/>
          <w:sz w:val="22"/>
          <w:szCs w:val="22"/>
          <w:lang w:val="es-MX"/>
        </w:rPr>
        <w:t>iodo del 1 de enero</w:t>
      </w:r>
      <w:r w:rsidR="00FF23BB">
        <w:rPr>
          <w:rFonts w:ascii="Soberana Sans Light" w:hAnsi="Soberana Sans Light"/>
          <w:sz w:val="22"/>
          <w:szCs w:val="22"/>
          <w:lang w:val="es-MX"/>
        </w:rPr>
        <w:t xml:space="preserve"> al 30 de septiembre</w:t>
      </w:r>
      <w:r>
        <w:rPr>
          <w:rFonts w:ascii="Soberana Sans Light" w:hAnsi="Soberana Sans Light"/>
          <w:sz w:val="22"/>
          <w:szCs w:val="22"/>
          <w:lang w:val="es-MX"/>
        </w:rPr>
        <w:t xml:space="preserve"> se registraron altas a la cuenta de Bienes Muebl</w:t>
      </w:r>
      <w:r w:rsidR="00F90746">
        <w:rPr>
          <w:rFonts w:ascii="Soberana Sans Light" w:hAnsi="Soberana Sans Light"/>
          <w:sz w:val="22"/>
          <w:szCs w:val="22"/>
          <w:lang w:val="es-MX"/>
        </w:rPr>
        <w:t xml:space="preserve">es por la cantidad de </w:t>
      </w:r>
      <w:r w:rsidR="00F90746" w:rsidRPr="00F74137">
        <w:rPr>
          <w:rFonts w:ascii="Soberana Sans Light" w:hAnsi="Soberana Sans Light"/>
          <w:color w:val="000000" w:themeColor="text1"/>
          <w:sz w:val="22"/>
          <w:szCs w:val="22"/>
          <w:lang w:val="es-MX"/>
        </w:rPr>
        <w:t>$</w:t>
      </w:r>
      <w:r w:rsidR="00F74137" w:rsidRPr="00F74137">
        <w:rPr>
          <w:rFonts w:ascii="Soberana Sans Light" w:hAnsi="Soberana Sans Light"/>
          <w:color w:val="000000" w:themeColor="text1"/>
          <w:sz w:val="22"/>
          <w:szCs w:val="22"/>
          <w:lang w:val="es-MX"/>
        </w:rPr>
        <w:t>5,107,149</w:t>
      </w:r>
      <w:r w:rsidRPr="00F74137">
        <w:rPr>
          <w:rFonts w:ascii="Soberana Sans Light" w:hAnsi="Soberana Sans Light"/>
          <w:color w:val="000000" w:themeColor="text1"/>
          <w:sz w:val="22"/>
          <w:szCs w:val="22"/>
          <w:lang w:val="es-MX"/>
        </w:rPr>
        <w:t xml:space="preserve"> </w:t>
      </w:r>
      <w:r>
        <w:rPr>
          <w:rFonts w:ascii="Soberana Sans Light" w:hAnsi="Soberana Sans Light"/>
          <w:sz w:val="22"/>
          <w:szCs w:val="22"/>
          <w:lang w:val="es-MX"/>
        </w:rPr>
        <w:t>derivados de la compra de bienes para laboratori</w:t>
      </w:r>
      <w:r w:rsidR="00293D86">
        <w:rPr>
          <w:rFonts w:ascii="Soberana Sans Light" w:hAnsi="Soberana Sans Light"/>
          <w:sz w:val="22"/>
          <w:szCs w:val="22"/>
          <w:lang w:val="es-MX"/>
        </w:rPr>
        <w:t>os y talleres en su mayor parte. El inventario de bienes muebles e inmuebles se encuentra en proceso de actualización.</w:t>
      </w:r>
    </w:p>
    <w:p w:rsidR="009F2E87" w:rsidRPr="00540418" w:rsidRDefault="009F2E87" w:rsidP="009F2E87">
      <w:pPr>
        <w:pStyle w:val="ROMANOS"/>
        <w:spacing w:after="0" w:line="240" w:lineRule="exact"/>
        <w:rPr>
          <w:rFonts w:ascii="Soberana Sans Light" w:hAnsi="Soberana Sans Light"/>
          <w:sz w:val="22"/>
          <w:szCs w:val="22"/>
          <w:lang w:val="es-MX"/>
        </w:rPr>
      </w:pPr>
    </w:p>
    <w:p w:rsidR="00293D86" w:rsidRDefault="00293D86" w:rsidP="009F2E87">
      <w:pPr>
        <w:pStyle w:val="ROMANOS"/>
        <w:spacing w:after="0" w:line="240" w:lineRule="exact"/>
        <w:rPr>
          <w:rFonts w:ascii="Soberana Sans Light" w:hAnsi="Soberana Sans Light"/>
          <w:b/>
          <w:sz w:val="22"/>
          <w:szCs w:val="22"/>
          <w:lang w:val="es-MX"/>
        </w:rPr>
      </w:pPr>
    </w:p>
    <w:p w:rsidR="00293D86" w:rsidRDefault="00293D86" w:rsidP="009F2E87">
      <w:pPr>
        <w:pStyle w:val="ROMANOS"/>
        <w:spacing w:after="0" w:line="240" w:lineRule="exact"/>
        <w:rPr>
          <w:rFonts w:ascii="Soberana Sans Light" w:hAnsi="Soberana Sans Light"/>
          <w:b/>
          <w:sz w:val="22"/>
          <w:szCs w:val="22"/>
          <w:lang w:val="es-MX"/>
        </w:rPr>
      </w:pPr>
    </w:p>
    <w:p w:rsidR="009F2E87" w:rsidRPr="00540418" w:rsidRDefault="009F2E87" w:rsidP="009F2E87">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Estimaciones y Deterioros</w:t>
      </w:r>
    </w:p>
    <w:p w:rsidR="009F2E87" w:rsidRDefault="009F2E87" w:rsidP="009F2E87">
      <w:pPr>
        <w:pStyle w:val="ROMANOS"/>
        <w:numPr>
          <w:ilvl w:val="0"/>
          <w:numId w:val="5"/>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aplica.</w:t>
      </w:r>
    </w:p>
    <w:p w:rsidR="009F2E87" w:rsidRPr="00540418" w:rsidRDefault="009F2E87" w:rsidP="009F2E87">
      <w:pPr>
        <w:pStyle w:val="ROMANOS"/>
        <w:spacing w:after="0" w:line="240" w:lineRule="exact"/>
        <w:ind w:left="723" w:firstLine="0"/>
        <w:rPr>
          <w:rFonts w:ascii="Soberana Sans Light" w:hAnsi="Soberana Sans Light"/>
          <w:sz w:val="22"/>
          <w:szCs w:val="22"/>
          <w:lang w:val="es-MX"/>
        </w:rPr>
      </w:pPr>
    </w:p>
    <w:p w:rsidR="009F2E87" w:rsidRPr="00540418" w:rsidRDefault="009F2E87" w:rsidP="009F2E87">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Otros Activos</w:t>
      </w:r>
    </w:p>
    <w:p w:rsidR="009F2E87" w:rsidRDefault="009F2E87" w:rsidP="009F2E87">
      <w:pPr>
        <w:pStyle w:val="ROMANOS"/>
        <w:numPr>
          <w:ilvl w:val="0"/>
          <w:numId w:val="5"/>
        </w:numPr>
        <w:spacing w:after="0" w:line="240" w:lineRule="exact"/>
        <w:rPr>
          <w:rFonts w:ascii="Soberana Sans Light" w:hAnsi="Soberana Sans Light"/>
          <w:sz w:val="22"/>
          <w:szCs w:val="22"/>
          <w:lang w:val="es-MX"/>
        </w:rPr>
      </w:pPr>
      <w:r>
        <w:rPr>
          <w:rFonts w:ascii="Soberana Sans Light" w:hAnsi="Soberana Sans Light"/>
          <w:sz w:val="22"/>
          <w:szCs w:val="22"/>
          <w:lang w:val="es-MX"/>
        </w:rPr>
        <w:lastRenderedPageBreak/>
        <w:t>No aplica.</w:t>
      </w:r>
    </w:p>
    <w:p w:rsidR="009F2E87" w:rsidRPr="00540418" w:rsidRDefault="009F2E87" w:rsidP="008F43BD">
      <w:pPr>
        <w:pStyle w:val="ROMANOS"/>
        <w:spacing w:after="0" w:line="240" w:lineRule="exact"/>
        <w:ind w:left="0" w:firstLine="0"/>
        <w:rPr>
          <w:rFonts w:ascii="Soberana Sans Light" w:hAnsi="Soberana Sans Light"/>
          <w:sz w:val="22"/>
          <w:szCs w:val="22"/>
          <w:lang w:val="es-MX"/>
        </w:rPr>
      </w:pPr>
    </w:p>
    <w:p w:rsidR="009F2E87" w:rsidRPr="00540418" w:rsidRDefault="009F2E87" w:rsidP="009F2E87">
      <w:pPr>
        <w:pStyle w:val="ROMANOS"/>
        <w:spacing w:after="0" w:line="240" w:lineRule="exact"/>
        <w:ind w:left="432"/>
        <w:rPr>
          <w:rFonts w:ascii="Soberana Sans Light" w:hAnsi="Soberana Sans Light"/>
          <w:b/>
          <w:sz w:val="22"/>
          <w:szCs w:val="22"/>
          <w:lang w:val="es-MX"/>
        </w:rPr>
      </w:pPr>
      <w:r w:rsidRPr="00540418">
        <w:rPr>
          <w:rFonts w:ascii="Soberana Sans Light" w:hAnsi="Soberana Sans Light"/>
          <w:b/>
          <w:sz w:val="22"/>
          <w:szCs w:val="22"/>
          <w:lang w:val="es-MX"/>
        </w:rPr>
        <w:t>Pasivo</w:t>
      </w:r>
    </w:p>
    <w:p w:rsidR="009F2E87" w:rsidRDefault="009F2E87" w:rsidP="009F2E87">
      <w:pPr>
        <w:pStyle w:val="ROMANOS"/>
        <w:spacing w:after="0" w:line="240" w:lineRule="exact"/>
        <w:ind w:left="723" w:firstLine="0"/>
        <w:rPr>
          <w:rFonts w:ascii="Soberana Sans Light" w:hAnsi="Soberana Sans Light"/>
          <w:sz w:val="22"/>
          <w:szCs w:val="22"/>
          <w:lang w:val="es-MX"/>
        </w:rPr>
      </w:pPr>
      <w:r>
        <w:rPr>
          <w:rFonts w:ascii="Soberana Sans Light" w:hAnsi="Soberana Sans Light"/>
          <w:sz w:val="22"/>
          <w:szCs w:val="22"/>
          <w:lang w:val="es-MX"/>
        </w:rPr>
        <w:t>El Pasivo se compone de dos partes:</w:t>
      </w:r>
    </w:p>
    <w:p w:rsidR="009F2E87" w:rsidRDefault="009F2E87" w:rsidP="009F2E87">
      <w:pPr>
        <w:pStyle w:val="ROMANOS"/>
        <w:numPr>
          <w:ilvl w:val="0"/>
          <w:numId w:val="9"/>
        </w:numPr>
        <w:spacing w:after="0" w:line="240" w:lineRule="exact"/>
        <w:rPr>
          <w:rFonts w:ascii="Soberana Sans Light" w:hAnsi="Soberana Sans Light"/>
          <w:sz w:val="22"/>
          <w:szCs w:val="22"/>
          <w:lang w:val="es-MX"/>
        </w:rPr>
      </w:pPr>
      <w:r>
        <w:rPr>
          <w:rFonts w:ascii="Soberana Sans Light" w:hAnsi="Soberana Sans Light"/>
          <w:sz w:val="22"/>
          <w:szCs w:val="22"/>
          <w:lang w:val="es-MX"/>
        </w:rPr>
        <w:t>Las cuentas por pagar a corto plazo a proveed</w:t>
      </w:r>
      <w:r w:rsidR="00FF23BB">
        <w:rPr>
          <w:rFonts w:ascii="Soberana Sans Light" w:hAnsi="Soberana Sans Light"/>
          <w:sz w:val="22"/>
          <w:szCs w:val="22"/>
          <w:lang w:val="es-MX"/>
        </w:rPr>
        <w:t>ores por la cantidad de $264,060</w:t>
      </w:r>
      <w:r>
        <w:rPr>
          <w:rFonts w:ascii="Soberana Sans Light" w:hAnsi="Soberana Sans Light"/>
          <w:sz w:val="22"/>
          <w:szCs w:val="22"/>
          <w:lang w:val="es-MX"/>
        </w:rPr>
        <w:t xml:space="preserve"> que en su mayor parte corresponde a los compromisos pendientes de pago derivados de la operación normal de la Universidad por concepto de compra de bienes y servicios y que tienen un plazo de vencimiento no mayor de 30 días naturales.</w:t>
      </w:r>
    </w:p>
    <w:p w:rsidR="009F2E87" w:rsidRDefault="009F2E87" w:rsidP="009F2E87">
      <w:pPr>
        <w:pStyle w:val="ROMANOS"/>
        <w:spacing w:after="0" w:line="240" w:lineRule="exact"/>
        <w:ind w:left="1083" w:firstLine="0"/>
        <w:rPr>
          <w:rFonts w:ascii="Soberana Sans Light" w:hAnsi="Soberana Sans Light"/>
          <w:sz w:val="22"/>
          <w:szCs w:val="22"/>
          <w:lang w:val="es-MX"/>
        </w:rPr>
      </w:pPr>
    </w:p>
    <w:p w:rsidR="009F2E87" w:rsidRPr="008739AF" w:rsidRDefault="009F2E87" w:rsidP="009F2E87">
      <w:pPr>
        <w:pStyle w:val="ROMANOS"/>
        <w:numPr>
          <w:ilvl w:val="0"/>
          <w:numId w:val="9"/>
        </w:numPr>
        <w:spacing w:after="0" w:line="240" w:lineRule="exact"/>
        <w:rPr>
          <w:rFonts w:ascii="Soberana Sans Light" w:hAnsi="Soberana Sans Light"/>
          <w:sz w:val="22"/>
          <w:szCs w:val="22"/>
          <w:lang w:val="es-MX"/>
        </w:rPr>
      </w:pPr>
      <w:r>
        <w:rPr>
          <w:rFonts w:ascii="Soberana Sans Light" w:hAnsi="Soberana Sans Light"/>
          <w:sz w:val="22"/>
          <w:szCs w:val="22"/>
          <w:lang w:val="es-MX"/>
        </w:rPr>
        <w:t>Por otro lado, existe un saldo por pagar de Impuesto sobre la Renta retenido a los trabajadores que corresponde al m</w:t>
      </w:r>
      <w:r w:rsidR="00EF179A">
        <w:rPr>
          <w:rFonts w:ascii="Soberana Sans Light" w:hAnsi="Soberana Sans Light"/>
          <w:sz w:val="22"/>
          <w:szCs w:val="22"/>
          <w:lang w:val="es-MX"/>
        </w:rPr>
        <w:t>e</w:t>
      </w:r>
      <w:r w:rsidR="00FF23BB">
        <w:rPr>
          <w:rFonts w:ascii="Soberana Sans Light" w:hAnsi="Soberana Sans Light"/>
          <w:sz w:val="22"/>
          <w:szCs w:val="22"/>
          <w:lang w:val="es-MX"/>
        </w:rPr>
        <w:t>s de septiembre de 2015 por $517,165 y un saldo de $873,861</w:t>
      </w:r>
      <w:r>
        <w:rPr>
          <w:rFonts w:ascii="Soberana Sans Light" w:hAnsi="Soberana Sans Light"/>
          <w:sz w:val="22"/>
          <w:szCs w:val="22"/>
          <w:lang w:val="es-MX"/>
        </w:rPr>
        <w:t xml:space="preserve"> correspondiente a los recursos provenientes de los solicitantes de trámites diversos ante la Dirección General de Profesiones.</w:t>
      </w:r>
    </w:p>
    <w:p w:rsidR="009F2E87" w:rsidRDefault="009F2E87" w:rsidP="00293D86">
      <w:pPr>
        <w:pStyle w:val="ROMANOS"/>
        <w:spacing w:after="0" w:line="240" w:lineRule="exact"/>
        <w:ind w:left="0" w:firstLine="0"/>
        <w:rPr>
          <w:rFonts w:ascii="Soberana Sans Light" w:hAnsi="Soberana Sans Light"/>
          <w:sz w:val="22"/>
          <w:szCs w:val="22"/>
          <w:lang w:val="es-MX"/>
        </w:rPr>
      </w:pPr>
    </w:p>
    <w:p w:rsidR="009F2E87" w:rsidRPr="00540418" w:rsidRDefault="009F2E87" w:rsidP="009F2E87">
      <w:pPr>
        <w:pStyle w:val="ROMANOS"/>
        <w:spacing w:after="0" w:line="240" w:lineRule="exact"/>
        <w:ind w:left="1008" w:firstLine="0"/>
        <w:rPr>
          <w:rFonts w:ascii="Soberana Sans Light" w:hAnsi="Soberana Sans Light"/>
          <w:sz w:val="22"/>
          <w:szCs w:val="22"/>
          <w:lang w:val="es-MX"/>
        </w:rPr>
      </w:pPr>
    </w:p>
    <w:p w:rsidR="009F2E87" w:rsidRPr="00540418" w:rsidRDefault="009F2E87" w:rsidP="009F2E87">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w:t>
      </w:r>
      <w:r w:rsidRPr="00540418">
        <w:rPr>
          <w:rFonts w:ascii="Soberana Sans Light" w:hAnsi="Soberana Sans Light"/>
          <w:b/>
          <w:smallCaps/>
          <w:sz w:val="22"/>
          <w:szCs w:val="22"/>
        </w:rPr>
        <w:tab/>
        <w:t>Notas al Estado de Actividades</w:t>
      </w:r>
    </w:p>
    <w:p w:rsidR="009F2E87" w:rsidRPr="00540418" w:rsidRDefault="009F2E87" w:rsidP="009F2E87">
      <w:pPr>
        <w:pStyle w:val="INCISO"/>
        <w:spacing w:after="0" w:line="240" w:lineRule="exact"/>
        <w:ind w:left="360"/>
        <w:rPr>
          <w:rFonts w:ascii="Soberana Sans Light" w:hAnsi="Soberana Sans Light"/>
          <w:b/>
          <w:smallCaps/>
          <w:sz w:val="22"/>
          <w:szCs w:val="22"/>
        </w:rPr>
      </w:pPr>
    </w:p>
    <w:p w:rsidR="009F2E87" w:rsidRDefault="009F2E87" w:rsidP="009F2E87">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Ingresos de Gestión</w:t>
      </w:r>
    </w:p>
    <w:p w:rsidR="009F2E87" w:rsidRDefault="009F2E87" w:rsidP="009F2E87">
      <w:pPr>
        <w:pStyle w:val="ROMANOS"/>
        <w:spacing w:after="0" w:line="240" w:lineRule="exact"/>
        <w:rPr>
          <w:rFonts w:ascii="Soberana Sans Light" w:hAnsi="Soberana Sans Light"/>
          <w:b/>
          <w:sz w:val="22"/>
          <w:szCs w:val="22"/>
          <w:lang w:val="es-MX"/>
        </w:rPr>
      </w:pPr>
    </w:p>
    <w:p w:rsidR="009F2E87" w:rsidRDefault="009F2E87" w:rsidP="009F2E87">
      <w:pPr>
        <w:pStyle w:val="ROMANOS"/>
        <w:spacing w:after="0" w:line="240" w:lineRule="exact"/>
        <w:rPr>
          <w:rFonts w:ascii="Soberana Sans Light" w:hAnsi="Soberana Sans Light"/>
          <w:sz w:val="22"/>
          <w:szCs w:val="22"/>
          <w:lang w:val="es-MX"/>
        </w:rPr>
      </w:pPr>
      <w:r w:rsidRPr="006477DC">
        <w:rPr>
          <w:rFonts w:ascii="Soberana Sans Light" w:hAnsi="Soberana Sans Light"/>
          <w:sz w:val="22"/>
          <w:szCs w:val="22"/>
          <w:lang w:val="es-MX"/>
        </w:rPr>
        <w:t>Los ingresos de la</w:t>
      </w:r>
      <w:r>
        <w:rPr>
          <w:rFonts w:ascii="Soberana Sans Light" w:hAnsi="Soberana Sans Light"/>
          <w:sz w:val="22"/>
          <w:szCs w:val="22"/>
          <w:lang w:val="es-MX"/>
        </w:rPr>
        <w:t xml:space="preserve"> Universidad Tecnológica de Tlaxcal</w:t>
      </w:r>
      <w:r w:rsidR="00EF179A">
        <w:rPr>
          <w:rFonts w:ascii="Soberana Sans Light" w:hAnsi="Soberana Sans Light"/>
          <w:sz w:val="22"/>
          <w:szCs w:val="22"/>
          <w:lang w:val="es-MX"/>
        </w:rPr>
        <w:t>a  del 1 de ene</w:t>
      </w:r>
      <w:r w:rsidR="00FF23BB">
        <w:rPr>
          <w:rFonts w:ascii="Soberana Sans Light" w:hAnsi="Soberana Sans Light"/>
          <w:sz w:val="22"/>
          <w:szCs w:val="22"/>
          <w:lang w:val="es-MX"/>
        </w:rPr>
        <w:t>ro al 30 de septiembre de 2015 ($68,019,331</w:t>
      </w:r>
      <w:r>
        <w:rPr>
          <w:rFonts w:ascii="Soberana Sans Light" w:hAnsi="Soberana Sans Light"/>
          <w:sz w:val="22"/>
          <w:szCs w:val="22"/>
          <w:lang w:val="es-MX"/>
        </w:rPr>
        <w:t>) provienen de las siguientes</w:t>
      </w:r>
      <w:r w:rsidRPr="006477DC">
        <w:rPr>
          <w:rFonts w:ascii="Soberana Sans Light" w:hAnsi="Soberana Sans Light"/>
          <w:sz w:val="22"/>
          <w:szCs w:val="22"/>
          <w:lang w:val="es-MX"/>
        </w:rPr>
        <w:t xml:space="preserve"> fuentes principales:</w:t>
      </w:r>
    </w:p>
    <w:p w:rsidR="009F2E87" w:rsidRDefault="009F2E87" w:rsidP="009F2E87">
      <w:pPr>
        <w:pStyle w:val="ROMANOS"/>
        <w:spacing w:after="0" w:line="240" w:lineRule="exact"/>
        <w:rPr>
          <w:rFonts w:ascii="Soberana Sans Light" w:hAnsi="Soberana Sans Light"/>
          <w:sz w:val="22"/>
          <w:szCs w:val="22"/>
          <w:lang w:val="es-MX"/>
        </w:rPr>
      </w:pPr>
    </w:p>
    <w:p w:rsidR="009F2E87" w:rsidRDefault="009F2E87" w:rsidP="009F2E87">
      <w:pPr>
        <w:pStyle w:val="ROMANOS"/>
        <w:numPr>
          <w:ilvl w:val="0"/>
          <w:numId w:val="10"/>
        </w:numPr>
        <w:spacing w:after="0" w:line="240" w:lineRule="exact"/>
        <w:rPr>
          <w:rFonts w:ascii="Soberana Sans Light" w:hAnsi="Soberana Sans Light"/>
          <w:sz w:val="22"/>
          <w:szCs w:val="22"/>
          <w:lang w:val="es-MX"/>
        </w:rPr>
      </w:pPr>
      <w:r>
        <w:rPr>
          <w:rFonts w:ascii="Soberana Sans Light" w:hAnsi="Soberana Sans Light"/>
          <w:sz w:val="22"/>
          <w:szCs w:val="22"/>
          <w:lang w:val="es-MX"/>
        </w:rPr>
        <w:t xml:space="preserve">El Recurso Federal proveniente del Convenio Específico para la asignación de recursos financieros para la operación de la Universidad con la Secretaría de Educación </w:t>
      </w:r>
      <w:r w:rsidR="00EF179A">
        <w:rPr>
          <w:rFonts w:ascii="Soberana Sans Light" w:hAnsi="Soberana Sans Light"/>
          <w:sz w:val="22"/>
          <w:szCs w:val="22"/>
          <w:lang w:val="es-MX"/>
        </w:rPr>
        <w:t>Pública Federal</w:t>
      </w:r>
      <w:r w:rsidR="00F90746">
        <w:rPr>
          <w:rFonts w:ascii="Soberana Sans Light" w:hAnsi="Soberana Sans Light"/>
          <w:sz w:val="22"/>
          <w:szCs w:val="22"/>
          <w:lang w:val="es-MX"/>
        </w:rPr>
        <w:t>, así como los recursos del Programa de Expansión en la Oferta Educativa en Educación Media Superior y Superior que suman la cantidad de</w:t>
      </w:r>
      <w:r w:rsidR="00FF23BB">
        <w:rPr>
          <w:rFonts w:ascii="Soberana Sans Light" w:hAnsi="Soberana Sans Light"/>
          <w:sz w:val="22"/>
          <w:szCs w:val="22"/>
          <w:lang w:val="es-MX"/>
        </w:rPr>
        <w:t xml:space="preserve"> $29,909,873.</w:t>
      </w:r>
    </w:p>
    <w:p w:rsidR="009F2E87" w:rsidRDefault="009F2E87" w:rsidP="009F2E87">
      <w:pPr>
        <w:pStyle w:val="ROMANOS"/>
        <w:numPr>
          <w:ilvl w:val="0"/>
          <w:numId w:val="10"/>
        </w:numPr>
        <w:spacing w:after="0" w:line="240" w:lineRule="exact"/>
        <w:rPr>
          <w:rFonts w:ascii="Soberana Sans Light" w:hAnsi="Soberana Sans Light"/>
          <w:sz w:val="22"/>
          <w:szCs w:val="22"/>
          <w:lang w:val="es-MX"/>
        </w:rPr>
      </w:pPr>
      <w:r>
        <w:rPr>
          <w:rFonts w:ascii="Soberana Sans Light" w:hAnsi="Soberana Sans Light"/>
          <w:sz w:val="22"/>
          <w:szCs w:val="22"/>
          <w:lang w:val="es-MX"/>
        </w:rPr>
        <w:t>Los R</w:t>
      </w:r>
      <w:r w:rsidR="00EF179A">
        <w:rPr>
          <w:rFonts w:ascii="Soberana Sans Light" w:hAnsi="Soberana Sans Light"/>
          <w:sz w:val="22"/>
          <w:szCs w:val="22"/>
          <w:lang w:val="es-MX"/>
        </w:rPr>
        <w:t>e</w:t>
      </w:r>
      <w:r w:rsidR="00FF23BB">
        <w:rPr>
          <w:rFonts w:ascii="Soberana Sans Light" w:hAnsi="Soberana Sans Light"/>
          <w:sz w:val="22"/>
          <w:szCs w:val="22"/>
          <w:lang w:val="es-MX"/>
        </w:rPr>
        <w:t>cursos Estatales por $13,883,104</w:t>
      </w:r>
      <w:r>
        <w:rPr>
          <w:rFonts w:ascii="Soberana Sans Light" w:hAnsi="Soberana Sans Light"/>
          <w:sz w:val="22"/>
          <w:szCs w:val="22"/>
          <w:lang w:val="es-MX"/>
        </w:rPr>
        <w:t xml:space="preserve"> mismos que son transferidos por el Gobierno del Estado en cumplimiento parcial a lo establecido en el Convenio citado en el párrafo anterior. El importe de $19,000,000.00 programado se encuentra contenido en el Decreto de Presupuesto de Egresos del Estado para el Ejercicio Fiscal 2015.</w:t>
      </w:r>
    </w:p>
    <w:p w:rsidR="009F2E87" w:rsidRDefault="009F2E87" w:rsidP="009F2E87">
      <w:pPr>
        <w:pStyle w:val="ROMANOS"/>
        <w:numPr>
          <w:ilvl w:val="0"/>
          <w:numId w:val="10"/>
        </w:numPr>
        <w:spacing w:after="0" w:line="240" w:lineRule="exact"/>
        <w:rPr>
          <w:rFonts w:ascii="Soberana Sans Light" w:hAnsi="Soberana Sans Light"/>
          <w:sz w:val="22"/>
          <w:szCs w:val="22"/>
          <w:lang w:val="es-MX"/>
        </w:rPr>
      </w:pPr>
      <w:r>
        <w:rPr>
          <w:rFonts w:ascii="Soberana Sans Light" w:hAnsi="Soberana Sans Light"/>
          <w:sz w:val="22"/>
          <w:szCs w:val="22"/>
          <w:lang w:val="es-MX"/>
        </w:rPr>
        <w:t>Los ingresos de Recursos Propios p</w:t>
      </w:r>
      <w:r w:rsidR="00FF23BB">
        <w:rPr>
          <w:rFonts w:ascii="Soberana Sans Light" w:hAnsi="Soberana Sans Light"/>
          <w:sz w:val="22"/>
          <w:szCs w:val="22"/>
          <w:lang w:val="es-MX"/>
        </w:rPr>
        <w:t>or $6,608,292</w:t>
      </w:r>
      <w:r>
        <w:rPr>
          <w:rFonts w:ascii="Soberana Sans Light" w:hAnsi="Soberana Sans Light"/>
          <w:sz w:val="22"/>
          <w:szCs w:val="22"/>
          <w:lang w:val="es-MX"/>
        </w:rPr>
        <w:t xml:space="preserve"> mismos que son recaudados por la Universidad por concepto de Derechos tales como cuotas de colegiaturas, exámenes, inscripción y recuperación; así como los servicios que ofrece la Institución a otras entidades públicas y privadas.</w:t>
      </w:r>
    </w:p>
    <w:p w:rsidR="009F2E87" w:rsidRDefault="009F2E87" w:rsidP="009F2E87">
      <w:pPr>
        <w:pStyle w:val="ROMANOS"/>
        <w:numPr>
          <w:ilvl w:val="0"/>
          <w:numId w:val="10"/>
        </w:numPr>
        <w:spacing w:after="0" w:line="240" w:lineRule="exact"/>
        <w:rPr>
          <w:rFonts w:ascii="Soberana Sans Light" w:hAnsi="Soberana Sans Light"/>
          <w:sz w:val="22"/>
          <w:szCs w:val="22"/>
          <w:lang w:val="es-MX"/>
        </w:rPr>
      </w:pPr>
      <w:r>
        <w:rPr>
          <w:rFonts w:ascii="Soberana Sans Light" w:hAnsi="Soberana Sans Light"/>
          <w:sz w:val="22"/>
          <w:szCs w:val="22"/>
          <w:lang w:val="es-MX"/>
        </w:rPr>
        <w:t>Los ingresos provenientes del Fondo de Aportaciones Múltiples perteneciente al Ramo XXXI</w:t>
      </w:r>
      <w:r w:rsidR="00EF179A">
        <w:rPr>
          <w:rFonts w:ascii="Soberana Sans Light" w:hAnsi="Soberana Sans Light"/>
          <w:sz w:val="22"/>
          <w:szCs w:val="22"/>
          <w:lang w:val="es-MX"/>
        </w:rPr>
        <w:t>I</w:t>
      </w:r>
      <w:r w:rsidR="00FF23BB">
        <w:rPr>
          <w:rFonts w:ascii="Soberana Sans Light" w:hAnsi="Soberana Sans Light"/>
          <w:sz w:val="22"/>
          <w:szCs w:val="22"/>
          <w:lang w:val="es-MX"/>
        </w:rPr>
        <w:t>I por la cantidad de $17,515,705</w:t>
      </w:r>
      <w:r>
        <w:rPr>
          <w:rFonts w:ascii="Soberana Sans Light" w:hAnsi="Soberana Sans Light"/>
          <w:sz w:val="22"/>
          <w:szCs w:val="22"/>
          <w:lang w:val="es-MX"/>
        </w:rPr>
        <w:t xml:space="preserve"> mismo que representa una parte de los recursos que serán destinados a la construcción y equipamiento de un nuevo edificio docente en la Universidad. Este importe repres</w:t>
      </w:r>
      <w:r w:rsidR="00FF23BB">
        <w:rPr>
          <w:rFonts w:ascii="Soberana Sans Light" w:hAnsi="Soberana Sans Light"/>
          <w:sz w:val="22"/>
          <w:szCs w:val="22"/>
          <w:lang w:val="es-MX"/>
        </w:rPr>
        <w:t>enta la totalidad del importe a radicar el presente ejercicio para este fin.</w:t>
      </w:r>
    </w:p>
    <w:p w:rsidR="009F2E87" w:rsidRDefault="009F2E87" w:rsidP="009F2E87">
      <w:pPr>
        <w:pStyle w:val="ROMANOS"/>
        <w:numPr>
          <w:ilvl w:val="0"/>
          <w:numId w:val="10"/>
        </w:numPr>
        <w:spacing w:after="0" w:line="240" w:lineRule="exact"/>
        <w:rPr>
          <w:rFonts w:ascii="Soberana Sans Light" w:hAnsi="Soberana Sans Light"/>
          <w:sz w:val="22"/>
          <w:szCs w:val="22"/>
          <w:lang w:val="es-MX"/>
        </w:rPr>
      </w:pPr>
      <w:r>
        <w:rPr>
          <w:rFonts w:ascii="Soberana Sans Light" w:hAnsi="Soberana Sans Light"/>
          <w:sz w:val="22"/>
          <w:szCs w:val="22"/>
          <w:lang w:val="es-MX"/>
        </w:rPr>
        <w:t>Los ingresos por concepto de aprovechamientos (interes</w:t>
      </w:r>
      <w:r w:rsidR="00FF23BB">
        <w:rPr>
          <w:rFonts w:ascii="Soberana Sans Light" w:hAnsi="Soberana Sans Light"/>
          <w:sz w:val="22"/>
          <w:szCs w:val="22"/>
          <w:lang w:val="es-MX"/>
        </w:rPr>
        <w:t>es) por la cantidad de $102,357.</w:t>
      </w:r>
    </w:p>
    <w:p w:rsidR="009F2E87" w:rsidRDefault="009F2E87" w:rsidP="009F2E87">
      <w:pPr>
        <w:pStyle w:val="ROMANOS"/>
        <w:spacing w:after="0" w:line="240" w:lineRule="exact"/>
        <w:rPr>
          <w:rFonts w:ascii="Soberana Sans Light" w:hAnsi="Soberana Sans Light"/>
          <w:sz w:val="22"/>
          <w:szCs w:val="22"/>
          <w:lang w:val="es-MX"/>
        </w:rPr>
      </w:pPr>
    </w:p>
    <w:p w:rsidR="009F2E87" w:rsidRDefault="009F2E87" w:rsidP="009F2E87">
      <w:pPr>
        <w:pStyle w:val="ROMANOS"/>
        <w:spacing w:after="0" w:line="240" w:lineRule="exact"/>
        <w:rPr>
          <w:rFonts w:ascii="Soberana Sans Light" w:hAnsi="Soberana Sans Light"/>
          <w:sz w:val="22"/>
          <w:szCs w:val="22"/>
          <w:lang w:val="es-MX"/>
        </w:rPr>
      </w:pPr>
    </w:p>
    <w:tbl>
      <w:tblPr>
        <w:tblW w:w="13843" w:type="dxa"/>
        <w:tblCellMar>
          <w:left w:w="70" w:type="dxa"/>
          <w:right w:w="70" w:type="dxa"/>
        </w:tblCellMar>
        <w:tblLook w:val="04A0" w:firstRow="1" w:lastRow="0" w:firstColumn="1" w:lastColumn="0" w:noHBand="0" w:noVBand="1"/>
      </w:tblPr>
      <w:tblGrid>
        <w:gridCol w:w="146"/>
        <w:gridCol w:w="8637"/>
        <w:gridCol w:w="460"/>
        <w:gridCol w:w="1880"/>
        <w:gridCol w:w="460"/>
        <w:gridCol w:w="2260"/>
      </w:tblGrid>
      <w:tr w:rsidR="009F2E87" w:rsidRPr="002F3091" w:rsidTr="009F2E87">
        <w:trPr>
          <w:trHeight w:val="375"/>
        </w:trPr>
        <w:tc>
          <w:tcPr>
            <w:tcW w:w="8783" w:type="dxa"/>
            <w:gridSpan w:val="2"/>
            <w:vMerge w:val="restart"/>
            <w:tcBorders>
              <w:top w:val="nil"/>
              <w:left w:val="nil"/>
              <w:bottom w:val="nil"/>
              <w:right w:val="nil"/>
            </w:tcBorders>
            <w:vAlign w:val="center"/>
            <w:hideMark/>
          </w:tcPr>
          <w:p w:rsidR="009F2E87" w:rsidRDefault="009F2E87" w:rsidP="009F2E87">
            <w:pPr>
              <w:spacing w:after="0" w:line="240" w:lineRule="auto"/>
              <w:rPr>
                <w:rFonts w:ascii="Arial" w:eastAsia="Times New Roman" w:hAnsi="Arial" w:cs="Arial"/>
                <w:b/>
                <w:bCs/>
                <w:color w:val="FFFFFF"/>
                <w:lang w:eastAsia="es-MX"/>
              </w:rPr>
            </w:pPr>
          </w:p>
          <w:p w:rsidR="009F2E87" w:rsidRDefault="009F2E87" w:rsidP="009F2E87">
            <w:pPr>
              <w:spacing w:after="0" w:line="240" w:lineRule="auto"/>
              <w:rPr>
                <w:rFonts w:ascii="Arial" w:eastAsia="Times New Roman" w:hAnsi="Arial" w:cs="Arial"/>
                <w:b/>
                <w:bCs/>
                <w:color w:val="FFFFFF"/>
                <w:lang w:eastAsia="es-MX"/>
              </w:rPr>
            </w:pPr>
          </w:p>
          <w:p w:rsidR="00F90746" w:rsidRDefault="00F90746" w:rsidP="009F2E87">
            <w:pPr>
              <w:spacing w:after="0" w:line="240" w:lineRule="auto"/>
              <w:rPr>
                <w:rFonts w:ascii="Arial" w:eastAsia="Times New Roman" w:hAnsi="Arial" w:cs="Arial"/>
                <w:b/>
                <w:bCs/>
                <w:color w:val="FFFFFF"/>
                <w:lang w:eastAsia="es-MX"/>
              </w:rPr>
            </w:pPr>
          </w:p>
          <w:p w:rsidR="009F2E87" w:rsidRPr="002F3091" w:rsidRDefault="009F2E87" w:rsidP="009F2E87">
            <w:pPr>
              <w:spacing w:after="0" w:line="240" w:lineRule="auto"/>
              <w:rPr>
                <w:rFonts w:ascii="Arial" w:eastAsia="Times New Roman" w:hAnsi="Arial" w:cs="Arial"/>
                <w:b/>
                <w:bCs/>
                <w:color w:val="FFFFFF"/>
                <w:lang w:eastAsia="es-MX"/>
              </w:rPr>
            </w:pPr>
          </w:p>
        </w:tc>
        <w:tc>
          <w:tcPr>
            <w:tcW w:w="460"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jc w:val="center"/>
              <w:rPr>
                <w:rFonts w:ascii="Arial" w:eastAsia="Times New Roman" w:hAnsi="Arial" w:cs="Arial"/>
                <w:b/>
                <w:bCs/>
                <w:color w:val="FFFFFF"/>
                <w:lang w:eastAsia="es-MX"/>
              </w:rPr>
            </w:pPr>
          </w:p>
        </w:tc>
        <w:tc>
          <w:tcPr>
            <w:tcW w:w="1880" w:type="dxa"/>
            <w:vMerge w:val="restart"/>
            <w:tcBorders>
              <w:top w:val="nil"/>
              <w:left w:val="nil"/>
              <w:bottom w:val="nil"/>
              <w:right w:val="nil"/>
            </w:tcBorders>
            <w:vAlign w:val="center"/>
            <w:hideMark/>
          </w:tcPr>
          <w:p w:rsidR="009F2E87" w:rsidRPr="002F3091" w:rsidRDefault="009F2E87" w:rsidP="009F2E87">
            <w:pPr>
              <w:spacing w:after="0" w:line="240" w:lineRule="auto"/>
              <w:rPr>
                <w:rFonts w:ascii="Arial" w:eastAsia="Times New Roman" w:hAnsi="Arial" w:cs="Arial"/>
                <w:b/>
                <w:bCs/>
                <w:color w:val="FFFFFF"/>
                <w:lang w:eastAsia="es-MX"/>
              </w:rPr>
            </w:pPr>
          </w:p>
        </w:tc>
        <w:tc>
          <w:tcPr>
            <w:tcW w:w="460"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rPr>
                <w:rFonts w:ascii="Times New Roman" w:eastAsia="Times New Roman" w:hAnsi="Times New Roman" w:cs="Times New Roman"/>
                <w:lang w:eastAsia="es-MX"/>
              </w:rPr>
            </w:pPr>
          </w:p>
        </w:tc>
        <w:tc>
          <w:tcPr>
            <w:tcW w:w="2260" w:type="dxa"/>
            <w:vMerge w:val="restart"/>
            <w:tcBorders>
              <w:top w:val="nil"/>
              <w:left w:val="nil"/>
              <w:bottom w:val="nil"/>
              <w:right w:val="nil"/>
            </w:tcBorders>
            <w:vAlign w:val="center"/>
            <w:hideMark/>
          </w:tcPr>
          <w:p w:rsidR="009F2E87" w:rsidRPr="002F3091" w:rsidRDefault="009F2E87" w:rsidP="009F2E87">
            <w:pPr>
              <w:spacing w:after="0" w:line="240" w:lineRule="auto"/>
              <w:rPr>
                <w:rFonts w:ascii="Arial" w:eastAsia="Times New Roman" w:hAnsi="Arial" w:cs="Arial"/>
                <w:b/>
                <w:bCs/>
                <w:color w:val="FFFFFF"/>
                <w:lang w:eastAsia="es-MX"/>
              </w:rPr>
            </w:pPr>
          </w:p>
        </w:tc>
      </w:tr>
      <w:tr w:rsidR="009F2E87" w:rsidRPr="002F3091" w:rsidTr="009F2E87">
        <w:trPr>
          <w:trHeight w:val="375"/>
        </w:trPr>
        <w:tc>
          <w:tcPr>
            <w:tcW w:w="8783" w:type="dxa"/>
            <w:gridSpan w:val="2"/>
            <w:vMerge/>
            <w:tcBorders>
              <w:top w:val="nil"/>
              <w:left w:val="nil"/>
              <w:bottom w:val="nil"/>
              <w:right w:val="nil"/>
            </w:tcBorders>
            <w:vAlign w:val="center"/>
            <w:hideMark/>
          </w:tcPr>
          <w:p w:rsidR="009F2E87" w:rsidRPr="002F3091" w:rsidRDefault="009F2E87" w:rsidP="009F2E87">
            <w:pPr>
              <w:spacing w:after="0" w:line="240" w:lineRule="auto"/>
              <w:rPr>
                <w:rFonts w:ascii="Arial" w:eastAsia="Times New Roman" w:hAnsi="Arial" w:cs="Arial"/>
                <w:b/>
                <w:bCs/>
                <w:color w:val="FFFFFF"/>
                <w:lang w:eastAsia="es-MX"/>
              </w:rPr>
            </w:pPr>
          </w:p>
        </w:tc>
        <w:tc>
          <w:tcPr>
            <w:tcW w:w="460"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rPr>
                <w:rFonts w:ascii="Times New Roman" w:eastAsia="Times New Roman" w:hAnsi="Times New Roman" w:cs="Times New Roman"/>
                <w:lang w:eastAsia="es-MX"/>
              </w:rPr>
            </w:pPr>
          </w:p>
        </w:tc>
        <w:tc>
          <w:tcPr>
            <w:tcW w:w="1880" w:type="dxa"/>
            <w:vMerge/>
            <w:tcBorders>
              <w:top w:val="nil"/>
              <w:left w:val="nil"/>
              <w:bottom w:val="nil"/>
              <w:right w:val="nil"/>
            </w:tcBorders>
            <w:vAlign w:val="center"/>
            <w:hideMark/>
          </w:tcPr>
          <w:p w:rsidR="009F2E87" w:rsidRPr="002F3091" w:rsidRDefault="009F2E87" w:rsidP="009F2E87">
            <w:pPr>
              <w:spacing w:after="0" w:line="240" w:lineRule="auto"/>
              <w:rPr>
                <w:rFonts w:ascii="Arial" w:eastAsia="Times New Roman" w:hAnsi="Arial" w:cs="Arial"/>
                <w:b/>
                <w:bCs/>
                <w:color w:val="FFFFFF"/>
                <w:lang w:eastAsia="es-MX"/>
              </w:rPr>
            </w:pPr>
          </w:p>
        </w:tc>
        <w:tc>
          <w:tcPr>
            <w:tcW w:w="460"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rPr>
                <w:rFonts w:ascii="Times New Roman" w:eastAsia="Times New Roman" w:hAnsi="Times New Roman" w:cs="Times New Roman"/>
                <w:lang w:eastAsia="es-MX"/>
              </w:rPr>
            </w:pPr>
          </w:p>
        </w:tc>
        <w:tc>
          <w:tcPr>
            <w:tcW w:w="2260" w:type="dxa"/>
            <w:vMerge/>
            <w:tcBorders>
              <w:top w:val="nil"/>
              <w:left w:val="nil"/>
              <w:bottom w:val="nil"/>
              <w:right w:val="nil"/>
            </w:tcBorders>
            <w:vAlign w:val="center"/>
            <w:hideMark/>
          </w:tcPr>
          <w:p w:rsidR="009F2E87" w:rsidRPr="002F3091" w:rsidRDefault="009F2E87" w:rsidP="009F2E87">
            <w:pPr>
              <w:spacing w:after="0" w:line="240" w:lineRule="auto"/>
              <w:rPr>
                <w:rFonts w:ascii="Arial" w:eastAsia="Times New Roman" w:hAnsi="Arial" w:cs="Arial"/>
                <w:b/>
                <w:bCs/>
                <w:color w:val="FFFFFF"/>
                <w:lang w:eastAsia="es-MX"/>
              </w:rPr>
            </w:pPr>
          </w:p>
        </w:tc>
      </w:tr>
      <w:tr w:rsidR="009F2E87" w:rsidRPr="002F3091" w:rsidTr="009F2E87">
        <w:trPr>
          <w:trHeight w:val="375"/>
        </w:trPr>
        <w:tc>
          <w:tcPr>
            <w:tcW w:w="146" w:type="dxa"/>
            <w:tcBorders>
              <w:top w:val="nil"/>
              <w:left w:val="nil"/>
              <w:bottom w:val="nil"/>
            </w:tcBorders>
            <w:shd w:val="clear" w:color="auto" w:fill="auto"/>
            <w:noWrap/>
            <w:vAlign w:val="bottom"/>
            <w:hideMark/>
          </w:tcPr>
          <w:p w:rsidR="009F2E87" w:rsidRPr="002F3091" w:rsidRDefault="009F2E87" w:rsidP="009F2E87">
            <w:pPr>
              <w:spacing w:after="0" w:line="240" w:lineRule="auto"/>
              <w:rPr>
                <w:rFonts w:ascii="Times New Roman" w:eastAsia="Times New Roman" w:hAnsi="Times New Roman" w:cs="Times New Roman"/>
                <w:lang w:eastAsia="es-MX"/>
              </w:rPr>
            </w:pPr>
          </w:p>
        </w:tc>
        <w:tc>
          <w:tcPr>
            <w:tcW w:w="8637" w:type="dxa"/>
            <w:tcBorders>
              <w:bottom w:val="single" w:sz="4" w:space="0" w:color="auto"/>
            </w:tcBorders>
            <w:shd w:val="clear" w:color="auto" w:fill="auto"/>
            <w:noWrap/>
            <w:vAlign w:val="center"/>
            <w:hideMark/>
          </w:tcPr>
          <w:p w:rsidR="009F2E87" w:rsidRPr="002F3091" w:rsidRDefault="009F2E87" w:rsidP="009F2E87">
            <w:pPr>
              <w:spacing w:after="0" w:line="240" w:lineRule="auto"/>
              <w:jc w:val="center"/>
              <w:rPr>
                <w:rFonts w:ascii="Soberana Sans Light" w:eastAsia="Times New Roman" w:hAnsi="Soberana Sans Light" w:cs="Arial"/>
                <w:b/>
                <w:color w:val="000000" w:themeColor="text1"/>
                <w:lang w:eastAsia="es-ES"/>
              </w:rPr>
            </w:pPr>
            <w:r w:rsidRPr="002F3091">
              <w:rPr>
                <w:rFonts w:ascii="Soberana Sans Light" w:eastAsia="Times New Roman" w:hAnsi="Soberana Sans Light" w:cs="Arial"/>
                <w:b/>
                <w:color w:val="000000" w:themeColor="text1"/>
                <w:lang w:eastAsia="es-ES"/>
              </w:rPr>
              <w:t>DESCRIPCIÓN</w:t>
            </w:r>
          </w:p>
        </w:tc>
        <w:tc>
          <w:tcPr>
            <w:tcW w:w="460" w:type="dxa"/>
            <w:tcBorders>
              <w:bottom w:val="single" w:sz="4" w:space="0" w:color="auto"/>
            </w:tcBorders>
            <w:shd w:val="clear" w:color="auto" w:fill="auto"/>
            <w:noWrap/>
            <w:vAlign w:val="bottom"/>
            <w:hideMark/>
          </w:tcPr>
          <w:p w:rsidR="009F2E87" w:rsidRPr="002F3091" w:rsidRDefault="009F2E87" w:rsidP="009F2E87">
            <w:pPr>
              <w:spacing w:after="0" w:line="240" w:lineRule="auto"/>
              <w:jc w:val="center"/>
              <w:rPr>
                <w:rFonts w:ascii="Soberana Sans Light" w:eastAsia="Times New Roman" w:hAnsi="Soberana Sans Light" w:cs="Arial"/>
                <w:b/>
                <w:color w:val="FFFFFF" w:themeColor="background1"/>
                <w:lang w:eastAsia="es-ES"/>
              </w:rPr>
            </w:pPr>
          </w:p>
        </w:tc>
        <w:tc>
          <w:tcPr>
            <w:tcW w:w="1880" w:type="dxa"/>
            <w:tcBorders>
              <w:bottom w:val="single" w:sz="4" w:space="0" w:color="auto"/>
            </w:tcBorders>
            <w:shd w:val="clear" w:color="auto" w:fill="auto"/>
            <w:noWrap/>
            <w:vAlign w:val="center"/>
            <w:hideMark/>
          </w:tcPr>
          <w:p w:rsidR="009F2E87" w:rsidRPr="002F3091" w:rsidRDefault="009F2E87" w:rsidP="009F2E87">
            <w:pPr>
              <w:spacing w:after="0" w:line="240" w:lineRule="auto"/>
              <w:jc w:val="center"/>
              <w:rPr>
                <w:rFonts w:ascii="Soberana Sans Light" w:eastAsia="Times New Roman" w:hAnsi="Soberana Sans Light" w:cs="Arial"/>
                <w:b/>
                <w:color w:val="FFFFFF" w:themeColor="background1"/>
                <w:lang w:eastAsia="es-ES"/>
              </w:rPr>
            </w:pPr>
          </w:p>
        </w:tc>
        <w:tc>
          <w:tcPr>
            <w:tcW w:w="460" w:type="dxa"/>
            <w:tcBorders>
              <w:bottom w:val="single" w:sz="4" w:space="0" w:color="auto"/>
            </w:tcBorders>
            <w:shd w:val="clear" w:color="auto" w:fill="auto"/>
            <w:noWrap/>
            <w:vAlign w:val="bottom"/>
            <w:hideMark/>
          </w:tcPr>
          <w:p w:rsidR="009F2E87" w:rsidRPr="002F3091" w:rsidRDefault="009F2E87" w:rsidP="009F2E87">
            <w:pPr>
              <w:spacing w:after="0" w:line="240" w:lineRule="auto"/>
              <w:jc w:val="center"/>
              <w:rPr>
                <w:rFonts w:ascii="Soberana Sans Light" w:eastAsia="Times New Roman" w:hAnsi="Soberana Sans Light" w:cs="Arial"/>
                <w:b/>
                <w:color w:val="FFFFFF" w:themeColor="background1"/>
                <w:lang w:eastAsia="es-ES"/>
              </w:rPr>
            </w:pPr>
          </w:p>
        </w:tc>
        <w:tc>
          <w:tcPr>
            <w:tcW w:w="2260" w:type="dxa"/>
            <w:tcBorders>
              <w:bottom w:val="single" w:sz="4" w:space="0" w:color="auto"/>
            </w:tcBorders>
            <w:shd w:val="clear" w:color="auto" w:fill="auto"/>
            <w:noWrap/>
            <w:vAlign w:val="center"/>
            <w:hideMark/>
          </w:tcPr>
          <w:p w:rsidR="009F2E87" w:rsidRPr="002F3091" w:rsidRDefault="009F2E87" w:rsidP="009F2E87">
            <w:pPr>
              <w:spacing w:after="0" w:line="240" w:lineRule="auto"/>
              <w:jc w:val="right"/>
              <w:rPr>
                <w:rFonts w:ascii="Soberana Sans Light" w:eastAsia="Times New Roman" w:hAnsi="Soberana Sans Light" w:cs="Arial"/>
                <w:b/>
                <w:color w:val="FFFFFF" w:themeColor="background1"/>
                <w:lang w:eastAsia="es-ES"/>
              </w:rPr>
            </w:pPr>
            <w:r w:rsidRPr="002F3091">
              <w:rPr>
                <w:rFonts w:ascii="Soberana Sans Light" w:eastAsia="Times New Roman" w:hAnsi="Soberana Sans Light" w:cs="Arial"/>
                <w:b/>
                <w:color w:val="000000" w:themeColor="text1"/>
                <w:lang w:eastAsia="es-ES"/>
              </w:rPr>
              <w:t>IMPORTE</w:t>
            </w:r>
          </w:p>
        </w:tc>
      </w:tr>
      <w:tr w:rsidR="009F2E87" w:rsidRPr="002F3091" w:rsidTr="009F2E87">
        <w:trPr>
          <w:trHeight w:val="375"/>
        </w:trPr>
        <w:tc>
          <w:tcPr>
            <w:tcW w:w="8783" w:type="dxa"/>
            <w:gridSpan w:val="2"/>
            <w:tcBorders>
              <w:top w:val="single" w:sz="4" w:space="0" w:color="auto"/>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r w:rsidRPr="002F3091">
              <w:rPr>
                <w:rFonts w:ascii="Soberana Sans Light" w:eastAsia="Times New Roman" w:hAnsi="Soberana Sans Light" w:cs="Arial"/>
                <w:lang w:eastAsia="es-ES"/>
              </w:rPr>
              <w:t>PARTICIPACIONES</w:t>
            </w:r>
          </w:p>
        </w:tc>
        <w:tc>
          <w:tcPr>
            <w:tcW w:w="460" w:type="dxa"/>
            <w:tcBorders>
              <w:top w:val="single" w:sz="4" w:space="0" w:color="auto"/>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1880" w:type="dxa"/>
            <w:tcBorders>
              <w:top w:val="single" w:sz="4" w:space="0" w:color="auto"/>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460" w:type="dxa"/>
            <w:tcBorders>
              <w:top w:val="single" w:sz="4" w:space="0" w:color="auto"/>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2260" w:type="dxa"/>
            <w:tcBorders>
              <w:top w:val="single" w:sz="4" w:space="0" w:color="auto"/>
              <w:left w:val="nil"/>
              <w:bottom w:val="nil"/>
              <w:right w:val="nil"/>
            </w:tcBorders>
            <w:shd w:val="clear" w:color="auto" w:fill="auto"/>
            <w:noWrap/>
            <w:vAlign w:val="bottom"/>
            <w:hideMark/>
          </w:tcPr>
          <w:p w:rsidR="009F2E87" w:rsidRPr="002F3091" w:rsidRDefault="0048568B" w:rsidP="009F2E87">
            <w:pPr>
              <w:spacing w:after="0" w:line="240" w:lineRule="auto"/>
              <w:jc w:val="right"/>
              <w:rPr>
                <w:rFonts w:ascii="Soberana Sans Light" w:eastAsia="Times New Roman" w:hAnsi="Soberana Sans Light" w:cs="Arial"/>
                <w:lang w:eastAsia="es-ES"/>
              </w:rPr>
            </w:pPr>
            <w:r>
              <w:rPr>
                <w:rFonts w:ascii="Soberana Sans Light" w:eastAsia="Times New Roman" w:hAnsi="Soberana Sans Light" w:cs="Arial"/>
                <w:lang w:eastAsia="es-ES"/>
              </w:rPr>
              <w:t>13,883,10</w:t>
            </w:r>
            <w:r w:rsidR="00F90746">
              <w:rPr>
                <w:rFonts w:ascii="Soberana Sans Light" w:eastAsia="Times New Roman" w:hAnsi="Soberana Sans Light" w:cs="Arial"/>
                <w:lang w:eastAsia="es-ES"/>
              </w:rPr>
              <w:t>4</w:t>
            </w:r>
          </w:p>
        </w:tc>
      </w:tr>
      <w:tr w:rsidR="009F2E87" w:rsidRPr="002F3091" w:rsidTr="009F2E87">
        <w:trPr>
          <w:trHeight w:val="375"/>
        </w:trPr>
        <w:tc>
          <w:tcPr>
            <w:tcW w:w="146"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jc w:val="right"/>
              <w:rPr>
                <w:rFonts w:ascii="Soberana Sans Light" w:eastAsia="Times New Roman" w:hAnsi="Soberana Sans Light" w:cs="Arial"/>
                <w:lang w:eastAsia="es-ES"/>
              </w:rPr>
            </w:pPr>
          </w:p>
        </w:tc>
        <w:tc>
          <w:tcPr>
            <w:tcW w:w="8637"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460"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1880"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460"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2260"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jc w:val="right"/>
              <w:rPr>
                <w:rFonts w:ascii="Soberana Sans Light" w:eastAsia="Times New Roman" w:hAnsi="Soberana Sans Light" w:cs="Arial"/>
                <w:lang w:eastAsia="es-ES"/>
              </w:rPr>
            </w:pPr>
          </w:p>
        </w:tc>
      </w:tr>
      <w:tr w:rsidR="009F2E87" w:rsidRPr="002F3091" w:rsidTr="009F2E87">
        <w:trPr>
          <w:trHeight w:val="375"/>
        </w:trPr>
        <w:tc>
          <w:tcPr>
            <w:tcW w:w="8783" w:type="dxa"/>
            <w:gridSpan w:val="2"/>
            <w:tcBorders>
              <w:top w:val="nil"/>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r w:rsidRPr="002F3091">
              <w:rPr>
                <w:rFonts w:ascii="Soberana Sans Light" w:eastAsia="Times New Roman" w:hAnsi="Soberana Sans Light" w:cs="Arial"/>
                <w:lang w:eastAsia="es-ES"/>
              </w:rPr>
              <w:t>CONVENIOS</w:t>
            </w:r>
          </w:p>
        </w:tc>
        <w:tc>
          <w:tcPr>
            <w:tcW w:w="460"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1880"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460"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2260" w:type="dxa"/>
            <w:tcBorders>
              <w:top w:val="nil"/>
              <w:left w:val="nil"/>
              <w:bottom w:val="nil"/>
              <w:right w:val="nil"/>
            </w:tcBorders>
            <w:shd w:val="clear" w:color="auto" w:fill="auto"/>
            <w:noWrap/>
            <w:vAlign w:val="bottom"/>
            <w:hideMark/>
          </w:tcPr>
          <w:p w:rsidR="009F2E87" w:rsidRPr="002F3091" w:rsidRDefault="0048568B" w:rsidP="009F2E87">
            <w:pPr>
              <w:spacing w:after="0" w:line="240" w:lineRule="auto"/>
              <w:jc w:val="right"/>
              <w:rPr>
                <w:rFonts w:ascii="Soberana Sans Light" w:eastAsia="Times New Roman" w:hAnsi="Soberana Sans Light" w:cs="Arial"/>
                <w:lang w:eastAsia="es-ES"/>
              </w:rPr>
            </w:pPr>
            <w:r>
              <w:rPr>
                <w:rFonts w:ascii="Soberana Sans Light" w:eastAsia="Times New Roman" w:hAnsi="Soberana Sans Light" w:cs="Arial"/>
                <w:lang w:eastAsia="es-ES"/>
              </w:rPr>
              <w:t>29,909,873</w:t>
            </w:r>
            <w:r w:rsidR="009F2E87" w:rsidRPr="002F3091">
              <w:rPr>
                <w:rFonts w:ascii="Soberana Sans Light" w:eastAsia="Times New Roman" w:hAnsi="Soberana Sans Light" w:cs="Arial"/>
                <w:lang w:eastAsia="es-ES"/>
              </w:rPr>
              <w:t xml:space="preserve"> </w:t>
            </w:r>
          </w:p>
        </w:tc>
      </w:tr>
      <w:tr w:rsidR="009F2E87" w:rsidRPr="002F3091" w:rsidTr="009F2E87">
        <w:trPr>
          <w:trHeight w:val="375"/>
        </w:trPr>
        <w:tc>
          <w:tcPr>
            <w:tcW w:w="146"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jc w:val="right"/>
              <w:rPr>
                <w:rFonts w:ascii="Soberana Sans Light" w:eastAsia="Times New Roman" w:hAnsi="Soberana Sans Light" w:cs="Arial"/>
                <w:lang w:eastAsia="es-ES"/>
              </w:rPr>
            </w:pPr>
          </w:p>
        </w:tc>
        <w:tc>
          <w:tcPr>
            <w:tcW w:w="8637"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460"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1880"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460"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2260"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jc w:val="right"/>
              <w:rPr>
                <w:rFonts w:ascii="Soberana Sans Light" w:eastAsia="Times New Roman" w:hAnsi="Soberana Sans Light" w:cs="Arial"/>
                <w:lang w:eastAsia="es-ES"/>
              </w:rPr>
            </w:pPr>
          </w:p>
        </w:tc>
      </w:tr>
      <w:tr w:rsidR="009F2E87" w:rsidRPr="002F3091" w:rsidTr="009F2E87">
        <w:trPr>
          <w:trHeight w:val="510"/>
        </w:trPr>
        <w:tc>
          <w:tcPr>
            <w:tcW w:w="146"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8637" w:type="dxa"/>
            <w:tcBorders>
              <w:top w:val="nil"/>
              <w:left w:val="nil"/>
              <w:bottom w:val="nil"/>
              <w:right w:val="nil"/>
            </w:tcBorders>
            <w:shd w:val="clear" w:color="auto" w:fill="auto"/>
            <w:vAlign w:val="bottom"/>
            <w:hideMark/>
          </w:tcPr>
          <w:p w:rsidR="009F2E87" w:rsidRPr="002F3091" w:rsidRDefault="009F2E87" w:rsidP="009F2E87">
            <w:pPr>
              <w:spacing w:after="0" w:line="240" w:lineRule="auto"/>
              <w:jc w:val="both"/>
              <w:rPr>
                <w:rFonts w:ascii="Soberana Sans Light" w:eastAsia="Times New Roman" w:hAnsi="Soberana Sans Light" w:cs="Arial"/>
                <w:lang w:eastAsia="es-ES"/>
              </w:rPr>
            </w:pPr>
            <w:r w:rsidRPr="002F3091">
              <w:rPr>
                <w:rFonts w:ascii="Soberana Sans Light" w:eastAsia="Times New Roman" w:hAnsi="Soberana Sans Light" w:cs="Arial"/>
                <w:lang w:eastAsia="es-ES"/>
              </w:rPr>
              <w:t>SUBSIDIO FEDERAL GASTOS DE OPERACIÓN (COORDINACION GENERAL DE UNIVERSIDADES TECNOLÓGICAS Y POLITÉCNICAS)</w:t>
            </w:r>
          </w:p>
        </w:tc>
        <w:tc>
          <w:tcPr>
            <w:tcW w:w="460" w:type="dxa"/>
            <w:tcBorders>
              <w:top w:val="nil"/>
              <w:left w:val="nil"/>
              <w:bottom w:val="nil"/>
              <w:right w:val="nil"/>
            </w:tcBorders>
            <w:shd w:val="clear" w:color="auto" w:fill="auto"/>
            <w:noWrap/>
            <w:vAlign w:val="bottom"/>
            <w:hideMark/>
          </w:tcPr>
          <w:p w:rsidR="009F2E87" w:rsidRPr="002F3091" w:rsidRDefault="009F2E87" w:rsidP="00F90746">
            <w:pPr>
              <w:spacing w:after="0" w:line="240" w:lineRule="auto"/>
              <w:jc w:val="right"/>
              <w:rPr>
                <w:rFonts w:ascii="Soberana Sans Light" w:eastAsia="Times New Roman" w:hAnsi="Soberana Sans Light" w:cs="Arial"/>
                <w:lang w:eastAsia="es-ES"/>
              </w:rPr>
            </w:pPr>
          </w:p>
        </w:tc>
        <w:tc>
          <w:tcPr>
            <w:tcW w:w="1880" w:type="dxa"/>
            <w:tcBorders>
              <w:top w:val="nil"/>
              <w:left w:val="nil"/>
              <w:bottom w:val="nil"/>
              <w:right w:val="nil"/>
            </w:tcBorders>
            <w:shd w:val="clear" w:color="auto" w:fill="auto"/>
            <w:noWrap/>
            <w:vAlign w:val="bottom"/>
            <w:hideMark/>
          </w:tcPr>
          <w:p w:rsidR="009F2E87" w:rsidRPr="002F3091" w:rsidRDefault="007113F3" w:rsidP="00F90746">
            <w:pPr>
              <w:spacing w:after="0" w:line="240" w:lineRule="auto"/>
              <w:jc w:val="right"/>
              <w:rPr>
                <w:rFonts w:ascii="Soberana Sans Light" w:eastAsia="Times New Roman" w:hAnsi="Soberana Sans Light" w:cs="Arial"/>
                <w:lang w:eastAsia="es-ES"/>
              </w:rPr>
            </w:pPr>
            <w:r>
              <w:rPr>
                <w:rFonts w:ascii="Soberana Sans Light" w:eastAsia="Times New Roman" w:hAnsi="Soberana Sans Light" w:cs="Arial"/>
                <w:lang w:eastAsia="es-ES"/>
              </w:rPr>
              <w:t>22,300,018</w:t>
            </w:r>
            <w:r w:rsidR="009F2E87" w:rsidRPr="002F3091">
              <w:rPr>
                <w:rFonts w:ascii="Soberana Sans Light" w:eastAsia="Times New Roman" w:hAnsi="Soberana Sans Light" w:cs="Arial"/>
                <w:lang w:eastAsia="es-ES"/>
              </w:rPr>
              <w:t xml:space="preserve"> </w:t>
            </w:r>
          </w:p>
        </w:tc>
        <w:tc>
          <w:tcPr>
            <w:tcW w:w="460"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2260"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jc w:val="right"/>
              <w:rPr>
                <w:rFonts w:ascii="Soberana Sans Light" w:eastAsia="Times New Roman" w:hAnsi="Soberana Sans Light" w:cs="Arial"/>
                <w:lang w:eastAsia="es-ES"/>
              </w:rPr>
            </w:pPr>
          </w:p>
        </w:tc>
      </w:tr>
      <w:tr w:rsidR="007113F3" w:rsidRPr="002F3091" w:rsidTr="009F2E87">
        <w:trPr>
          <w:trHeight w:val="510"/>
        </w:trPr>
        <w:tc>
          <w:tcPr>
            <w:tcW w:w="146" w:type="dxa"/>
            <w:tcBorders>
              <w:top w:val="nil"/>
              <w:left w:val="nil"/>
              <w:bottom w:val="nil"/>
              <w:right w:val="nil"/>
            </w:tcBorders>
            <w:shd w:val="clear" w:color="auto" w:fill="auto"/>
            <w:noWrap/>
            <w:vAlign w:val="bottom"/>
          </w:tcPr>
          <w:p w:rsidR="007113F3" w:rsidRPr="002F3091" w:rsidRDefault="007113F3" w:rsidP="009F2E87">
            <w:pPr>
              <w:spacing w:after="0" w:line="240" w:lineRule="auto"/>
              <w:rPr>
                <w:rFonts w:ascii="Soberana Sans Light" w:eastAsia="Times New Roman" w:hAnsi="Soberana Sans Light" w:cs="Arial"/>
                <w:lang w:eastAsia="es-ES"/>
              </w:rPr>
            </w:pPr>
          </w:p>
        </w:tc>
        <w:tc>
          <w:tcPr>
            <w:tcW w:w="8637" w:type="dxa"/>
            <w:tcBorders>
              <w:top w:val="nil"/>
              <w:left w:val="nil"/>
              <w:bottom w:val="nil"/>
              <w:right w:val="nil"/>
            </w:tcBorders>
            <w:shd w:val="clear" w:color="auto" w:fill="auto"/>
            <w:vAlign w:val="bottom"/>
          </w:tcPr>
          <w:p w:rsidR="007113F3" w:rsidRPr="002F3091" w:rsidRDefault="007113F3" w:rsidP="009F2E87">
            <w:pPr>
              <w:spacing w:after="0" w:line="240" w:lineRule="auto"/>
              <w:jc w:val="both"/>
              <w:rPr>
                <w:rFonts w:ascii="Soberana Sans Light" w:eastAsia="Times New Roman" w:hAnsi="Soberana Sans Light" w:cs="Arial"/>
                <w:lang w:eastAsia="es-ES"/>
              </w:rPr>
            </w:pPr>
            <w:r>
              <w:rPr>
                <w:rFonts w:ascii="Soberana Sans Light" w:eastAsia="Times New Roman" w:hAnsi="Soberana Sans Light" w:cs="Arial"/>
                <w:lang w:eastAsia="es-ES"/>
              </w:rPr>
              <w:t>CONVENIO DE APOYO DE SECRETARÍA DE DESARROLLO SOCIAL, PROGRAMA DE CRUZADA NACIONAL CONTRA EL HAMBRE</w:t>
            </w:r>
          </w:p>
        </w:tc>
        <w:tc>
          <w:tcPr>
            <w:tcW w:w="460" w:type="dxa"/>
            <w:tcBorders>
              <w:top w:val="nil"/>
              <w:left w:val="nil"/>
              <w:bottom w:val="nil"/>
              <w:right w:val="nil"/>
            </w:tcBorders>
            <w:shd w:val="clear" w:color="auto" w:fill="auto"/>
            <w:noWrap/>
            <w:vAlign w:val="bottom"/>
          </w:tcPr>
          <w:p w:rsidR="007113F3" w:rsidRPr="002F3091" w:rsidRDefault="007113F3" w:rsidP="00F90746">
            <w:pPr>
              <w:spacing w:after="0" w:line="240" w:lineRule="auto"/>
              <w:jc w:val="right"/>
              <w:rPr>
                <w:rFonts w:ascii="Soberana Sans Light" w:eastAsia="Times New Roman" w:hAnsi="Soberana Sans Light" w:cs="Arial"/>
                <w:lang w:eastAsia="es-ES"/>
              </w:rPr>
            </w:pPr>
          </w:p>
        </w:tc>
        <w:tc>
          <w:tcPr>
            <w:tcW w:w="1880" w:type="dxa"/>
            <w:tcBorders>
              <w:top w:val="nil"/>
              <w:left w:val="nil"/>
              <w:bottom w:val="nil"/>
              <w:right w:val="nil"/>
            </w:tcBorders>
            <w:shd w:val="clear" w:color="auto" w:fill="auto"/>
            <w:noWrap/>
            <w:vAlign w:val="bottom"/>
          </w:tcPr>
          <w:p w:rsidR="007113F3" w:rsidRDefault="007113F3" w:rsidP="00F90746">
            <w:pPr>
              <w:spacing w:after="0" w:line="240" w:lineRule="auto"/>
              <w:jc w:val="right"/>
              <w:rPr>
                <w:rFonts w:ascii="Soberana Sans Light" w:eastAsia="Times New Roman" w:hAnsi="Soberana Sans Light" w:cs="Arial"/>
                <w:lang w:eastAsia="es-ES"/>
              </w:rPr>
            </w:pPr>
            <w:r>
              <w:rPr>
                <w:rFonts w:ascii="Soberana Sans Light" w:eastAsia="Times New Roman" w:hAnsi="Soberana Sans Light" w:cs="Arial"/>
                <w:lang w:eastAsia="es-ES"/>
              </w:rPr>
              <w:t>2,040,500</w:t>
            </w:r>
          </w:p>
        </w:tc>
        <w:tc>
          <w:tcPr>
            <w:tcW w:w="460" w:type="dxa"/>
            <w:tcBorders>
              <w:top w:val="nil"/>
              <w:left w:val="nil"/>
              <w:bottom w:val="nil"/>
              <w:right w:val="nil"/>
            </w:tcBorders>
            <w:shd w:val="clear" w:color="auto" w:fill="auto"/>
            <w:noWrap/>
            <w:vAlign w:val="bottom"/>
          </w:tcPr>
          <w:p w:rsidR="007113F3" w:rsidRPr="002F3091" w:rsidRDefault="007113F3" w:rsidP="009F2E87">
            <w:pPr>
              <w:spacing w:after="0" w:line="240" w:lineRule="auto"/>
              <w:rPr>
                <w:rFonts w:ascii="Soberana Sans Light" w:eastAsia="Times New Roman" w:hAnsi="Soberana Sans Light" w:cs="Arial"/>
                <w:lang w:eastAsia="es-ES"/>
              </w:rPr>
            </w:pPr>
          </w:p>
        </w:tc>
        <w:tc>
          <w:tcPr>
            <w:tcW w:w="2260" w:type="dxa"/>
            <w:tcBorders>
              <w:top w:val="nil"/>
              <w:left w:val="nil"/>
              <w:bottom w:val="nil"/>
              <w:right w:val="nil"/>
            </w:tcBorders>
            <w:shd w:val="clear" w:color="auto" w:fill="auto"/>
            <w:noWrap/>
            <w:vAlign w:val="bottom"/>
          </w:tcPr>
          <w:p w:rsidR="007113F3" w:rsidRPr="002F3091" w:rsidRDefault="007113F3" w:rsidP="009F2E87">
            <w:pPr>
              <w:spacing w:after="0" w:line="240" w:lineRule="auto"/>
              <w:jc w:val="right"/>
              <w:rPr>
                <w:rFonts w:ascii="Soberana Sans Light" w:eastAsia="Times New Roman" w:hAnsi="Soberana Sans Light" w:cs="Arial"/>
                <w:lang w:eastAsia="es-ES"/>
              </w:rPr>
            </w:pPr>
          </w:p>
        </w:tc>
      </w:tr>
      <w:tr w:rsidR="00F90746" w:rsidRPr="002F3091" w:rsidTr="009F2E87">
        <w:trPr>
          <w:trHeight w:val="510"/>
        </w:trPr>
        <w:tc>
          <w:tcPr>
            <w:tcW w:w="146" w:type="dxa"/>
            <w:tcBorders>
              <w:top w:val="nil"/>
              <w:left w:val="nil"/>
              <w:bottom w:val="nil"/>
              <w:right w:val="nil"/>
            </w:tcBorders>
            <w:shd w:val="clear" w:color="auto" w:fill="auto"/>
            <w:noWrap/>
            <w:vAlign w:val="bottom"/>
          </w:tcPr>
          <w:p w:rsidR="00F90746" w:rsidRPr="002F3091" w:rsidRDefault="00F90746" w:rsidP="009F2E87">
            <w:pPr>
              <w:spacing w:after="0" w:line="240" w:lineRule="auto"/>
              <w:rPr>
                <w:rFonts w:ascii="Soberana Sans Light" w:eastAsia="Times New Roman" w:hAnsi="Soberana Sans Light" w:cs="Arial"/>
                <w:lang w:eastAsia="es-ES"/>
              </w:rPr>
            </w:pPr>
          </w:p>
        </w:tc>
        <w:tc>
          <w:tcPr>
            <w:tcW w:w="8637" w:type="dxa"/>
            <w:tcBorders>
              <w:top w:val="nil"/>
              <w:left w:val="nil"/>
              <w:bottom w:val="nil"/>
              <w:right w:val="nil"/>
            </w:tcBorders>
            <w:shd w:val="clear" w:color="auto" w:fill="auto"/>
            <w:vAlign w:val="bottom"/>
          </w:tcPr>
          <w:p w:rsidR="00F90746" w:rsidRPr="002F3091" w:rsidRDefault="00F90746" w:rsidP="009F2E87">
            <w:pPr>
              <w:spacing w:after="0" w:line="240" w:lineRule="auto"/>
              <w:jc w:val="both"/>
              <w:rPr>
                <w:rFonts w:ascii="Soberana Sans Light" w:eastAsia="Times New Roman" w:hAnsi="Soberana Sans Light" w:cs="Arial"/>
                <w:lang w:eastAsia="es-ES"/>
              </w:rPr>
            </w:pPr>
            <w:r>
              <w:rPr>
                <w:rFonts w:ascii="Soberana Sans Light" w:eastAsia="Times New Roman" w:hAnsi="Soberana Sans Light" w:cs="Arial"/>
                <w:lang w:eastAsia="es-ES"/>
              </w:rPr>
              <w:t>PROGRAMA DE EXPANSIÓN EN LA OFERTA EDUCATIVA EN EDUCACIÓN MEDIA SUPERIOR Y SUPERIOR PROEXOEES</w:t>
            </w:r>
          </w:p>
        </w:tc>
        <w:tc>
          <w:tcPr>
            <w:tcW w:w="460" w:type="dxa"/>
            <w:tcBorders>
              <w:top w:val="nil"/>
              <w:left w:val="nil"/>
              <w:bottom w:val="nil"/>
              <w:right w:val="nil"/>
            </w:tcBorders>
            <w:shd w:val="clear" w:color="auto" w:fill="auto"/>
            <w:noWrap/>
            <w:vAlign w:val="bottom"/>
          </w:tcPr>
          <w:p w:rsidR="00F90746" w:rsidRPr="002F3091" w:rsidRDefault="00F90746" w:rsidP="00F90746">
            <w:pPr>
              <w:spacing w:after="0" w:line="240" w:lineRule="auto"/>
              <w:jc w:val="right"/>
              <w:rPr>
                <w:rFonts w:ascii="Soberana Sans Light" w:eastAsia="Times New Roman" w:hAnsi="Soberana Sans Light" w:cs="Arial"/>
                <w:lang w:eastAsia="es-ES"/>
              </w:rPr>
            </w:pPr>
          </w:p>
        </w:tc>
        <w:tc>
          <w:tcPr>
            <w:tcW w:w="1880" w:type="dxa"/>
            <w:tcBorders>
              <w:top w:val="nil"/>
              <w:left w:val="nil"/>
              <w:bottom w:val="nil"/>
              <w:right w:val="nil"/>
            </w:tcBorders>
            <w:shd w:val="clear" w:color="auto" w:fill="auto"/>
            <w:noWrap/>
            <w:vAlign w:val="bottom"/>
          </w:tcPr>
          <w:p w:rsidR="00F90746" w:rsidRDefault="00F90746" w:rsidP="00F90746">
            <w:pPr>
              <w:spacing w:after="0" w:line="240" w:lineRule="auto"/>
              <w:jc w:val="right"/>
              <w:rPr>
                <w:rFonts w:ascii="Soberana Sans Light" w:eastAsia="Times New Roman" w:hAnsi="Soberana Sans Light" w:cs="Arial"/>
                <w:lang w:eastAsia="es-ES"/>
              </w:rPr>
            </w:pPr>
            <w:r>
              <w:rPr>
                <w:rFonts w:ascii="Soberana Sans Light" w:eastAsia="Times New Roman" w:hAnsi="Soberana Sans Light" w:cs="Arial"/>
                <w:lang w:eastAsia="es-ES"/>
              </w:rPr>
              <w:t>5,569,355</w:t>
            </w:r>
          </w:p>
        </w:tc>
        <w:tc>
          <w:tcPr>
            <w:tcW w:w="460" w:type="dxa"/>
            <w:tcBorders>
              <w:top w:val="nil"/>
              <w:left w:val="nil"/>
              <w:bottom w:val="nil"/>
              <w:right w:val="nil"/>
            </w:tcBorders>
            <w:shd w:val="clear" w:color="auto" w:fill="auto"/>
            <w:noWrap/>
            <w:vAlign w:val="bottom"/>
          </w:tcPr>
          <w:p w:rsidR="00F90746" w:rsidRPr="002F3091" w:rsidRDefault="00F90746" w:rsidP="009F2E87">
            <w:pPr>
              <w:spacing w:after="0" w:line="240" w:lineRule="auto"/>
              <w:rPr>
                <w:rFonts w:ascii="Soberana Sans Light" w:eastAsia="Times New Roman" w:hAnsi="Soberana Sans Light" w:cs="Arial"/>
                <w:lang w:eastAsia="es-ES"/>
              </w:rPr>
            </w:pPr>
          </w:p>
        </w:tc>
        <w:tc>
          <w:tcPr>
            <w:tcW w:w="2260" w:type="dxa"/>
            <w:tcBorders>
              <w:top w:val="nil"/>
              <w:left w:val="nil"/>
              <w:bottom w:val="nil"/>
              <w:right w:val="nil"/>
            </w:tcBorders>
            <w:shd w:val="clear" w:color="auto" w:fill="auto"/>
            <w:noWrap/>
            <w:vAlign w:val="bottom"/>
          </w:tcPr>
          <w:p w:rsidR="00F90746" w:rsidRPr="002F3091" w:rsidRDefault="00F90746" w:rsidP="009F2E87">
            <w:pPr>
              <w:spacing w:after="0" w:line="240" w:lineRule="auto"/>
              <w:jc w:val="right"/>
              <w:rPr>
                <w:rFonts w:ascii="Soberana Sans Light" w:eastAsia="Times New Roman" w:hAnsi="Soberana Sans Light" w:cs="Arial"/>
                <w:lang w:eastAsia="es-ES"/>
              </w:rPr>
            </w:pPr>
          </w:p>
        </w:tc>
      </w:tr>
      <w:tr w:rsidR="009F2E87" w:rsidRPr="002F3091" w:rsidTr="009F2E87">
        <w:trPr>
          <w:trHeight w:val="375"/>
        </w:trPr>
        <w:tc>
          <w:tcPr>
            <w:tcW w:w="146"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8637" w:type="dxa"/>
            <w:tcBorders>
              <w:top w:val="nil"/>
              <w:left w:val="nil"/>
              <w:bottom w:val="nil"/>
              <w:right w:val="nil"/>
            </w:tcBorders>
            <w:shd w:val="clear" w:color="auto" w:fill="auto"/>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460"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jc w:val="both"/>
              <w:rPr>
                <w:rFonts w:ascii="Soberana Sans Light" w:eastAsia="Times New Roman" w:hAnsi="Soberana Sans Light" w:cs="Arial"/>
                <w:lang w:eastAsia="es-ES"/>
              </w:rPr>
            </w:pPr>
          </w:p>
        </w:tc>
        <w:tc>
          <w:tcPr>
            <w:tcW w:w="1880" w:type="dxa"/>
            <w:tcBorders>
              <w:top w:val="nil"/>
              <w:left w:val="nil"/>
              <w:bottom w:val="nil"/>
              <w:right w:val="nil"/>
            </w:tcBorders>
            <w:shd w:val="clear" w:color="auto" w:fill="auto"/>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460"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jc w:val="center"/>
              <w:rPr>
                <w:rFonts w:ascii="Soberana Sans Light" w:eastAsia="Times New Roman" w:hAnsi="Soberana Sans Light" w:cs="Arial"/>
                <w:lang w:eastAsia="es-ES"/>
              </w:rPr>
            </w:pPr>
          </w:p>
        </w:tc>
        <w:tc>
          <w:tcPr>
            <w:tcW w:w="2260"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jc w:val="right"/>
              <w:rPr>
                <w:rFonts w:ascii="Soberana Sans Light" w:eastAsia="Times New Roman" w:hAnsi="Soberana Sans Light" w:cs="Arial"/>
                <w:lang w:eastAsia="es-ES"/>
              </w:rPr>
            </w:pPr>
          </w:p>
        </w:tc>
      </w:tr>
      <w:tr w:rsidR="009F2E87" w:rsidRPr="002F3091" w:rsidTr="009F2E87">
        <w:trPr>
          <w:trHeight w:val="315"/>
        </w:trPr>
        <w:tc>
          <w:tcPr>
            <w:tcW w:w="8783" w:type="dxa"/>
            <w:gridSpan w:val="2"/>
            <w:tcBorders>
              <w:top w:val="nil"/>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r w:rsidRPr="002F3091">
              <w:rPr>
                <w:rFonts w:ascii="Soberana Sans Light" w:eastAsia="Times New Roman" w:hAnsi="Soberana Sans Light" w:cs="Arial"/>
                <w:lang w:eastAsia="es-ES"/>
              </w:rPr>
              <w:t>RAMO XXXIII</w:t>
            </w:r>
          </w:p>
        </w:tc>
        <w:tc>
          <w:tcPr>
            <w:tcW w:w="460"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1880" w:type="dxa"/>
            <w:tcBorders>
              <w:top w:val="nil"/>
              <w:left w:val="nil"/>
              <w:bottom w:val="nil"/>
              <w:right w:val="nil"/>
            </w:tcBorders>
            <w:shd w:val="clear" w:color="auto" w:fill="auto"/>
            <w:noWrap/>
            <w:vAlign w:val="bottom"/>
            <w:hideMark/>
          </w:tcPr>
          <w:p w:rsidR="009F2E87" w:rsidRPr="002F3091" w:rsidRDefault="0048568B" w:rsidP="00AE6120">
            <w:pPr>
              <w:spacing w:after="0" w:line="240" w:lineRule="auto"/>
              <w:jc w:val="right"/>
              <w:rPr>
                <w:rFonts w:ascii="Soberana Sans Light" w:eastAsia="Times New Roman" w:hAnsi="Soberana Sans Light" w:cs="Arial"/>
                <w:lang w:eastAsia="es-ES"/>
              </w:rPr>
            </w:pPr>
            <w:r>
              <w:rPr>
                <w:rFonts w:ascii="Soberana Sans Light" w:eastAsia="Times New Roman" w:hAnsi="Soberana Sans Light" w:cs="Arial"/>
                <w:lang w:eastAsia="es-ES"/>
              </w:rPr>
              <w:t>17,515,705</w:t>
            </w:r>
          </w:p>
        </w:tc>
        <w:tc>
          <w:tcPr>
            <w:tcW w:w="460"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2260" w:type="dxa"/>
            <w:tcBorders>
              <w:top w:val="nil"/>
              <w:left w:val="nil"/>
              <w:bottom w:val="nil"/>
              <w:right w:val="nil"/>
            </w:tcBorders>
            <w:shd w:val="clear" w:color="auto" w:fill="auto"/>
            <w:noWrap/>
            <w:vAlign w:val="bottom"/>
            <w:hideMark/>
          </w:tcPr>
          <w:p w:rsidR="009F2E87" w:rsidRPr="002F3091" w:rsidRDefault="0048568B" w:rsidP="009F2E87">
            <w:pPr>
              <w:spacing w:after="0" w:line="240" w:lineRule="auto"/>
              <w:jc w:val="right"/>
              <w:rPr>
                <w:rFonts w:ascii="Soberana Sans Light" w:eastAsia="Times New Roman" w:hAnsi="Soberana Sans Light" w:cs="Arial"/>
                <w:lang w:eastAsia="es-ES"/>
              </w:rPr>
            </w:pPr>
            <w:r>
              <w:rPr>
                <w:rFonts w:ascii="Soberana Sans Light" w:eastAsia="Times New Roman" w:hAnsi="Soberana Sans Light" w:cs="Arial"/>
                <w:lang w:eastAsia="es-ES"/>
              </w:rPr>
              <w:t>17,515,705</w:t>
            </w:r>
            <w:r w:rsidR="009F2E87" w:rsidRPr="002F3091">
              <w:rPr>
                <w:rFonts w:ascii="Soberana Sans Light" w:eastAsia="Times New Roman" w:hAnsi="Soberana Sans Light" w:cs="Arial"/>
                <w:lang w:eastAsia="es-ES"/>
              </w:rPr>
              <w:t xml:space="preserve"> </w:t>
            </w:r>
          </w:p>
        </w:tc>
      </w:tr>
      <w:tr w:rsidR="009F2E87" w:rsidRPr="002F3091" w:rsidTr="009F2E87">
        <w:trPr>
          <w:trHeight w:val="375"/>
        </w:trPr>
        <w:tc>
          <w:tcPr>
            <w:tcW w:w="146"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8637"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460"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1880"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460"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2260"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jc w:val="right"/>
              <w:rPr>
                <w:rFonts w:ascii="Soberana Sans Light" w:eastAsia="Times New Roman" w:hAnsi="Soberana Sans Light" w:cs="Arial"/>
                <w:lang w:eastAsia="es-ES"/>
              </w:rPr>
            </w:pPr>
          </w:p>
        </w:tc>
      </w:tr>
      <w:tr w:rsidR="009F2E87" w:rsidRPr="002F3091" w:rsidTr="009F2E87">
        <w:trPr>
          <w:trHeight w:val="375"/>
        </w:trPr>
        <w:tc>
          <w:tcPr>
            <w:tcW w:w="8783" w:type="dxa"/>
            <w:gridSpan w:val="2"/>
            <w:tcBorders>
              <w:top w:val="nil"/>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r w:rsidRPr="002F3091">
              <w:rPr>
                <w:rFonts w:ascii="Soberana Sans Light" w:eastAsia="Times New Roman" w:hAnsi="Soberana Sans Light" w:cs="Arial"/>
                <w:lang w:eastAsia="es-ES"/>
              </w:rPr>
              <w:t xml:space="preserve">DERECHOS </w:t>
            </w:r>
          </w:p>
        </w:tc>
        <w:tc>
          <w:tcPr>
            <w:tcW w:w="460"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1880"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460"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2260" w:type="dxa"/>
            <w:tcBorders>
              <w:top w:val="nil"/>
              <w:left w:val="nil"/>
              <w:bottom w:val="nil"/>
              <w:right w:val="nil"/>
            </w:tcBorders>
            <w:shd w:val="clear" w:color="auto" w:fill="auto"/>
            <w:noWrap/>
            <w:vAlign w:val="bottom"/>
            <w:hideMark/>
          </w:tcPr>
          <w:p w:rsidR="009F2E87" w:rsidRPr="002F3091" w:rsidRDefault="0048568B" w:rsidP="009F2E87">
            <w:pPr>
              <w:spacing w:after="0" w:line="240" w:lineRule="auto"/>
              <w:jc w:val="right"/>
              <w:rPr>
                <w:rFonts w:ascii="Soberana Sans Light" w:eastAsia="Times New Roman" w:hAnsi="Soberana Sans Light" w:cs="Arial"/>
                <w:lang w:eastAsia="es-ES"/>
              </w:rPr>
            </w:pPr>
            <w:r>
              <w:rPr>
                <w:rFonts w:ascii="Soberana Sans Light" w:eastAsia="Times New Roman" w:hAnsi="Soberana Sans Light" w:cs="Arial"/>
                <w:lang w:eastAsia="es-ES"/>
              </w:rPr>
              <w:t>6,608,292</w:t>
            </w:r>
            <w:r w:rsidR="009F2E87" w:rsidRPr="002F3091">
              <w:rPr>
                <w:rFonts w:ascii="Soberana Sans Light" w:eastAsia="Times New Roman" w:hAnsi="Soberana Sans Light" w:cs="Arial"/>
                <w:lang w:eastAsia="es-ES"/>
              </w:rPr>
              <w:t xml:space="preserve"> </w:t>
            </w:r>
          </w:p>
        </w:tc>
      </w:tr>
      <w:tr w:rsidR="009F2E87" w:rsidRPr="002F3091" w:rsidTr="009F2E87">
        <w:trPr>
          <w:trHeight w:val="375"/>
        </w:trPr>
        <w:tc>
          <w:tcPr>
            <w:tcW w:w="146"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jc w:val="right"/>
              <w:rPr>
                <w:rFonts w:ascii="Soberana Sans Light" w:eastAsia="Times New Roman" w:hAnsi="Soberana Sans Light" w:cs="Arial"/>
                <w:lang w:eastAsia="es-ES"/>
              </w:rPr>
            </w:pPr>
          </w:p>
        </w:tc>
        <w:tc>
          <w:tcPr>
            <w:tcW w:w="8637"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460"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1880"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460"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2260"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jc w:val="right"/>
              <w:rPr>
                <w:rFonts w:ascii="Soberana Sans Light" w:eastAsia="Times New Roman" w:hAnsi="Soberana Sans Light" w:cs="Arial"/>
                <w:lang w:eastAsia="es-ES"/>
              </w:rPr>
            </w:pPr>
          </w:p>
        </w:tc>
      </w:tr>
      <w:tr w:rsidR="009F2E87" w:rsidRPr="002F3091" w:rsidTr="009F2E87">
        <w:trPr>
          <w:trHeight w:val="375"/>
        </w:trPr>
        <w:tc>
          <w:tcPr>
            <w:tcW w:w="8783" w:type="dxa"/>
            <w:gridSpan w:val="2"/>
            <w:tcBorders>
              <w:top w:val="nil"/>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r w:rsidRPr="002F3091">
              <w:rPr>
                <w:rFonts w:ascii="Soberana Sans Light" w:eastAsia="Times New Roman" w:hAnsi="Soberana Sans Light" w:cs="Arial"/>
                <w:lang w:eastAsia="es-ES"/>
              </w:rPr>
              <w:t>PRODUCTOS</w:t>
            </w:r>
          </w:p>
        </w:tc>
        <w:tc>
          <w:tcPr>
            <w:tcW w:w="460"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1880"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460" w:type="dxa"/>
            <w:tcBorders>
              <w:top w:val="nil"/>
              <w:left w:val="nil"/>
              <w:bottom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2260" w:type="dxa"/>
            <w:tcBorders>
              <w:top w:val="nil"/>
              <w:left w:val="nil"/>
              <w:bottom w:val="nil"/>
              <w:right w:val="nil"/>
            </w:tcBorders>
            <w:shd w:val="clear" w:color="auto" w:fill="auto"/>
            <w:noWrap/>
            <w:vAlign w:val="bottom"/>
            <w:hideMark/>
          </w:tcPr>
          <w:p w:rsidR="009F2E87" w:rsidRPr="002F3091" w:rsidRDefault="0048568B" w:rsidP="009F2E87">
            <w:pPr>
              <w:spacing w:after="0" w:line="240" w:lineRule="auto"/>
              <w:jc w:val="right"/>
              <w:rPr>
                <w:rFonts w:ascii="Soberana Sans Light" w:eastAsia="Times New Roman" w:hAnsi="Soberana Sans Light" w:cs="Arial"/>
                <w:lang w:eastAsia="es-ES"/>
              </w:rPr>
            </w:pPr>
            <w:r>
              <w:rPr>
                <w:rFonts w:ascii="Soberana Sans Light" w:eastAsia="Times New Roman" w:hAnsi="Soberana Sans Light" w:cs="Arial"/>
                <w:lang w:eastAsia="es-ES"/>
              </w:rPr>
              <w:t>102,357</w:t>
            </w:r>
            <w:r w:rsidR="009F2E87" w:rsidRPr="002F3091">
              <w:rPr>
                <w:rFonts w:ascii="Soberana Sans Light" w:eastAsia="Times New Roman" w:hAnsi="Soberana Sans Light" w:cs="Arial"/>
                <w:lang w:eastAsia="es-ES"/>
              </w:rPr>
              <w:t xml:space="preserve"> </w:t>
            </w:r>
          </w:p>
        </w:tc>
      </w:tr>
      <w:tr w:rsidR="009F2E87" w:rsidRPr="002F3091" w:rsidTr="009F2E87">
        <w:trPr>
          <w:trHeight w:val="375"/>
        </w:trPr>
        <w:tc>
          <w:tcPr>
            <w:tcW w:w="146" w:type="dxa"/>
            <w:tcBorders>
              <w:top w:val="nil"/>
              <w:left w:val="nil"/>
              <w:right w:val="nil"/>
            </w:tcBorders>
            <w:shd w:val="clear" w:color="auto" w:fill="auto"/>
            <w:noWrap/>
            <w:vAlign w:val="bottom"/>
            <w:hideMark/>
          </w:tcPr>
          <w:p w:rsidR="009F2E87" w:rsidRPr="002F3091" w:rsidRDefault="009F2E87" w:rsidP="009F2E87">
            <w:pPr>
              <w:spacing w:after="0" w:line="240" w:lineRule="auto"/>
              <w:jc w:val="right"/>
              <w:rPr>
                <w:rFonts w:ascii="Soberana Sans Light" w:eastAsia="Times New Roman" w:hAnsi="Soberana Sans Light" w:cs="Arial"/>
                <w:lang w:eastAsia="es-ES"/>
              </w:rPr>
            </w:pPr>
          </w:p>
        </w:tc>
        <w:tc>
          <w:tcPr>
            <w:tcW w:w="8637" w:type="dxa"/>
            <w:tcBorders>
              <w:top w:val="nil"/>
              <w:left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460" w:type="dxa"/>
            <w:tcBorders>
              <w:top w:val="nil"/>
              <w:left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1880" w:type="dxa"/>
            <w:tcBorders>
              <w:top w:val="nil"/>
              <w:left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460" w:type="dxa"/>
            <w:tcBorders>
              <w:top w:val="nil"/>
              <w:left w:val="nil"/>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2260" w:type="dxa"/>
            <w:tcBorders>
              <w:top w:val="nil"/>
              <w:left w:val="nil"/>
              <w:right w:val="nil"/>
            </w:tcBorders>
            <w:shd w:val="clear" w:color="auto" w:fill="auto"/>
            <w:noWrap/>
            <w:vAlign w:val="bottom"/>
            <w:hideMark/>
          </w:tcPr>
          <w:p w:rsidR="009F2E87" w:rsidRPr="002F3091" w:rsidRDefault="009F2E87" w:rsidP="009F2E87">
            <w:pPr>
              <w:spacing w:after="0" w:line="240" w:lineRule="auto"/>
              <w:jc w:val="right"/>
              <w:rPr>
                <w:rFonts w:ascii="Soberana Sans Light" w:eastAsia="Times New Roman" w:hAnsi="Soberana Sans Light" w:cs="Arial"/>
                <w:lang w:eastAsia="es-ES"/>
              </w:rPr>
            </w:pPr>
          </w:p>
        </w:tc>
      </w:tr>
      <w:tr w:rsidR="009F2E87" w:rsidRPr="002F3091" w:rsidTr="009F2E87">
        <w:trPr>
          <w:trHeight w:val="375"/>
        </w:trPr>
        <w:tc>
          <w:tcPr>
            <w:tcW w:w="8783" w:type="dxa"/>
            <w:gridSpan w:val="2"/>
            <w:tcBorders>
              <w:top w:val="nil"/>
              <w:left w:val="nil"/>
              <w:bottom w:val="single" w:sz="4" w:space="0" w:color="auto"/>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r w:rsidRPr="002F3091">
              <w:rPr>
                <w:rFonts w:ascii="Soberana Sans Light" w:eastAsia="Times New Roman" w:hAnsi="Soberana Sans Light" w:cs="Arial"/>
                <w:lang w:eastAsia="es-ES"/>
              </w:rPr>
              <w:t>APROVECHAMIENTOS</w:t>
            </w:r>
          </w:p>
        </w:tc>
        <w:tc>
          <w:tcPr>
            <w:tcW w:w="460" w:type="dxa"/>
            <w:tcBorders>
              <w:top w:val="nil"/>
              <w:left w:val="nil"/>
              <w:bottom w:val="single" w:sz="4" w:space="0" w:color="auto"/>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1880" w:type="dxa"/>
            <w:tcBorders>
              <w:top w:val="nil"/>
              <w:left w:val="nil"/>
              <w:bottom w:val="single" w:sz="4" w:space="0" w:color="auto"/>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460" w:type="dxa"/>
            <w:tcBorders>
              <w:top w:val="nil"/>
              <w:left w:val="nil"/>
              <w:bottom w:val="single" w:sz="4" w:space="0" w:color="auto"/>
              <w:right w:val="nil"/>
            </w:tcBorders>
            <w:shd w:val="clear" w:color="auto" w:fill="auto"/>
            <w:noWrap/>
            <w:vAlign w:val="bottom"/>
            <w:hideMark/>
          </w:tcPr>
          <w:p w:rsidR="009F2E87" w:rsidRPr="002F3091" w:rsidRDefault="009F2E87" w:rsidP="009F2E87">
            <w:pPr>
              <w:spacing w:after="0" w:line="240" w:lineRule="auto"/>
              <w:rPr>
                <w:rFonts w:ascii="Soberana Sans Light" w:eastAsia="Times New Roman" w:hAnsi="Soberana Sans Light" w:cs="Arial"/>
                <w:lang w:eastAsia="es-ES"/>
              </w:rPr>
            </w:pPr>
          </w:p>
        </w:tc>
        <w:tc>
          <w:tcPr>
            <w:tcW w:w="2260" w:type="dxa"/>
            <w:tcBorders>
              <w:top w:val="nil"/>
              <w:left w:val="nil"/>
              <w:bottom w:val="single" w:sz="4" w:space="0" w:color="auto"/>
              <w:right w:val="nil"/>
            </w:tcBorders>
            <w:shd w:val="clear" w:color="auto" w:fill="auto"/>
            <w:noWrap/>
            <w:vAlign w:val="bottom"/>
            <w:hideMark/>
          </w:tcPr>
          <w:p w:rsidR="009F2E87" w:rsidRPr="002F3091" w:rsidRDefault="009F2E87" w:rsidP="009F2E87">
            <w:pPr>
              <w:spacing w:after="0" w:line="240" w:lineRule="auto"/>
              <w:jc w:val="right"/>
              <w:rPr>
                <w:rFonts w:ascii="Soberana Sans Light" w:eastAsia="Times New Roman" w:hAnsi="Soberana Sans Light" w:cs="Arial"/>
                <w:lang w:eastAsia="es-ES"/>
              </w:rPr>
            </w:pPr>
            <w:r w:rsidRPr="002F3091">
              <w:rPr>
                <w:rFonts w:ascii="Soberana Sans Light" w:eastAsia="Times New Roman" w:hAnsi="Soberana Sans Light" w:cs="Arial"/>
                <w:lang w:eastAsia="es-ES"/>
              </w:rPr>
              <w:t>0</w:t>
            </w:r>
          </w:p>
        </w:tc>
      </w:tr>
      <w:tr w:rsidR="009F2E87" w:rsidRPr="002F3091" w:rsidTr="009F2E87">
        <w:trPr>
          <w:trHeight w:val="375"/>
        </w:trPr>
        <w:tc>
          <w:tcPr>
            <w:tcW w:w="8783" w:type="dxa"/>
            <w:gridSpan w:val="2"/>
            <w:tcBorders>
              <w:top w:val="single" w:sz="4" w:space="0" w:color="auto"/>
            </w:tcBorders>
            <w:shd w:val="clear" w:color="auto" w:fill="auto"/>
            <w:noWrap/>
            <w:vAlign w:val="bottom"/>
          </w:tcPr>
          <w:p w:rsidR="009F2E87" w:rsidRPr="002F3091" w:rsidRDefault="009F2E87" w:rsidP="009F2E87">
            <w:pPr>
              <w:spacing w:after="0" w:line="240" w:lineRule="auto"/>
              <w:rPr>
                <w:rFonts w:ascii="Soberana Sans Light" w:eastAsia="Times New Roman" w:hAnsi="Soberana Sans Light" w:cs="Arial"/>
                <w:b/>
                <w:color w:val="000000" w:themeColor="text1"/>
                <w:lang w:eastAsia="es-ES"/>
              </w:rPr>
            </w:pPr>
            <w:r w:rsidRPr="002F3091">
              <w:rPr>
                <w:rFonts w:ascii="Soberana Sans Light" w:eastAsia="Times New Roman" w:hAnsi="Soberana Sans Light" w:cs="Arial"/>
                <w:b/>
                <w:color w:val="000000" w:themeColor="text1"/>
                <w:lang w:eastAsia="es-ES"/>
              </w:rPr>
              <w:t>TOTAL</w:t>
            </w:r>
          </w:p>
        </w:tc>
        <w:tc>
          <w:tcPr>
            <w:tcW w:w="460" w:type="dxa"/>
            <w:tcBorders>
              <w:top w:val="single" w:sz="4" w:space="0" w:color="auto"/>
            </w:tcBorders>
            <w:shd w:val="clear" w:color="auto" w:fill="auto"/>
            <w:noWrap/>
            <w:vAlign w:val="bottom"/>
          </w:tcPr>
          <w:p w:rsidR="009F2E87" w:rsidRPr="002F3091" w:rsidRDefault="009F2E87" w:rsidP="009F2E87">
            <w:pPr>
              <w:spacing w:after="0" w:line="240" w:lineRule="auto"/>
              <w:rPr>
                <w:rFonts w:ascii="Soberana Sans Light" w:eastAsia="Times New Roman" w:hAnsi="Soberana Sans Light" w:cs="Arial"/>
                <w:b/>
                <w:color w:val="000000" w:themeColor="text1"/>
                <w:lang w:eastAsia="es-ES"/>
              </w:rPr>
            </w:pPr>
          </w:p>
        </w:tc>
        <w:tc>
          <w:tcPr>
            <w:tcW w:w="1880" w:type="dxa"/>
            <w:tcBorders>
              <w:top w:val="single" w:sz="4" w:space="0" w:color="auto"/>
            </w:tcBorders>
            <w:shd w:val="clear" w:color="auto" w:fill="auto"/>
            <w:noWrap/>
            <w:vAlign w:val="bottom"/>
          </w:tcPr>
          <w:p w:rsidR="009F2E87" w:rsidRPr="002F3091" w:rsidRDefault="0048568B" w:rsidP="0048568B">
            <w:pPr>
              <w:spacing w:after="0" w:line="240" w:lineRule="auto"/>
              <w:jc w:val="right"/>
              <w:rPr>
                <w:rFonts w:ascii="Soberana Sans Light" w:eastAsia="Times New Roman" w:hAnsi="Soberana Sans Light" w:cs="Arial"/>
                <w:b/>
                <w:color w:val="000000" w:themeColor="text1"/>
                <w:lang w:eastAsia="es-ES"/>
              </w:rPr>
            </w:pPr>
            <w:r>
              <w:rPr>
                <w:rFonts w:ascii="Soberana Sans Light" w:eastAsia="Times New Roman" w:hAnsi="Soberana Sans Light" w:cs="Arial"/>
                <w:b/>
                <w:color w:val="000000" w:themeColor="text1"/>
                <w:lang w:eastAsia="es-ES"/>
              </w:rPr>
              <w:t>47,425,578</w:t>
            </w:r>
          </w:p>
        </w:tc>
        <w:tc>
          <w:tcPr>
            <w:tcW w:w="460" w:type="dxa"/>
            <w:tcBorders>
              <w:top w:val="single" w:sz="4" w:space="0" w:color="auto"/>
            </w:tcBorders>
            <w:shd w:val="clear" w:color="auto" w:fill="auto"/>
            <w:noWrap/>
            <w:vAlign w:val="bottom"/>
          </w:tcPr>
          <w:p w:rsidR="009F2E87" w:rsidRPr="002F3091" w:rsidRDefault="009F2E87" w:rsidP="009F2E87">
            <w:pPr>
              <w:spacing w:after="0" w:line="240" w:lineRule="auto"/>
              <w:jc w:val="right"/>
              <w:rPr>
                <w:rFonts w:ascii="Soberana Sans Light" w:eastAsia="Times New Roman" w:hAnsi="Soberana Sans Light" w:cs="Arial"/>
                <w:b/>
                <w:color w:val="000000" w:themeColor="text1"/>
                <w:lang w:eastAsia="es-ES"/>
              </w:rPr>
            </w:pPr>
          </w:p>
        </w:tc>
        <w:tc>
          <w:tcPr>
            <w:tcW w:w="2260" w:type="dxa"/>
            <w:tcBorders>
              <w:top w:val="single" w:sz="4" w:space="0" w:color="auto"/>
            </w:tcBorders>
            <w:shd w:val="clear" w:color="auto" w:fill="auto"/>
            <w:noWrap/>
            <w:vAlign w:val="bottom"/>
          </w:tcPr>
          <w:p w:rsidR="009F2E87" w:rsidRPr="002F3091" w:rsidRDefault="0048568B" w:rsidP="009F2E87">
            <w:pPr>
              <w:spacing w:after="0" w:line="240" w:lineRule="auto"/>
              <w:jc w:val="right"/>
              <w:rPr>
                <w:rFonts w:ascii="Soberana Sans Light" w:eastAsia="Times New Roman" w:hAnsi="Soberana Sans Light" w:cs="Arial"/>
                <w:b/>
                <w:color w:val="000000" w:themeColor="text1"/>
                <w:lang w:eastAsia="es-ES"/>
              </w:rPr>
            </w:pPr>
            <w:r>
              <w:rPr>
                <w:rFonts w:ascii="Soberana Sans Light" w:eastAsia="Times New Roman" w:hAnsi="Soberana Sans Light" w:cs="Arial"/>
                <w:b/>
                <w:color w:val="000000" w:themeColor="text1"/>
                <w:lang w:eastAsia="es-ES"/>
              </w:rPr>
              <w:t>68,019,331</w:t>
            </w:r>
          </w:p>
        </w:tc>
      </w:tr>
    </w:tbl>
    <w:p w:rsidR="009F2E87" w:rsidRPr="00A15172" w:rsidRDefault="009F2E87" w:rsidP="009F2E87">
      <w:pPr>
        <w:pStyle w:val="ROMANOS"/>
        <w:spacing w:after="0" w:line="240" w:lineRule="exact"/>
        <w:ind w:left="0" w:firstLine="0"/>
        <w:rPr>
          <w:rFonts w:ascii="Soberana Sans Light" w:hAnsi="Soberana Sans Light"/>
          <w:b/>
          <w:color w:val="000000" w:themeColor="text1"/>
          <w:sz w:val="22"/>
          <w:szCs w:val="22"/>
          <w:lang w:val="es-MX"/>
        </w:rPr>
      </w:pPr>
    </w:p>
    <w:p w:rsidR="009F2E87" w:rsidRPr="00540418" w:rsidRDefault="009F2E87" w:rsidP="009F2E87">
      <w:pPr>
        <w:pStyle w:val="ROMANOS"/>
        <w:spacing w:after="0" w:line="240" w:lineRule="exact"/>
        <w:rPr>
          <w:rFonts w:ascii="Soberana Sans Light" w:hAnsi="Soberana Sans Light"/>
          <w:b/>
          <w:sz w:val="22"/>
          <w:szCs w:val="22"/>
          <w:lang w:val="es-MX"/>
        </w:rPr>
      </w:pPr>
    </w:p>
    <w:p w:rsidR="009F2E87" w:rsidRPr="00540418" w:rsidRDefault="009F2E87" w:rsidP="009F2E87">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Gastos y Otras Pérdidas:</w:t>
      </w:r>
    </w:p>
    <w:p w:rsidR="009F2E87" w:rsidRDefault="009F2E87" w:rsidP="009F2E87">
      <w:pPr>
        <w:pStyle w:val="ROMANOS"/>
        <w:spacing w:after="0" w:line="240" w:lineRule="exact"/>
        <w:ind w:left="1008" w:firstLine="0"/>
        <w:rPr>
          <w:rFonts w:ascii="Soberana Sans Light" w:hAnsi="Soberana Sans Light"/>
          <w:sz w:val="22"/>
          <w:szCs w:val="22"/>
          <w:lang w:val="es-MX"/>
        </w:rPr>
      </w:pPr>
    </w:p>
    <w:p w:rsidR="009F2E87" w:rsidRDefault="009F2E87" w:rsidP="009F2E87">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La Universidad Tecnológica de Tlaxcala tiene los siguientes conceptos de gasto sobresalientes:</w:t>
      </w:r>
    </w:p>
    <w:p w:rsidR="009F2E87" w:rsidRDefault="009F2E87" w:rsidP="009F2E87">
      <w:pPr>
        <w:pStyle w:val="ROMANOS"/>
        <w:spacing w:after="0" w:line="240" w:lineRule="exact"/>
        <w:rPr>
          <w:rFonts w:ascii="Soberana Sans Light" w:hAnsi="Soberana Sans Light"/>
          <w:sz w:val="22"/>
          <w:szCs w:val="22"/>
          <w:lang w:val="es-MX"/>
        </w:rPr>
      </w:pPr>
    </w:p>
    <w:p w:rsidR="009F2E87" w:rsidRDefault="009F2E87" w:rsidP="009F2E87">
      <w:pPr>
        <w:pStyle w:val="ROMANOS"/>
        <w:numPr>
          <w:ilvl w:val="0"/>
          <w:numId w:val="11"/>
        </w:numPr>
        <w:spacing w:after="0" w:line="240" w:lineRule="exact"/>
        <w:rPr>
          <w:rFonts w:ascii="Soberana Sans Light" w:hAnsi="Soberana Sans Light"/>
          <w:sz w:val="22"/>
          <w:szCs w:val="22"/>
          <w:lang w:val="es-MX"/>
        </w:rPr>
      </w:pPr>
      <w:r>
        <w:rPr>
          <w:rFonts w:ascii="Soberana Sans Light" w:hAnsi="Soberana Sans Light"/>
          <w:sz w:val="22"/>
          <w:szCs w:val="22"/>
          <w:lang w:val="es-MX"/>
        </w:rPr>
        <w:t>Los Gastos derivados del pago de Servicios Personales a los empleados contratados para la realización de su fin, tales como académicos, administrativos y directivos. El Gasto en Ser</w:t>
      </w:r>
      <w:r w:rsidR="00AE6120">
        <w:rPr>
          <w:rFonts w:ascii="Soberana Sans Light" w:hAnsi="Soberana Sans Light"/>
          <w:sz w:val="22"/>
          <w:szCs w:val="22"/>
          <w:lang w:val="es-MX"/>
        </w:rPr>
        <w:t>vic</w:t>
      </w:r>
      <w:r w:rsidR="0048568B">
        <w:rPr>
          <w:rFonts w:ascii="Soberana Sans Light" w:hAnsi="Soberana Sans Light"/>
          <w:sz w:val="22"/>
          <w:szCs w:val="22"/>
          <w:lang w:val="es-MX"/>
        </w:rPr>
        <w:t>ios Personales equivale al 81.6</w:t>
      </w:r>
      <w:r>
        <w:rPr>
          <w:rFonts w:ascii="Soberana Sans Light" w:hAnsi="Soberana Sans Light"/>
          <w:sz w:val="22"/>
          <w:szCs w:val="22"/>
          <w:lang w:val="es-MX"/>
        </w:rPr>
        <w:t>% del Gasto total e incluye el pago de sueldos y prestaciones tales como la prima vacacional. Además de lo anterior, el personal de la Universidad cuenta con un seguro de vida y con el reembolso de gastos médicos como parte de las prestaciones de seguridad social.</w:t>
      </w:r>
    </w:p>
    <w:p w:rsidR="009F2E87" w:rsidRDefault="009F2E87" w:rsidP="009F2E87">
      <w:pPr>
        <w:pStyle w:val="ROMANOS"/>
        <w:numPr>
          <w:ilvl w:val="0"/>
          <w:numId w:val="11"/>
        </w:numPr>
        <w:spacing w:after="0" w:line="240" w:lineRule="exact"/>
        <w:rPr>
          <w:rFonts w:ascii="Soberana Sans Light" w:hAnsi="Soberana Sans Light"/>
          <w:sz w:val="22"/>
          <w:szCs w:val="22"/>
          <w:lang w:val="es-MX"/>
        </w:rPr>
      </w:pPr>
      <w:r>
        <w:rPr>
          <w:rFonts w:ascii="Soberana Sans Light" w:hAnsi="Soberana Sans Light"/>
          <w:sz w:val="22"/>
          <w:szCs w:val="22"/>
          <w:lang w:val="es-MX"/>
        </w:rPr>
        <w:lastRenderedPageBreak/>
        <w:t xml:space="preserve">El pago de Servicios </w:t>
      </w:r>
      <w:r w:rsidR="0048568B">
        <w:rPr>
          <w:rFonts w:ascii="Soberana Sans Light" w:hAnsi="Soberana Sans Light"/>
          <w:sz w:val="22"/>
          <w:szCs w:val="22"/>
          <w:lang w:val="es-MX"/>
        </w:rPr>
        <w:t>Generales equivale al 14,06</w:t>
      </w:r>
      <w:r>
        <w:rPr>
          <w:rFonts w:ascii="Soberana Sans Light" w:hAnsi="Soberana Sans Light"/>
          <w:sz w:val="22"/>
          <w:szCs w:val="22"/>
          <w:lang w:val="es-MX"/>
        </w:rPr>
        <w:t>% del Gasto Total y principalmente es destinado a: pago de energía eléctrica, pago de servicio de vigilancia, servicios contratados de limpieza, impuesto sobre nómina y gastos relacionados con la difusión de la oferta educativa.</w:t>
      </w:r>
    </w:p>
    <w:p w:rsidR="009F2E87" w:rsidRDefault="009F2E87" w:rsidP="009F2E87">
      <w:pPr>
        <w:pStyle w:val="ROMANOS"/>
        <w:numPr>
          <w:ilvl w:val="0"/>
          <w:numId w:val="11"/>
        </w:numPr>
        <w:spacing w:after="0" w:line="240" w:lineRule="exact"/>
        <w:rPr>
          <w:rFonts w:ascii="Soberana Sans Light" w:hAnsi="Soberana Sans Light"/>
          <w:sz w:val="22"/>
          <w:szCs w:val="22"/>
          <w:lang w:val="es-MX"/>
        </w:rPr>
      </w:pPr>
      <w:r>
        <w:rPr>
          <w:rFonts w:ascii="Soberana Sans Light" w:hAnsi="Soberana Sans Light"/>
          <w:sz w:val="22"/>
          <w:szCs w:val="22"/>
          <w:lang w:val="es-MX"/>
        </w:rPr>
        <w:t>El pago de Materiales y Su</w:t>
      </w:r>
      <w:r w:rsidR="0048568B">
        <w:rPr>
          <w:rFonts w:ascii="Soberana Sans Light" w:hAnsi="Soberana Sans Light"/>
          <w:sz w:val="22"/>
          <w:szCs w:val="22"/>
          <w:lang w:val="es-MX"/>
        </w:rPr>
        <w:t>ministros representa sólo el 4.3</w:t>
      </w:r>
      <w:r w:rsidR="00AE6120">
        <w:rPr>
          <w:rFonts w:ascii="Soberana Sans Light" w:hAnsi="Soberana Sans Light"/>
          <w:sz w:val="22"/>
          <w:szCs w:val="22"/>
          <w:lang w:val="es-MX"/>
        </w:rPr>
        <w:t>3</w:t>
      </w:r>
      <w:r>
        <w:rPr>
          <w:rFonts w:ascii="Soberana Sans Light" w:hAnsi="Soberana Sans Light"/>
          <w:sz w:val="22"/>
          <w:szCs w:val="22"/>
          <w:lang w:val="es-MX"/>
        </w:rPr>
        <w:t>% del Gasto Total. En este caso destaca el pago de combustibles y el de materiales y útiles de oficina y de tecnologías de la información.</w:t>
      </w:r>
    </w:p>
    <w:p w:rsidR="009F2E87" w:rsidRDefault="009F2E87" w:rsidP="009F2E87">
      <w:pPr>
        <w:pStyle w:val="ROMANOS"/>
        <w:spacing w:after="0" w:line="240" w:lineRule="exact"/>
        <w:ind w:left="1008" w:firstLine="0"/>
        <w:rPr>
          <w:rFonts w:ascii="Soberana Sans Light" w:hAnsi="Soberana Sans Light"/>
          <w:sz w:val="22"/>
          <w:szCs w:val="22"/>
          <w:lang w:val="es-MX"/>
        </w:rPr>
      </w:pPr>
    </w:p>
    <w:p w:rsidR="009F2E87" w:rsidRPr="00540418" w:rsidRDefault="009F2E87" w:rsidP="009F2E87">
      <w:pPr>
        <w:pStyle w:val="ROMANOS"/>
        <w:spacing w:after="0" w:line="240" w:lineRule="exact"/>
        <w:ind w:left="1008" w:firstLine="0"/>
        <w:rPr>
          <w:rFonts w:ascii="Soberana Sans Light" w:hAnsi="Soberana Sans Light"/>
          <w:sz w:val="22"/>
          <w:szCs w:val="22"/>
          <w:lang w:val="es-MX"/>
        </w:rPr>
      </w:pPr>
    </w:p>
    <w:p w:rsidR="009F2E87" w:rsidRDefault="009F2E87" w:rsidP="009F2E87">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t>Notas al Estado de Variación en la Hacienda Pública</w:t>
      </w:r>
    </w:p>
    <w:p w:rsidR="009F2E87" w:rsidRPr="00540418" w:rsidRDefault="009F2E87" w:rsidP="009F2E87">
      <w:pPr>
        <w:pStyle w:val="INCISO"/>
        <w:spacing w:after="0" w:line="240" w:lineRule="exact"/>
        <w:ind w:left="360"/>
        <w:rPr>
          <w:rFonts w:ascii="Soberana Sans Light" w:hAnsi="Soberana Sans Light"/>
          <w:b/>
          <w:smallCaps/>
          <w:sz w:val="22"/>
          <w:szCs w:val="22"/>
        </w:rPr>
      </w:pPr>
    </w:p>
    <w:p w:rsidR="009F2E87" w:rsidRDefault="009F2E87" w:rsidP="009F2E87">
      <w:pPr>
        <w:pStyle w:val="ROMANOS"/>
        <w:numPr>
          <w:ilvl w:val="0"/>
          <w:numId w:val="12"/>
        </w:numPr>
        <w:spacing w:after="0" w:line="240" w:lineRule="exact"/>
        <w:rPr>
          <w:rFonts w:ascii="Soberana Sans Light" w:hAnsi="Soberana Sans Light"/>
          <w:sz w:val="22"/>
          <w:szCs w:val="22"/>
          <w:lang w:val="es-MX"/>
        </w:rPr>
      </w:pPr>
      <w:r>
        <w:rPr>
          <w:rFonts w:ascii="Soberana Sans Light" w:hAnsi="Soberana Sans Light"/>
          <w:sz w:val="22"/>
          <w:szCs w:val="22"/>
          <w:lang w:val="es-MX"/>
        </w:rPr>
        <w:t>El Patrimonio de la Universidad Tecnológica de Tlaxcala se ha incrementad</w:t>
      </w:r>
      <w:r w:rsidR="0059171D">
        <w:rPr>
          <w:rFonts w:ascii="Soberana Sans Light" w:hAnsi="Soberana Sans Light"/>
          <w:sz w:val="22"/>
          <w:szCs w:val="22"/>
          <w:lang w:val="es-MX"/>
        </w:rPr>
        <w:t xml:space="preserve">o de </w:t>
      </w:r>
      <w:r w:rsidR="00901EB4" w:rsidRPr="00901EB4">
        <w:rPr>
          <w:rFonts w:ascii="Soberana Sans Light" w:hAnsi="Soberana Sans Light"/>
          <w:color w:val="000000" w:themeColor="text1"/>
          <w:sz w:val="22"/>
          <w:szCs w:val="22"/>
          <w:lang w:val="es-MX"/>
        </w:rPr>
        <w:t>$165,413,074 a $188,960,674</w:t>
      </w:r>
      <w:r w:rsidRPr="00901EB4">
        <w:rPr>
          <w:rFonts w:ascii="Soberana Sans Light" w:hAnsi="Soberana Sans Light"/>
          <w:color w:val="000000" w:themeColor="text1"/>
          <w:sz w:val="22"/>
          <w:szCs w:val="22"/>
          <w:lang w:val="es-MX"/>
        </w:rPr>
        <w:t xml:space="preserve"> </w:t>
      </w:r>
      <w:r>
        <w:rPr>
          <w:rFonts w:ascii="Soberana Sans Light" w:hAnsi="Soberana Sans Light"/>
          <w:sz w:val="22"/>
          <w:szCs w:val="22"/>
          <w:lang w:val="es-MX"/>
        </w:rPr>
        <w:t>durante el ejercicio 2015. El cambio observado se derivó de lo siguiente:</w:t>
      </w:r>
    </w:p>
    <w:p w:rsidR="0059171D" w:rsidRDefault="009F2E87" w:rsidP="00EF08B9">
      <w:pPr>
        <w:pStyle w:val="ROMANOS"/>
        <w:numPr>
          <w:ilvl w:val="0"/>
          <w:numId w:val="13"/>
        </w:numPr>
        <w:spacing w:after="0" w:line="240" w:lineRule="exact"/>
        <w:rPr>
          <w:rFonts w:ascii="Soberana Sans Light" w:hAnsi="Soberana Sans Light"/>
          <w:sz w:val="22"/>
          <w:szCs w:val="22"/>
          <w:lang w:val="es-MX"/>
        </w:rPr>
      </w:pPr>
      <w:r w:rsidRPr="0059171D">
        <w:rPr>
          <w:rFonts w:ascii="Soberana Sans Light" w:hAnsi="Soberana Sans Light"/>
          <w:sz w:val="22"/>
          <w:szCs w:val="22"/>
          <w:lang w:val="es-MX"/>
        </w:rPr>
        <w:t>Adquisiciones de mobiliario, equipo, insta</w:t>
      </w:r>
      <w:r w:rsidR="0059171D">
        <w:rPr>
          <w:rFonts w:ascii="Soberana Sans Light" w:hAnsi="Soberana Sans Light"/>
          <w:sz w:val="22"/>
          <w:szCs w:val="22"/>
          <w:lang w:val="es-MX"/>
        </w:rPr>
        <w:t>laciones y acervo bibliográfico.</w:t>
      </w:r>
    </w:p>
    <w:p w:rsidR="009F2E87" w:rsidRPr="0059171D" w:rsidRDefault="009F2E87" w:rsidP="00EF08B9">
      <w:pPr>
        <w:pStyle w:val="ROMANOS"/>
        <w:numPr>
          <w:ilvl w:val="0"/>
          <w:numId w:val="13"/>
        </w:numPr>
        <w:spacing w:after="0" w:line="240" w:lineRule="exact"/>
        <w:rPr>
          <w:rFonts w:ascii="Soberana Sans Light" w:hAnsi="Soberana Sans Light"/>
          <w:sz w:val="22"/>
          <w:szCs w:val="22"/>
          <w:lang w:val="es-MX"/>
        </w:rPr>
      </w:pPr>
      <w:r w:rsidRPr="0059171D">
        <w:rPr>
          <w:rFonts w:ascii="Soberana Sans Light" w:hAnsi="Soberana Sans Light"/>
          <w:sz w:val="22"/>
          <w:szCs w:val="22"/>
          <w:lang w:val="es-MX"/>
        </w:rPr>
        <w:t>Reducción en el importe de la cuenta de Resultado de Ejercicios Anteriores ya que al inicio del ejercicio contaba con un saldo d</w:t>
      </w:r>
      <w:r w:rsidR="00AE6120" w:rsidRPr="0059171D">
        <w:rPr>
          <w:rFonts w:ascii="Soberana Sans Light" w:hAnsi="Soberana Sans Light"/>
          <w:sz w:val="22"/>
          <w:szCs w:val="22"/>
          <w:lang w:val="es-MX"/>
        </w:rPr>
        <w:t>e</w:t>
      </w:r>
      <w:r w:rsidR="0048568B">
        <w:rPr>
          <w:rFonts w:ascii="Soberana Sans Light" w:hAnsi="Soberana Sans Light"/>
          <w:sz w:val="22"/>
          <w:szCs w:val="22"/>
          <w:lang w:val="es-MX"/>
        </w:rPr>
        <w:t xml:space="preserve"> $15,419,374 y a fines de septiembre</w:t>
      </w:r>
      <w:r w:rsidRPr="0059171D">
        <w:rPr>
          <w:rFonts w:ascii="Soberana Sans Light" w:hAnsi="Soberana Sans Light"/>
          <w:sz w:val="22"/>
          <w:szCs w:val="22"/>
          <w:lang w:val="es-MX"/>
        </w:rPr>
        <w:t xml:space="preserve"> de</w:t>
      </w:r>
      <w:r w:rsidR="00AE6120" w:rsidRPr="0059171D">
        <w:rPr>
          <w:rFonts w:ascii="Soberana Sans Light" w:hAnsi="Soberana Sans Light"/>
          <w:sz w:val="22"/>
          <w:szCs w:val="22"/>
          <w:lang w:val="es-MX"/>
        </w:rPr>
        <w:t xml:space="preserve"> 2015 el s</w:t>
      </w:r>
      <w:r w:rsidR="0059171D" w:rsidRPr="0059171D">
        <w:rPr>
          <w:rFonts w:ascii="Soberana Sans Light" w:hAnsi="Soberana Sans Light"/>
          <w:sz w:val="22"/>
          <w:szCs w:val="22"/>
          <w:lang w:val="es-MX"/>
        </w:rPr>
        <w:t xml:space="preserve">aldo es </w:t>
      </w:r>
      <w:r w:rsidR="0048568B">
        <w:rPr>
          <w:rFonts w:ascii="Soberana Sans Light" w:hAnsi="Soberana Sans Light"/>
          <w:sz w:val="22"/>
          <w:szCs w:val="22"/>
          <w:lang w:val="es-MX"/>
        </w:rPr>
        <w:t>de $12,999,697</w:t>
      </w:r>
      <w:r w:rsidRPr="0059171D">
        <w:rPr>
          <w:rFonts w:ascii="Soberana Sans Light" w:hAnsi="Soberana Sans Light"/>
          <w:sz w:val="22"/>
          <w:szCs w:val="22"/>
          <w:lang w:val="es-MX"/>
        </w:rPr>
        <w:t>. Lo anterior significa que de los saldos de importes por ejercer de ejercicios anteriores en su mayor parte del Fondo de Apoyo a la Calidad y otros Programas, han sido afectados durante el ejercicio 20</w:t>
      </w:r>
      <w:r w:rsidR="0048568B">
        <w:rPr>
          <w:rFonts w:ascii="Soberana Sans Light" w:hAnsi="Soberana Sans Light"/>
          <w:sz w:val="22"/>
          <w:szCs w:val="22"/>
          <w:lang w:val="es-MX"/>
        </w:rPr>
        <w:t>15 un importe neto de $2,419,677</w:t>
      </w:r>
      <w:r w:rsidR="0059171D">
        <w:rPr>
          <w:rFonts w:ascii="Soberana Sans Light" w:hAnsi="Soberana Sans Light"/>
          <w:sz w:val="22"/>
          <w:szCs w:val="22"/>
          <w:lang w:val="es-MX"/>
        </w:rPr>
        <w:t>.</w:t>
      </w:r>
    </w:p>
    <w:p w:rsidR="009F2E87" w:rsidRDefault="009F2E87" w:rsidP="009F2E87">
      <w:pPr>
        <w:pStyle w:val="ROMANOS"/>
        <w:numPr>
          <w:ilvl w:val="0"/>
          <w:numId w:val="13"/>
        </w:numPr>
        <w:spacing w:after="0" w:line="240" w:lineRule="exact"/>
        <w:rPr>
          <w:rFonts w:ascii="Soberana Sans Light" w:hAnsi="Soberana Sans Light"/>
          <w:sz w:val="22"/>
          <w:szCs w:val="22"/>
          <w:lang w:val="es-MX"/>
        </w:rPr>
      </w:pPr>
      <w:r>
        <w:rPr>
          <w:rFonts w:ascii="Soberana Sans Light" w:hAnsi="Soberana Sans Light"/>
          <w:sz w:val="22"/>
          <w:szCs w:val="22"/>
          <w:lang w:val="es-MX"/>
        </w:rPr>
        <w:t>La Universidad cuenta con dos Fondos: el Fondo de Contingencias que dism</w:t>
      </w:r>
      <w:r w:rsidR="0048568B">
        <w:rPr>
          <w:rFonts w:ascii="Soberana Sans Light" w:hAnsi="Soberana Sans Light"/>
          <w:sz w:val="22"/>
          <w:szCs w:val="22"/>
          <w:lang w:val="es-MX"/>
        </w:rPr>
        <w:t>inuyó de $8,897,807 a $4,333,917</w:t>
      </w:r>
      <w:r>
        <w:rPr>
          <w:rFonts w:ascii="Soberana Sans Light" w:hAnsi="Soberana Sans Light"/>
          <w:sz w:val="22"/>
          <w:szCs w:val="22"/>
          <w:lang w:val="es-MX"/>
        </w:rPr>
        <w:t xml:space="preserve"> por concepto de las afectaciones contables derivadas de la ejecución del Plan de Mantenimiento a Instalaciones 2015</w:t>
      </w:r>
      <w:r w:rsidR="0048568B">
        <w:rPr>
          <w:rFonts w:ascii="Soberana Sans Light" w:hAnsi="Soberana Sans Light"/>
          <w:sz w:val="22"/>
          <w:szCs w:val="22"/>
          <w:lang w:val="es-MX"/>
        </w:rPr>
        <w:t>, la Adquisición de Parque Vehicular y Equipo de Vigilancia y el pago de Gastos Indirectos por las obras nuevas a realizar, mismos que fueron</w:t>
      </w:r>
      <w:r>
        <w:rPr>
          <w:rFonts w:ascii="Soberana Sans Light" w:hAnsi="Soberana Sans Light"/>
          <w:sz w:val="22"/>
          <w:szCs w:val="22"/>
          <w:lang w:val="es-MX"/>
        </w:rPr>
        <w:t xml:space="preserve"> aprobado</w:t>
      </w:r>
      <w:r w:rsidR="0048568B">
        <w:rPr>
          <w:rFonts w:ascii="Soberana Sans Light" w:hAnsi="Soberana Sans Light"/>
          <w:sz w:val="22"/>
          <w:szCs w:val="22"/>
          <w:lang w:val="es-MX"/>
        </w:rPr>
        <w:t>s</w:t>
      </w:r>
      <w:r>
        <w:rPr>
          <w:rFonts w:ascii="Soberana Sans Light" w:hAnsi="Soberana Sans Light"/>
          <w:sz w:val="22"/>
          <w:szCs w:val="22"/>
          <w:lang w:val="es-MX"/>
        </w:rPr>
        <w:t xml:space="preserve"> por el Consejo Directivo. Mientras tanto, derivado de un Acuerdo del Consejo Directivo de la Institución se creó durante 2014 un Fondo de Reserva para Seguridad Social por $1,071,272 mismo que al presente año no ha sufrido modificaciones.</w:t>
      </w:r>
    </w:p>
    <w:p w:rsidR="009F2E87" w:rsidRPr="00540418" w:rsidRDefault="009F2E87" w:rsidP="009F2E87">
      <w:pPr>
        <w:pStyle w:val="ROMANOS"/>
        <w:spacing w:after="0" w:line="240" w:lineRule="exact"/>
        <w:ind w:left="1083" w:firstLine="0"/>
        <w:rPr>
          <w:rFonts w:ascii="Soberana Sans Light" w:hAnsi="Soberana Sans Light"/>
          <w:sz w:val="22"/>
          <w:szCs w:val="22"/>
          <w:lang w:val="es-MX"/>
        </w:rPr>
      </w:pPr>
    </w:p>
    <w:p w:rsidR="009F2E87" w:rsidRPr="00540418" w:rsidRDefault="009F2E87" w:rsidP="009F2E87">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w:t>
      </w:r>
      <w:r w:rsidRPr="00540418">
        <w:rPr>
          <w:rFonts w:ascii="Soberana Sans Light" w:hAnsi="Soberana Sans Light"/>
          <w:sz w:val="22"/>
          <w:szCs w:val="22"/>
          <w:lang w:val="es-MX"/>
        </w:rPr>
        <w:tab/>
      </w:r>
      <w:r>
        <w:rPr>
          <w:rFonts w:ascii="Soberana Sans Light" w:hAnsi="Soberana Sans Light"/>
          <w:sz w:val="22"/>
          <w:szCs w:val="22"/>
          <w:lang w:val="es-MX"/>
        </w:rPr>
        <w:t>La Universidad Tecnológica de Tlaxcala obtuvo un superávit acumulad</w:t>
      </w:r>
      <w:r w:rsidR="0059171D">
        <w:rPr>
          <w:rFonts w:ascii="Soberana Sans Light" w:hAnsi="Soberana Sans Light"/>
          <w:sz w:val="22"/>
          <w:szCs w:val="22"/>
          <w:lang w:val="es-MX"/>
        </w:rPr>
        <w:t>o por la cantida</w:t>
      </w:r>
      <w:r w:rsidR="0048568B">
        <w:rPr>
          <w:rFonts w:ascii="Soberana Sans Light" w:hAnsi="Soberana Sans Light"/>
          <w:sz w:val="22"/>
          <w:szCs w:val="22"/>
          <w:lang w:val="es-MX"/>
        </w:rPr>
        <w:t>d de $30,531,165 al 30 de septiembre</w:t>
      </w:r>
      <w:r>
        <w:rPr>
          <w:rFonts w:ascii="Soberana Sans Light" w:hAnsi="Soberana Sans Light"/>
          <w:sz w:val="22"/>
          <w:szCs w:val="22"/>
          <w:lang w:val="es-MX"/>
        </w:rPr>
        <w:t xml:space="preserve"> de 2015. Este importe se deriva</w:t>
      </w:r>
      <w:r w:rsidR="0048568B">
        <w:rPr>
          <w:rFonts w:ascii="Soberana Sans Light" w:hAnsi="Soberana Sans Light"/>
          <w:sz w:val="22"/>
          <w:szCs w:val="22"/>
          <w:lang w:val="es-MX"/>
        </w:rPr>
        <w:t xml:space="preserve"> de dos situaciones: los</w:t>
      </w:r>
      <w:r w:rsidR="0059171D">
        <w:rPr>
          <w:rFonts w:ascii="Soberana Sans Light" w:hAnsi="Soberana Sans Light"/>
          <w:sz w:val="22"/>
          <w:szCs w:val="22"/>
          <w:lang w:val="es-MX"/>
        </w:rPr>
        <w:t xml:space="preserve"> recurso</w:t>
      </w:r>
      <w:r w:rsidR="0048568B">
        <w:rPr>
          <w:rFonts w:ascii="Soberana Sans Light" w:hAnsi="Soberana Sans Light"/>
          <w:sz w:val="22"/>
          <w:szCs w:val="22"/>
          <w:lang w:val="es-MX"/>
        </w:rPr>
        <w:t>s</w:t>
      </w:r>
      <w:r>
        <w:rPr>
          <w:rFonts w:ascii="Soberana Sans Light" w:hAnsi="Soberana Sans Light"/>
          <w:sz w:val="22"/>
          <w:szCs w:val="22"/>
          <w:lang w:val="es-MX"/>
        </w:rPr>
        <w:t xml:space="preserve"> del Fondo de Aport</w:t>
      </w:r>
      <w:r w:rsidR="0059171D">
        <w:rPr>
          <w:rFonts w:ascii="Soberana Sans Light" w:hAnsi="Soberana Sans Light"/>
          <w:sz w:val="22"/>
          <w:szCs w:val="22"/>
          <w:lang w:val="es-MX"/>
        </w:rPr>
        <w:t>aciones Múltiples</w:t>
      </w:r>
      <w:r w:rsidR="0048568B">
        <w:rPr>
          <w:rFonts w:ascii="Soberana Sans Light" w:hAnsi="Soberana Sans Light"/>
          <w:sz w:val="22"/>
          <w:szCs w:val="22"/>
          <w:lang w:val="es-MX"/>
        </w:rPr>
        <w:t xml:space="preserve"> y del PROEXOEES 2015</w:t>
      </w:r>
      <w:r>
        <w:rPr>
          <w:rFonts w:ascii="Soberana Sans Light" w:hAnsi="Soberana Sans Light"/>
          <w:sz w:val="22"/>
          <w:szCs w:val="22"/>
          <w:lang w:val="es-MX"/>
        </w:rPr>
        <w:t xml:space="preserve"> pendientes de ejercer pues fueron recientemente radicados y el resto corresponde a las prestaciones de fin de año que serán pagadas a los trabajadores en diciembre de 2015.</w:t>
      </w:r>
    </w:p>
    <w:p w:rsidR="009F2E87" w:rsidRPr="00540418" w:rsidRDefault="009F2E87" w:rsidP="008F43BD">
      <w:pPr>
        <w:pStyle w:val="ROMANOS"/>
        <w:spacing w:after="0" w:line="240" w:lineRule="exact"/>
        <w:ind w:left="0" w:firstLine="0"/>
        <w:rPr>
          <w:rFonts w:ascii="Soberana Sans Light" w:hAnsi="Soberana Sans Light"/>
          <w:sz w:val="22"/>
          <w:szCs w:val="22"/>
          <w:lang w:val="es-MX"/>
        </w:rPr>
      </w:pPr>
    </w:p>
    <w:p w:rsidR="009F2E87" w:rsidRPr="00540418" w:rsidRDefault="009F2E87" w:rsidP="009F2E87">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sidRPr="00540418">
        <w:rPr>
          <w:rFonts w:ascii="Soberana Sans Light" w:hAnsi="Soberana Sans Light"/>
          <w:b/>
          <w:smallCaps/>
          <w:sz w:val="22"/>
          <w:szCs w:val="22"/>
        </w:rPr>
        <w:tab/>
        <w:t xml:space="preserve">Notas al Estado de Flujos de Efectivo </w:t>
      </w:r>
    </w:p>
    <w:p w:rsidR="009F2E87" w:rsidRPr="00540418" w:rsidRDefault="009F2E87" w:rsidP="009F2E87">
      <w:pPr>
        <w:pStyle w:val="INCISO"/>
        <w:spacing w:after="0" w:line="240" w:lineRule="exact"/>
        <w:ind w:left="360"/>
        <w:rPr>
          <w:rFonts w:ascii="Soberana Sans Light" w:hAnsi="Soberana Sans Light"/>
          <w:b/>
          <w:smallCaps/>
          <w:sz w:val="22"/>
          <w:szCs w:val="22"/>
        </w:rPr>
      </w:pPr>
    </w:p>
    <w:p w:rsidR="009F2E87" w:rsidRPr="00540418" w:rsidRDefault="009F2E87" w:rsidP="009F2E87">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9F2E87" w:rsidRDefault="009F2E87" w:rsidP="009F2E87">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El análisis de los saldos inicial y final que figuran en la última parte del Estado de Flujo de Efectivo en la cuenta de efectivo y equivalentes es como sigue:</w:t>
      </w:r>
    </w:p>
    <w:p w:rsidR="009F2E87" w:rsidRPr="00540418" w:rsidRDefault="009F2E87" w:rsidP="009F2E87">
      <w:pPr>
        <w:pStyle w:val="ROMANOS"/>
        <w:spacing w:after="0" w:line="240" w:lineRule="exact"/>
        <w:ind w:left="648"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4450"/>
        <w:gridCol w:w="1354"/>
        <w:gridCol w:w="1417"/>
        <w:gridCol w:w="1417"/>
      </w:tblGrid>
      <w:tr w:rsidR="009F2E87" w:rsidRPr="00540418" w:rsidTr="009F2E87">
        <w:trPr>
          <w:cantSplit/>
          <w:jc w:val="center"/>
        </w:trPr>
        <w:tc>
          <w:tcPr>
            <w:tcW w:w="4450"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rPr>
                <w:rFonts w:ascii="Soberana Sans Light" w:hAnsi="Soberana Sans Light"/>
                <w:sz w:val="22"/>
                <w:szCs w:val="22"/>
                <w:lang w:val="es-MX"/>
              </w:rPr>
            </w:pPr>
          </w:p>
        </w:tc>
        <w:tc>
          <w:tcPr>
            <w:tcW w:w="1354" w:type="dxa"/>
            <w:tcBorders>
              <w:top w:val="single" w:sz="6" w:space="0" w:color="auto"/>
              <w:left w:val="single" w:sz="6" w:space="0" w:color="auto"/>
              <w:bottom w:val="single" w:sz="6" w:space="0" w:color="auto"/>
              <w:right w:val="single" w:sz="6" w:space="0" w:color="auto"/>
            </w:tcBorders>
          </w:tcPr>
          <w:p w:rsidR="009F2E87" w:rsidRPr="00EA7F99" w:rsidRDefault="00F74137" w:rsidP="009F2E87">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2015 (sep</w:t>
            </w:r>
            <w:r w:rsidR="009F2E87">
              <w:rPr>
                <w:rFonts w:ascii="Soberana Sans Light" w:hAnsi="Soberana Sans Light"/>
                <w:b/>
                <w:sz w:val="22"/>
                <w:szCs w:val="22"/>
                <w:lang w:val="es-MX"/>
              </w:rPr>
              <w:t>)</w:t>
            </w:r>
          </w:p>
        </w:tc>
        <w:tc>
          <w:tcPr>
            <w:tcW w:w="1417" w:type="dxa"/>
            <w:tcBorders>
              <w:top w:val="single" w:sz="6" w:space="0" w:color="auto"/>
              <w:left w:val="single" w:sz="6" w:space="0" w:color="auto"/>
              <w:bottom w:val="single" w:sz="6" w:space="0" w:color="auto"/>
              <w:right w:val="single" w:sz="6" w:space="0" w:color="auto"/>
            </w:tcBorders>
          </w:tcPr>
          <w:p w:rsidR="009F2E87" w:rsidRPr="00EA7F99" w:rsidRDefault="009F2E87" w:rsidP="009F2E87">
            <w:pPr>
              <w:pStyle w:val="Texto"/>
              <w:spacing w:after="0" w:line="240" w:lineRule="exact"/>
              <w:ind w:firstLine="0"/>
              <w:jc w:val="center"/>
              <w:rPr>
                <w:rFonts w:ascii="Soberana Sans Light" w:hAnsi="Soberana Sans Light"/>
                <w:b/>
                <w:sz w:val="22"/>
                <w:szCs w:val="22"/>
                <w:lang w:val="es-MX"/>
              </w:rPr>
            </w:pPr>
            <w:r w:rsidRPr="00EA7F99">
              <w:rPr>
                <w:rFonts w:ascii="Soberana Sans Light" w:hAnsi="Soberana Sans Light"/>
                <w:b/>
                <w:sz w:val="22"/>
                <w:szCs w:val="22"/>
                <w:lang w:val="es-MX"/>
              </w:rPr>
              <w:t>2014</w:t>
            </w:r>
          </w:p>
        </w:tc>
        <w:tc>
          <w:tcPr>
            <w:tcW w:w="1417" w:type="dxa"/>
            <w:tcBorders>
              <w:top w:val="single" w:sz="6" w:space="0" w:color="auto"/>
              <w:left w:val="single" w:sz="6" w:space="0" w:color="auto"/>
              <w:bottom w:val="single" w:sz="6" w:space="0" w:color="auto"/>
              <w:right w:val="single" w:sz="6" w:space="0" w:color="auto"/>
            </w:tcBorders>
          </w:tcPr>
          <w:p w:rsidR="009F2E87" w:rsidRPr="00EA7F99" w:rsidRDefault="009F2E87" w:rsidP="009F2E87">
            <w:pPr>
              <w:pStyle w:val="Texto"/>
              <w:spacing w:after="0" w:line="240" w:lineRule="exact"/>
              <w:ind w:firstLine="0"/>
              <w:jc w:val="center"/>
              <w:rPr>
                <w:rFonts w:ascii="Soberana Sans Light" w:hAnsi="Soberana Sans Light"/>
                <w:b/>
                <w:sz w:val="22"/>
                <w:szCs w:val="22"/>
                <w:lang w:val="es-MX"/>
              </w:rPr>
            </w:pPr>
            <w:r w:rsidRPr="00EA7F99">
              <w:rPr>
                <w:rFonts w:ascii="Soberana Sans Light" w:hAnsi="Soberana Sans Light"/>
                <w:b/>
                <w:sz w:val="22"/>
                <w:szCs w:val="22"/>
                <w:lang w:val="es-MX"/>
              </w:rPr>
              <w:t>2013</w:t>
            </w:r>
          </w:p>
        </w:tc>
      </w:tr>
      <w:tr w:rsidR="009F2E87" w:rsidRPr="00540418" w:rsidTr="009F2E87">
        <w:trPr>
          <w:cantSplit/>
          <w:jc w:val="center"/>
        </w:trPr>
        <w:tc>
          <w:tcPr>
            <w:tcW w:w="4450"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–Tesorería</w:t>
            </w:r>
          </w:p>
        </w:tc>
        <w:tc>
          <w:tcPr>
            <w:tcW w:w="1354" w:type="dxa"/>
            <w:tcBorders>
              <w:top w:val="single" w:sz="6" w:space="0" w:color="auto"/>
              <w:left w:val="single" w:sz="6" w:space="0" w:color="auto"/>
              <w:bottom w:val="single" w:sz="6" w:space="0" w:color="auto"/>
              <w:right w:val="single" w:sz="6" w:space="0" w:color="auto"/>
            </w:tcBorders>
          </w:tcPr>
          <w:p w:rsidR="009F2E87" w:rsidRPr="00540418" w:rsidRDefault="0048568B" w:rsidP="009F2E87">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16,364,770</w:t>
            </w:r>
          </w:p>
        </w:tc>
        <w:tc>
          <w:tcPr>
            <w:tcW w:w="1417"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5,936,442</w:t>
            </w:r>
          </w:p>
        </w:tc>
        <w:tc>
          <w:tcPr>
            <w:tcW w:w="1417"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6,368,656</w:t>
            </w:r>
          </w:p>
        </w:tc>
      </w:tr>
      <w:tr w:rsidR="009F2E87" w:rsidRPr="00540418" w:rsidTr="009F2E87">
        <w:trPr>
          <w:cantSplit/>
          <w:jc w:val="center"/>
        </w:trPr>
        <w:tc>
          <w:tcPr>
            <w:tcW w:w="4450"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Dependencias</w:t>
            </w:r>
          </w:p>
        </w:tc>
        <w:tc>
          <w:tcPr>
            <w:tcW w:w="1354"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jc w:val="right"/>
              <w:rPr>
                <w:rFonts w:ascii="Soberana Sans Light" w:hAnsi="Soberana Sans Light"/>
                <w:sz w:val="22"/>
                <w:szCs w:val="22"/>
                <w:lang w:val="es-MX"/>
              </w:rPr>
            </w:pPr>
          </w:p>
        </w:tc>
        <w:tc>
          <w:tcPr>
            <w:tcW w:w="1417"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jc w:val="right"/>
              <w:rPr>
                <w:rFonts w:ascii="Soberana Sans Light" w:hAnsi="Soberana Sans Light"/>
                <w:sz w:val="22"/>
                <w:szCs w:val="22"/>
                <w:lang w:val="es-MX"/>
              </w:rPr>
            </w:pPr>
          </w:p>
        </w:tc>
        <w:tc>
          <w:tcPr>
            <w:tcW w:w="1417"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jc w:val="right"/>
              <w:rPr>
                <w:rFonts w:ascii="Soberana Sans Light" w:hAnsi="Soberana Sans Light"/>
                <w:sz w:val="22"/>
                <w:szCs w:val="22"/>
                <w:lang w:val="es-MX"/>
              </w:rPr>
            </w:pPr>
          </w:p>
        </w:tc>
      </w:tr>
      <w:tr w:rsidR="009F2E87" w:rsidRPr="00540418" w:rsidTr="009F2E87">
        <w:trPr>
          <w:cantSplit/>
          <w:jc w:val="center"/>
        </w:trPr>
        <w:tc>
          <w:tcPr>
            <w:tcW w:w="4450"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 xml:space="preserve">Inversiones temporales (hasta 3 meses) </w:t>
            </w:r>
          </w:p>
        </w:tc>
        <w:tc>
          <w:tcPr>
            <w:tcW w:w="1354" w:type="dxa"/>
            <w:tcBorders>
              <w:top w:val="single" w:sz="6" w:space="0" w:color="auto"/>
              <w:left w:val="single" w:sz="6" w:space="0" w:color="auto"/>
              <w:bottom w:val="single" w:sz="6" w:space="0" w:color="auto"/>
              <w:right w:val="single" w:sz="6" w:space="0" w:color="auto"/>
            </w:tcBorders>
          </w:tcPr>
          <w:p w:rsidR="009F2E87" w:rsidRPr="00540418" w:rsidRDefault="007113F3" w:rsidP="009F2E87">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26,385</w:t>
            </w:r>
            <w:r w:rsidR="0034676F">
              <w:rPr>
                <w:rFonts w:ascii="Soberana Sans Light" w:hAnsi="Soberana Sans Light"/>
                <w:sz w:val="22"/>
                <w:szCs w:val="22"/>
                <w:lang w:val="es-MX"/>
              </w:rPr>
              <w:t>,720</w:t>
            </w:r>
          </w:p>
        </w:tc>
        <w:tc>
          <w:tcPr>
            <w:tcW w:w="1417"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20,335,720</w:t>
            </w:r>
          </w:p>
        </w:tc>
        <w:tc>
          <w:tcPr>
            <w:tcW w:w="1417"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28,064,461</w:t>
            </w:r>
          </w:p>
        </w:tc>
      </w:tr>
      <w:tr w:rsidR="009F2E87" w:rsidRPr="00540418" w:rsidTr="009F2E87">
        <w:trPr>
          <w:cantSplit/>
          <w:jc w:val="center"/>
        </w:trPr>
        <w:tc>
          <w:tcPr>
            <w:tcW w:w="4450"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Fondos con afectación específica</w:t>
            </w:r>
          </w:p>
        </w:tc>
        <w:tc>
          <w:tcPr>
            <w:tcW w:w="1354"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jc w:val="right"/>
              <w:rPr>
                <w:rFonts w:ascii="Soberana Sans Light" w:hAnsi="Soberana Sans Light"/>
                <w:sz w:val="22"/>
                <w:szCs w:val="22"/>
                <w:lang w:val="es-MX"/>
              </w:rPr>
            </w:pPr>
          </w:p>
        </w:tc>
        <w:tc>
          <w:tcPr>
            <w:tcW w:w="1417"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jc w:val="right"/>
              <w:rPr>
                <w:rFonts w:ascii="Soberana Sans Light" w:hAnsi="Soberana Sans Light"/>
                <w:sz w:val="22"/>
                <w:szCs w:val="22"/>
                <w:lang w:val="es-MX"/>
              </w:rPr>
            </w:pPr>
          </w:p>
        </w:tc>
        <w:tc>
          <w:tcPr>
            <w:tcW w:w="1417"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jc w:val="right"/>
              <w:rPr>
                <w:rFonts w:ascii="Soberana Sans Light" w:hAnsi="Soberana Sans Light"/>
                <w:sz w:val="22"/>
                <w:szCs w:val="22"/>
                <w:lang w:val="es-MX"/>
              </w:rPr>
            </w:pPr>
          </w:p>
        </w:tc>
      </w:tr>
      <w:tr w:rsidR="009F2E87" w:rsidRPr="00540418" w:rsidTr="009F2E87">
        <w:trPr>
          <w:cantSplit/>
          <w:jc w:val="center"/>
        </w:trPr>
        <w:tc>
          <w:tcPr>
            <w:tcW w:w="4450"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Depósitos de fondos de terceros y otros</w:t>
            </w:r>
          </w:p>
        </w:tc>
        <w:tc>
          <w:tcPr>
            <w:tcW w:w="1354"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jc w:val="right"/>
              <w:rPr>
                <w:rFonts w:ascii="Soberana Sans Light" w:hAnsi="Soberana Sans Light"/>
                <w:sz w:val="22"/>
                <w:szCs w:val="22"/>
                <w:lang w:val="es-MX"/>
              </w:rPr>
            </w:pPr>
          </w:p>
        </w:tc>
        <w:tc>
          <w:tcPr>
            <w:tcW w:w="1417"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jc w:val="right"/>
              <w:rPr>
                <w:rFonts w:ascii="Soberana Sans Light" w:hAnsi="Soberana Sans Light"/>
                <w:sz w:val="22"/>
                <w:szCs w:val="22"/>
                <w:lang w:val="es-MX"/>
              </w:rPr>
            </w:pPr>
          </w:p>
        </w:tc>
        <w:tc>
          <w:tcPr>
            <w:tcW w:w="1417"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jc w:val="right"/>
              <w:rPr>
                <w:rFonts w:ascii="Soberana Sans Light" w:hAnsi="Soberana Sans Light"/>
                <w:sz w:val="22"/>
                <w:szCs w:val="22"/>
                <w:lang w:val="es-MX"/>
              </w:rPr>
            </w:pPr>
          </w:p>
        </w:tc>
      </w:tr>
      <w:tr w:rsidR="009F2E87" w:rsidRPr="00540418" w:rsidTr="009F2E87">
        <w:trPr>
          <w:cantSplit/>
          <w:jc w:val="center"/>
        </w:trPr>
        <w:tc>
          <w:tcPr>
            <w:tcW w:w="4450"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Total de Efectivo y Equivalentes</w:t>
            </w:r>
          </w:p>
        </w:tc>
        <w:tc>
          <w:tcPr>
            <w:tcW w:w="1354" w:type="dxa"/>
            <w:tcBorders>
              <w:top w:val="single" w:sz="6" w:space="0" w:color="auto"/>
              <w:left w:val="single" w:sz="6" w:space="0" w:color="auto"/>
              <w:bottom w:val="single" w:sz="6" w:space="0" w:color="auto"/>
              <w:right w:val="single" w:sz="6" w:space="0" w:color="auto"/>
            </w:tcBorders>
          </w:tcPr>
          <w:p w:rsidR="009F2E87" w:rsidRPr="00540418" w:rsidRDefault="007113F3" w:rsidP="009F2E87">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42,750,490</w:t>
            </w:r>
          </w:p>
        </w:tc>
        <w:tc>
          <w:tcPr>
            <w:tcW w:w="1417"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26,272,162</w:t>
            </w:r>
          </w:p>
        </w:tc>
        <w:tc>
          <w:tcPr>
            <w:tcW w:w="1417"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34,453,367</w:t>
            </w:r>
          </w:p>
        </w:tc>
      </w:tr>
    </w:tbl>
    <w:p w:rsidR="009F2E87" w:rsidRDefault="009F2E87" w:rsidP="009F2E87">
      <w:pPr>
        <w:pStyle w:val="Texto"/>
        <w:spacing w:after="0" w:line="240" w:lineRule="exact"/>
        <w:rPr>
          <w:rFonts w:ascii="Soberana Sans Light" w:hAnsi="Soberana Sans Light"/>
          <w:sz w:val="22"/>
          <w:szCs w:val="22"/>
          <w:lang w:val="es-MX"/>
        </w:rPr>
      </w:pPr>
    </w:p>
    <w:p w:rsidR="008F43BD" w:rsidRDefault="008F43BD" w:rsidP="00E70878">
      <w:pPr>
        <w:pStyle w:val="Texto"/>
        <w:spacing w:after="0" w:line="240" w:lineRule="exact"/>
        <w:ind w:firstLine="0"/>
        <w:rPr>
          <w:rFonts w:ascii="Soberana Sans Light" w:hAnsi="Soberana Sans Light"/>
          <w:sz w:val="22"/>
          <w:szCs w:val="22"/>
          <w:lang w:val="es-MX"/>
        </w:rPr>
      </w:pPr>
    </w:p>
    <w:p w:rsidR="008F43BD" w:rsidRDefault="008F43BD" w:rsidP="009F2E87">
      <w:pPr>
        <w:pStyle w:val="Texto"/>
        <w:spacing w:after="0" w:line="240" w:lineRule="exact"/>
        <w:rPr>
          <w:rFonts w:ascii="Soberana Sans Light" w:hAnsi="Soberana Sans Light"/>
          <w:sz w:val="22"/>
          <w:szCs w:val="22"/>
          <w:lang w:val="es-MX"/>
        </w:rPr>
      </w:pPr>
    </w:p>
    <w:p w:rsidR="008F43BD" w:rsidRPr="00540418" w:rsidRDefault="008F43BD" w:rsidP="009F2E87">
      <w:pPr>
        <w:pStyle w:val="Texto"/>
        <w:spacing w:after="0" w:line="240" w:lineRule="exact"/>
        <w:rPr>
          <w:rFonts w:ascii="Soberana Sans Light" w:hAnsi="Soberana Sans Light"/>
          <w:sz w:val="22"/>
          <w:szCs w:val="22"/>
          <w:lang w:val="es-MX"/>
        </w:rPr>
      </w:pPr>
    </w:p>
    <w:p w:rsidR="009F2E87" w:rsidRDefault="009F2E87" w:rsidP="009F2E87">
      <w:pPr>
        <w:pStyle w:val="ROMANOS"/>
        <w:numPr>
          <w:ilvl w:val="0"/>
          <w:numId w:val="3"/>
        </w:numPr>
        <w:spacing w:after="0" w:line="240" w:lineRule="exact"/>
        <w:ind w:firstLine="0"/>
        <w:rPr>
          <w:rFonts w:ascii="Soberana Sans Light" w:hAnsi="Soberana Sans Light"/>
          <w:sz w:val="22"/>
          <w:szCs w:val="22"/>
          <w:lang w:val="es-MX"/>
        </w:rPr>
      </w:pPr>
      <w:r w:rsidRPr="00EA7F99">
        <w:rPr>
          <w:rFonts w:ascii="Soberana Sans Light" w:hAnsi="Soberana Sans Light"/>
          <w:sz w:val="22"/>
          <w:szCs w:val="22"/>
          <w:lang w:val="es-MX"/>
        </w:rPr>
        <w:t>Las adquisiciones de bienes muebles e inmuebles</w:t>
      </w:r>
      <w:r w:rsidR="0034676F">
        <w:rPr>
          <w:rFonts w:ascii="Soberana Sans Light" w:hAnsi="Soberana Sans Light"/>
          <w:sz w:val="22"/>
          <w:szCs w:val="22"/>
          <w:lang w:val="es-MX"/>
        </w:rPr>
        <w:t xml:space="preserve"> dura</w:t>
      </w:r>
      <w:r w:rsidR="007113F3">
        <w:rPr>
          <w:rFonts w:ascii="Soberana Sans Light" w:hAnsi="Soberana Sans Light"/>
          <w:sz w:val="22"/>
          <w:szCs w:val="22"/>
          <w:lang w:val="es-MX"/>
        </w:rPr>
        <w:t>nte el periodo de enero a septiembre</w:t>
      </w:r>
      <w:r w:rsidR="0034676F">
        <w:rPr>
          <w:rFonts w:ascii="Soberana Sans Light" w:hAnsi="Soberana Sans Light"/>
          <w:sz w:val="22"/>
          <w:szCs w:val="22"/>
          <w:lang w:val="es-MX"/>
        </w:rPr>
        <w:t xml:space="preserve"> </w:t>
      </w:r>
      <w:r>
        <w:rPr>
          <w:rFonts w:ascii="Soberana Sans Light" w:hAnsi="Soberana Sans Light"/>
          <w:sz w:val="22"/>
          <w:szCs w:val="22"/>
          <w:lang w:val="es-MX"/>
        </w:rPr>
        <w:t>de 2015 han sido</w:t>
      </w:r>
      <w:r w:rsidRPr="00EA7F99">
        <w:rPr>
          <w:rFonts w:ascii="Soberana Sans Light" w:hAnsi="Soberana Sans Light"/>
          <w:sz w:val="22"/>
          <w:szCs w:val="22"/>
          <w:lang w:val="es-MX"/>
        </w:rPr>
        <w:t xml:space="preserve"> de </w:t>
      </w:r>
      <w:r w:rsidR="0034676F">
        <w:rPr>
          <w:rFonts w:ascii="Soberana Sans Light" w:hAnsi="Soberana Sans Light"/>
          <w:sz w:val="22"/>
          <w:szCs w:val="22"/>
          <w:lang w:val="es-MX"/>
        </w:rPr>
        <w:t>$</w:t>
      </w:r>
      <w:r w:rsidR="00F74137">
        <w:rPr>
          <w:rFonts w:ascii="Soberana Sans Light" w:hAnsi="Soberana Sans Light"/>
          <w:sz w:val="22"/>
          <w:szCs w:val="22"/>
          <w:lang w:val="es-MX"/>
        </w:rPr>
        <w:t>6,174,157.</w:t>
      </w:r>
    </w:p>
    <w:p w:rsidR="009F2E87" w:rsidRPr="00EA7F99" w:rsidRDefault="009F2E87" w:rsidP="009F2E87">
      <w:pPr>
        <w:pStyle w:val="ROMANOS"/>
        <w:spacing w:after="0" w:line="240" w:lineRule="exact"/>
        <w:rPr>
          <w:rFonts w:ascii="Soberana Sans Light" w:hAnsi="Soberana Sans Light"/>
          <w:sz w:val="22"/>
          <w:szCs w:val="22"/>
          <w:lang w:val="es-MX"/>
        </w:rPr>
      </w:pPr>
    </w:p>
    <w:tbl>
      <w:tblPr>
        <w:tblW w:w="114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40"/>
        <w:gridCol w:w="1960"/>
        <w:gridCol w:w="1760"/>
        <w:gridCol w:w="1960"/>
      </w:tblGrid>
      <w:tr w:rsidR="009F2E87" w:rsidRPr="00CA7B06" w:rsidTr="009F2E87">
        <w:trPr>
          <w:trHeight w:val="390"/>
        </w:trPr>
        <w:tc>
          <w:tcPr>
            <w:tcW w:w="5740" w:type="dxa"/>
            <w:shd w:val="clear" w:color="auto" w:fill="auto"/>
            <w:noWrap/>
            <w:vAlign w:val="bottom"/>
            <w:hideMark/>
          </w:tcPr>
          <w:p w:rsidR="009F2E87" w:rsidRPr="00CA7B06" w:rsidRDefault="009F2E87" w:rsidP="009F2E87">
            <w:pPr>
              <w:pStyle w:val="Texto"/>
              <w:spacing w:after="0" w:line="240" w:lineRule="exact"/>
              <w:ind w:firstLine="0"/>
              <w:rPr>
                <w:rFonts w:ascii="Soberana Sans Light" w:hAnsi="Soberana Sans Light"/>
                <w:b/>
                <w:sz w:val="22"/>
                <w:szCs w:val="22"/>
                <w:lang w:val="es-MX"/>
              </w:rPr>
            </w:pPr>
            <w:r w:rsidRPr="00CA7B06">
              <w:rPr>
                <w:rFonts w:ascii="Soberana Sans Light" w:hAnsi="Soberana Sans Light"/>
                <w:b/>
                <w:sz w:val="22"/>
                <w:szCs w:val="22"/>
                <w:lang w:val="es-MX"/>
              </w:rPr>
              <w:t>BIENES MUEBLES E INMUEBLES</w:t>
            </w:r>
          </w:p>
        </w:tc>
        <w:tc>
          <w:tcPr>
            <w:tcW w:w="1960" w:type="dxa"/>
            <w:shd w:val="clear" w:color="auto" w:fill="auto"/>
            <w:noWrap/>
            <w:vAlign w:val="bottom"/>
            <w:hideMark/>
          </w:tcPr>
          <w:p w:rsidR="009F2E87" w:rsidRPr="00CA7B06" w:rsidRDefault="009F2E87" w:rsidP="009F2E87">
            <w:pPr>
              <w:pStyle w:val="Texto"/>
              <w:spacing w:after="0" w:line="240" w:lineRule="exact"/>
              <w:ind w:firstLine="0"/>
              <w:jc w:val="right"/>
              <w:rPr>
                <w:rFonts w:ascii="Soberana Sans Light" w:hAnsi="Soberana Sans Light"/>
                <w:b/>
                <w:sz w:val="22"/>
                <w:szCs w:val="22"/>
                <w:lang w:val="es-MX"/>
              </w:rPr>
            </w:pPr>
            <w:r w:rsidRPr="00EA7F99">
              <w:rPr>
                <w:rFonts w:ascii="Soberana Sans Light" w:hAnsi="Soberana Sans Light"/>
                <w:b/>
                <w:sz w:val="22"/>
                <w:szCs w:val="22"/>
                <w:lang w:val="es-MX"/>
              </w:rPr>
              <w:t>SALDO INICIAL</w:t>
            </w:r>
          </w:p>
        </w:tc>
        <w:tc>
          <w:tcPr>
            <w:tcW w:w="1760" w:type="dxa"/>
            <w:shd w:val="clear" w:color="auto" w:fill="auto"/>
            <w:noWrap/>
            <w:vAlign w:val="bottom"/>
            <w:hideMark/>
          </w:tcPr>
          <w:p w:rsidR="009F2E87" w:rsidRPr="00CA7B06" w:rsidRDefault="009F2E87" w:rsidP="009F2E87">
            <w:pPr>
              <w:pStyle w:val="Texto"/>
              <w:spacing w:after="0" w:line="240" w:lineRule="exact"/>
              <w:ind w:firstLine="0"/>
              <w:jc w:val="right"/>
              <w:rPr>
                <w:rFonts w:ascii="Soberana Sans Light" w:hAnsi="Soberana Sans Light"/>
                <w:b/>
                <w:sz w:val="22"/>
                <w:szCs w:val="22"/>
                <w:lang w:val="es-MX"/>
              </w:rPr>
            </w:pPr>
            <w:r w:rsidRPr="00EA7F99">
              <w:rPr>
                <w:rFonts w:ascii="Soberana Sans Light" w:hAnsi="Soberana Sans Light"/>
                <w:b/>
                <w:sz w:val="22"/>
                <w:szCs w:val="22"/>
                <w:lang w:val="es-MX"/>
              </w:rPr>
              <w:t>AUMENTO</w:t>
            </w:r>
          </w:p>
        </w:tc>
        <w:tc>
          <w:tcPr>
            <w:tcW w:w="1960" w:type="dxa"/>
            <w:shd w:val="clear" w:color="auto" w:fill="auto"/>
            <w:noWrap/>
            <w:vAlign w:val="bottom"/>
            <w:hideMark/>
          </w:tcPr>
          <w:p w:rsidR="009F2E87" w:rsidRPr="00CA7B06" w:rsidRDefault="009F2E87" w:rsidP="009F2E87">
            <w:pPr>
              <w:pStyle w:val="Texto"/>
              <w:spacing w:after="0" w:line="240" w:lineRule="exact"/>
              <w:ind w:firstLine="0"/>
              <w:jc w:val="right"/>
              <w:rPr>
                <w:rFonts w:ascii="Soberana Sans Light" w:hAnsi="Soberana Sans Light"/>
                <w:b/>
                <w:sz w:val="22"/>
                <w:szCs w:val="22"/>
                <w:lang w:val="es-MX"/>
              </w:rPr>
            </w:pPr>
            <w:r w:rsidRPr="00EA7F99">
              <w:rPr>
                <w:rFonts w:ascii="Soberana Sans Light" w:hAnsi="Soberana Sans Light"/>
                <w:b/>
                <w:sz w:val="22"/>
                <w:szCs w:val="22"/>
                <w:lang w:val="es-MX"/>
              </w:rPr>
              <w:t>SALDO FINAL</w:t>
            </w:r>
          </w:p>
        </w:tc>
      </w:tr>
      <w:tr w:rsidR="00F74137" w:rsidRPr="00CA7B06" w:rsidTr="00611037">
        <w:trPr>
          <w:trHeight w:val="390"/>
        </w:trPr>
        <w:tc>
          <w:tcPr>
            <w:tcW w:w="5740" w:type="dxa"/>
            <w:shd w:val="clear" w:color="auto" w:fill="auto"/>
            <w:noWrap/>
            <w:vAlign w:val="bottom"/>
            <w:hideMark/>
          </w:tcPr>
          <w:p w:rsidR="00F74137" w:rsidRPr="00CA7B06" w:rsidRDefault="00F74137" w:rsidP="00F74137">
            <w:pPr>
              <w:pStyle w:val="Texto"/>
              <w:spacing w:after="0" w:line="240" w:lineRule="exact"/>
              <w:ind w:firstLine="0"/>
              <w:rPr>
                <w:rFonts w:ascii="Soberana Sans Light" w:hAnsi="Soberana Sans Light"/>
                <w:sz w:val="22"/>
                <w:szCs w:val="22"/>
                <w:lang w:val="es-MX"/>
              </w:rPr>
            </w:pPr>
            <w:r w:rsidRPr="00CA7B06">
              <w:rPr>
                <w:rFonts w:ascii="Soberana Sans Light" w:hAnsi="Soberana Sans Light"/>
                <w:sz w:val="22"/>
                <w:szCs w:val="22"/>
                <w:lang w:val="es-MX"/>
              </w:rPr>
              <w:t xml:space="preserve">    TERRENOS</w:t>
            </w:r>
          </w:p>
        </w:tc>
        <w:tc>
          <w:tcPr>
            <w:tcW w:w="1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4137" w:rsidRDefault="00F74137" w:rsidP="00F74137">
            <w:pPr>
              <w:jc w:val="right"/>
              <w:rPr>
                <w:rFonts w:ascii="Soberana Sans Light" w:hAnsi="Soberana Sans Light"/>
                <w:color w:val="000000"/>
              </w:rPr>
            </w:pPr>
            <w:r>
              <w:rPr>
                <w:rFonts w:ascii="Soberana Sans Light" w:hAnsi="Soberana Sans Light"/>
                <w:color w:val="000000"/>
              </w:rPr>
              <w:t>2,550,000</w:t>
            </w:r>
          </w:p>
        </w:tc>
        <w:tc>
          <w:tcPr>
            <w:tcW w:w="1760" w:type="dxa"/>
            <w:tcBorders>
              <w:top w:val="single" w:sz="8" w:space="0" w:color="auto"/>
              <w:left w:val="nil"/>
              <w:bottom w:val="single" w:sz="8" w:space="0" w:color="auto"/>
              <w:right w:val="single" w:sz="8" w:space="0" w:color="auto"/>
            </w:tcBorders>
            <w:shd w:val="clear" w:color="auto" w:fill="auto"/>
            <w:noWrap/>
            <w:vAlign w:val="center"/>
            <w:hideMark/>
          </w:tcPr>
          <w:p w:rsidR="00F74137" w:rsidRDefault="00F74137" w:rsidP="00F74137">
            <w:pPr>
              <w:jc w:val="right"/>
              <w:rPr>
                <w:rFonts w:ascii="Soberana Sans Light" w:hAnsi="Soberana Sans Light"/>
                <w:color w:val="000000"/>
              </w:rPr>
            </w:pPr>
            <w:r>
              <w:rPr>
                <w:rFonts w:ascii="Soberana Sans Light" w:hAnsi="Soberana Sans Light"/>
                <w:color w:val="000000"/>
              </w:rPr>
              <w:t>0</w:t>
            </w:r>
          </w:p>
        </w:tc>
        <w:tc>
          <w:tcPr>
            <w:tcW w:w="1960" w:type="dxa"/>
            <w:tcBorders>
              <w:top w:val="single" w:sz="8" w:space="0" w:color="auto"/>
              <w:left w:val="nil"/>
              <w:bottom w:val="single" w:sz="8" w:space="0" w:color="auto"/>
              <w:right w:val="single" w:sz="8" w:space="0" w:color="auto"/>
            </w:tcBorders>
            <w:shd w:val="clear" w:color="auto" w:fill="auto"/>
            <w:noWrap/>
            <w:vAlign w:val="center"/>
            <w:hideMark/>
          </w:tcPr>
          <w:p w:rsidR="00F74137" w:rsidRDefault="00F74137" w:rsidP="00F74137">
            <w:pPr>
              <w:jc w:val="right"/>
              <w:rPr>
                <w:rFonts w:ascii="Soberana Sans Light" w:hAnsi="Soberana Sans Light"/>
                <w:color w:val="000000"/>
              </w:rPr>
            </w:pPr>
            <w:r>
              <w:rPr>
                <w:rFonts w:ascii="Soberana Sans Light" w:hAnsi="Soberana Sans Light"/>
                <w:color w:val="000000"/>
              </w:rPr>
              <w:t>2,550,000</w:t>
            </w:r>
          </w:p>
        </w:tc>
      </w:tr>
      <w:tr w:rsidR="00F74137" w:rsidRPr="00CA7B06" w:rsidTr="00611037">
        <w:trPr>
          <w:trHeight w:val="390"/>
        </w:trPr>
        <w:tc>
          <w:tcPr>
            <w:tcW w:w="5740" w:type="dxa"/>
            <w:shd w:val="clear" w:color="auto" w:fill="auto"/>
            <w:noWrap/>
            <w:vAlign w:val="bottom"/>
            <w:hideMark/>
          </w:tcPr>
          <w:p w:rsidR="00F74137" w:rsidRPr="00CA7B06" w:rsidRDefault="00F74137" w:rsidP="00F74137">
            <w:pPr>
              <w:pStyle w:val="Texto"/>
              <w:spacing w:after="0" w:line="240" w:lineRule="exact"/>
              <w:ind w:firstLine="0"/>
              <w:rPr>
                <w:rFonts w:ascii="Soberana Sans Light" w:hAnsi="Soberana Sans Light"/>
                <w:sz w:val="22"/>
                <w:szCs w:val="22"/>
                <w:lang w:val="es-MX"/>
              </w:rPr>
            </w:pPr>
            <w:r w:rsidRPr="00CA7B06">
              <w:rPr>
                <w:rFonts w:ascii="Soberana Sans Light" w:hAnsi="Soberana Sans Light"/>
                <w:sz w:val="22"/>
                <w:szCs w:val="22"/>
                <w:lang w:val="es-MX"/>
              </w:rPr>
              <w:t xml:space="preserve">    EDIFICIOS</w:t>
            </w:r>
          </w:p>
        </w:tc>
        <w:tc>
          <w:tcPr>
            <w:tcW w:w="1960" w:type="dxa"/>
            <w:tcBorders>
              <w:top w:val="nil"/>
              <w:left w:val="single" w:sz="8" w:space="0" w:color="auto"/>
              <w:bottom w:val="single" w:sz="8" w:space="0" w:color="auto"/>
              <w:right w:val="single" w:sz="8" w:space="0" w:color="auto"/>
            </w:tcBorders>
            <w:shd w:val="clear" w:color="auto" w:fill="auto"/>
            <w:noWrap/>
            <w:vAlign w:val="center"/>
            <w:hideMark/>
          </w:tcPr>
          <w:p w:rsidR="00F74137" w:rsidRDefault="00F74137" w:rsidP="00F74137">
            <w:pPr>
              <w:jc w:val="right"/>
              <w:rPr>
                <w:rFonts w:ascii="Soberana Sans Light" w:hAnsi="Soberana Sans Light"/>
                <w:color w:val="000000"/>
              </w:rPr>
            </w:pPr>
            <w:r>
              <w:rPr>
                <w:rFonts w:ascii="Soberana Sans Light" w:hAnsi="Soberana Sans Light"/>
                <w:color w:val="000000"/>
              </w:rPr>
              <w:t>36,229,075</w:t>
            </w:r>
          </w:p>
        </w:tc>
        <w:tc>
          <w:tcPr>
            <w:tcW w:w="1760" w:type="dxa"/>
            <w:tcBorders>
              <w:top w:val="nil"/>
              <w:left w:val="nil"/>
              <w:bottom w:val="single" w:sz="8" w:space="0" w:color="auto"/>
              <w:right w:val="single" w:sz="8" w:space="0" w:color="auto"/>
            </w:tcBorders>
            <w:shd w:val="clear" w:color="auto" w:fill="auto"/>
            <w:noWrap/>
            <w:vAlign w:val="center"/>
          </w:tcPr>
          <w:p w:rsidR="00F74137" w:rsidRDefault="00F74137" w:rsidP="00F74137">
            <w:pPr>
              <w:jc w:val="right"/>
              <w:rPr>
                <w:rFonts w:ascii="Soberana Sans Light" w:hAnsi="Soberana Sans Light"/>
                <w:color w:val="000000"/>
              </w:rPr>
            </w:pPr>
            <w:r>
              <w:rPr>
                <w:rFonts w:ascii="Soberana Sans Light" w:hAnsi="Soberana Sans Light"/>
                <w:color w:val="000000"/>
              </w:rPr>
              <w:t>0</w:t>
            </w:r>
          </w:p>
        </w:tc>
        <w:tc>
          <w:tcPr>
            <w:tcW w:w="1960" w:type="dxa"/>
            <w:tcBorders>
              <w:top w:val="nil"/>
              <w:left w:val="nil"/>
              <w:bottom w:val="single" w:sz="8" w:space="0" w:color="auto"/>
              <w:right w:val="single" w:sz="8" w:space="0" w:color="auto"/>
            </w:tcBorders>
            <w:shd w:val="clear" w:color="auto" w:fill="auto"/>
            <w:noWrap/>
            <w:vAlign w:val="center"/>
            <w:hideMark/>
          </w:tcPr>
          <w:p w:rsidR="00F74137" w:rsidRDefault="00F74137" w:rsidP="00F74137">
            <w:pPr>
              <w:jc w:val="right"/>
              <w:rPr>
                <w:rFonts w:ascii="Soberana Sans Light" w:hAnsi="Soberana Sans Light"/>
                <w:color w:val="000000"/>
              </w:rPr>
            </w:pPr>
            <w:r>
              <w:rPr>
                <w:rFonts w:ascii="Soberana Sans Light" w:hAnsi="Soberana Sans Light"/>
                <w:color w:val="000000"/>
              </w:rPr>
              <w:t>36,229,075</w:t>
            </w:r>
          </w:p>
        </w:tc>
      </w:tr>
      <w:tr w:rsidR="00F74137" w:rsidRPr="00CA7B06" w:rsidTr="00611037">
        <w:trPr>
          <w:trHeight w:val="390"/>
        </w:trPr>
        <w:tc>
          <w:tcPr>
            <w:tcW w:w="5740" w:type="dxa"/>
            <w:shd w:val="clear" w:color="auto" w:fill="auto"/>
            <w:noWrap/>
            <w:vAlign w:val="bottom"/>
            <w:hideMark/>
          </w:tcPr>
          <w:p w:rsidR="00F74137" w:rsidRPr="00CA7B06" w:rsidRDefault="00F74137" w:rsidP="00F74137">
            <w:pPr>
              <w:pStyle w:val="Texto"/>
              <w:spacing w:after="0" w:line="240" w:lineRule="exact"/>
              <w:ind w:firstLine="0"/>
              <w:rPr>
                <w:rFonts w:ascii="Soberana Sans Light" w:hAnsi="Soberana Sans Light"/>
                <w:sz w:val="22"/>
                <w:szCs w:val="22"/>
                <w:lang w:val="es-MX"/>
              </w:rPr>
            </w:pPr>
            <w:r w:rsidRPr="00CA7B06">
              <w:rPr>
                <w:rFonts w:ascii="Soberana Sans Light" w:hAnsi="Soberana Sans Light"/>
                <w:sz w:val="22"/>
                <w:szCs w:val="22"/>
                <w:lang w:val="es-MX"/>
              </w:rPr>
              <w:t xml:space="preserve">    INSTALACIONES</w:t>
            </w:r>
          </w:p>
        </w:tc>
        <w:tc>
          <w:tcPr>
            <w:tcW w:w="1960" w:type="dxa"/>
            <w:tcBorders>
              <w:top w:val="nil"/>
              <w:left w:val="single" w:sz="8" w:space="0" w:color="auto"/>
              <w:bottom w:val="single" w:sz="8" w:space="0" w:color="auto"/>
              <w:right w:val="single" w:sz="8" w:space="0" w:color="auto"/>
            </w:tcBorders>
            <w:shd w:val="clear" w:color="auto" w:fill="auto"/>
            <w:noWrap/>
            <w:vAlign w:val="center"/>
            <w:hideMark/>
          </w:tcPr>
          <w:p w:rsidR="00F74137" w:rsidRDefault="00F74137" w:rsidP="00F74137">
            <w:pPr>
              <w:jc w:val="right"/>
              <w:rPr>
                <w:rFonts w:ascii="Soberana Sans Light" w:hAnsi="Soberana Sans Light"/>
                <w:color w:val="000000"/>
              </w:rPr>
            </w:pPr>
            <w:r>
              <w:rPr>
                <w:rFonts w:ascii="Soberana Sans Light" w:hAnsi="Soberana Sans Light"/>
                <w:color w:val="000000"/>
              </w:rPr>
              <w:t>7,777,323</w:t>
            </w:r>
          </w:p>
        </w:tc>
        <w:tc>
          <w:tcPr>
            <w:tcW w:w="1760" w:type="dxa"/>
            <w:tcBorders>
              <w:top w:val="nil"/>
              <w:left w:val="nil"/>
              <w:bottom w:val="single" w:sz="8" w:space="0" w:color="auto"/>
              <w:right w:val="single" w:sz="8" w:space="0" w:color="auto"/>
            </w:tcBorders>
            <w:shd w:val="clear" w:color="auto" w:fill="auto"/>
            <w:noWrap/>
            <w:vAlign w:val="center"/>
          </w:tcPr>
          <w:p w:rsidR="00F74137" w:rsidRDefault="00F74137" w:rsidP="00F74137">
            <w:pPr>
              <w:jc w:val="right"/>
              <w:rPr>
                <w:rFonts w:ascii="Soberana Sans Light" w:hAnsi="Soberana Sans Light"/>
                <w:color w:val="000000"/>
              </w:rPr>
            </w:pPr>
            <w:r>
              <w:rPr>
                <w:rFonts w:ascii="Soberana Sans Light" w:hAnsi="Soberana Sans Light"/>
                <w:color w:val="000000"/>
              </w:rPr>
              <w:t>1,067,008</w:t>
            </w:r>
          </w:p>
        </w:tc>
        <w:tc>
          <w:tcPr>
            <w:tcW w:w="1960" w:type="dxa"/>
            <w:tcBorders>
              <w:top w:val="nil"/>
              <w:left w:val="nil"/>
              <w:bottom w:val="single" w:sz="8" w:space="0" w:color="auto"/>
              <w:right w:val="single" w:sz="8" w:space="0" w:color="auto"/>
            </w:tcBorders>
            <w:shd w:val="clear" w:color="auto" w:fill="auto"/>
            <w:noWrap/>
            <w:vAlign w:val="center"/>
            <w:hideMark/>
          </w:tcPr>
          <w:p w:rsidR="00F74137" w:rsidRDefault="00F74137" w:rsidP="00F74137">
            <w:pPr>
              <w:jc w:val="right"/>
              <w:rPr>
                <w:rFonts w:ascii="Soberana Sans Light" w:hAnsi="Soberana Sans Light"/>
                <w:color w:val="000000"/>
              </w:rPr>
            </w:pPr>
            <w:r>
              <w:rPr>
                <w:rFonts w:ascii="Soberana Sans Light" w:hAnsi="Soberana Sans Light"/>
                <w:color w:val="000000"/>
              </w:rPr>
              <w:t>8,844,331</w:t>
            </w:r>
          </w:p>
        </w:tc>
      </w:tr>
      <w:tr w:rsidR="00F74137" w:rsidRPr="00CA7B06" w:rsidTr="00611037">
        <w:trPr>
          <w:trHeight w:val="390"/>
        </w:trPr>
        <w:tc>
          <w:tcPr>
            <w:tcW w:w="5740" w:type="dxa"/>
            <w:shd w:val="clear" w:color="auto" w:fill="auto"/>
            <w:noWrap/>
            <w:vAlign w:val="bottom"/>
            <w:hideMark/>
          </w:tcPr>
          <w:p w:rsidR="00F74137" w:rsidRPr="00CA7B06" w:rsidRDefault="00F74137" w:rsidP="00F74137">
            <w:pPr>
              <w:pStyle w:val="Texto"/>
              <w:spacing w:after="0" w:line="240" w:lineRule="exact"/>
              <w:ind w:firstLine="0"/>
              <w:rPr>
                <w:rFonts w:ascii="Soberana Sans Light" w:hAnsi="Soberana Sans Light"/>
                <w:sz w:val="22"/>
                <w:szCs w:val="22"/>
                <w:lang w:val="es-MX"/>
              </w:rPr>
            </w:pPr>
            <w:r w:rsidRPr="00CA7B06">
              <w:rPr>
                <w:rFonts w:ascii="Soberana Sans Light" w:hAnsi="Soberana Sans Light"/>
                <w:sz w:val="22"/>
                <w:szCs w:val="22"/>
                <w:lang w:val="es-MX"/>
              </w:rPr>
              <w:t xml:space="preserve">    MOBILIARIO Y EQUIPO DE OFICINA</w:t>
            </w:r>
          </w:p>
        </w:tc>
        <w:tc>
          <w:tcPr>
            <w:tcW w:w="1960" w:type="dxa"/>
            <w:tcBorders>
              <w:top w:val="nil"/>
              <w:left w:val="single" w:sz="8" w:space="0" w:color="auto"/>
              <w:bottom w:val="single" w:sz="8" w:space="0" w:color="auto"/>
              <w:right w:val="single" w:sz="8" w:space="0" w:color="auto"/>
            </w:tcBorders>
            <w:shd w:val="clear" w:color="auto" w:fill="auto"/>
            <w:noWrap/>
            <w:vAlign w:val="center"/>
            <w:hideMark/>
          </w:tcPr>
          <w:p w:rsidR="00F74137" w:rsidRDefault="00F74137" w:rsidP="00F74137">
            <w:pPr>
              <w:jc w:val="right"/>
              <w:rPr>
                <w:rFonts w:ascii="Soberana Sans Light" w:hAnsi="Soberana Sans Light"/>
                <w:color w:val="000000"/>
              </w:rPr>
            </w:pPr>
            <w:r>
              <w:rPr>
                <w:rFonts w:ascii="Soberana Sans Light" w:hAnsi="Soberana Sans Light"/>
                <w:color w:val="000000"/>
              </w:rPr>
              <w:t>23,068,443</w:t>
            </w:r>
          </w:p>
        </w:tc>
        <w:tc>
          <w:tcPr>
            <w:tcW w:w="1760" w:type="dxa"/>
            <w:tcBorders>
              <w:top w:val="nil"/>
              <w:left w:val="nil"/>
              <w:bottom w:val="single" w:sz="8" w:space="0" w:color="auto"/>
              <w:right w:val="single" w:sz="8" w:space="0" w:color="auto"/>
            </w:tcBorders>
            <w:shd w:val="clear" w:color="auto" w:fill="auto"/>
            <w:noWrap/>
            <w:vAlign w:val="center"/>
          </w:tcPr>
          <w:p w:rsidR="00F74137" w:rsidRDefault="00F74137" w:rsidP="00F74137">
            <w:pPr>
              <w:jc w:val="right"/>
              <w:rPr>
                <w:rFonts w:ascii="Soberana Sans Light" w:hAnsi="Soberana Sans Light"/>
                <w:color w:val="000000"/>
              </w:rPr>
            </w:pPr>
            <w:r>
              <w:rPr>
                <w:rFonts w:ascii="Soberana Sans Light" w:hAnsi="Soberana Sans Light"/>
                <w:color w:val="000000"/>
              </w:rPr>
              <w:t>4,167,288</w:t>
            </w:r>
          </w:p>
        </w:tc>
        <w:tc>
          <w:tcPr>
            <w:tcW w:w="1960" w:type="dxa"/>
            <w:tcBorders>
              <w:top w:val="nil"/>
              <w:left w:val="nil"/>
              <w:bottom w:val="single" w:sz="8" w:space="0" w:color="auto"/>
              <w:right w:val="single" w:sz="8" w:space="0" w:color="auto"/>
            </w:tcBorders>
            <w:shd w:val="clear" w:color="auto" w:fill="auto"/>
            <w:noWrap/>
            <w:vAlign w:val="center"/>
            <w:hideMark/>
          </w:tcPr>
          <w:p w:rsidR="00F74137" w:rsidRDefault="00F74137" w:rsidP="00F74137">
            <w:pPr>
              <w:jc w:val="right"/>
              <w:rPr>
                <w:rFonts w:ascii="Soberana Sans Light" w:hAnsi="Soberana Sans Light"/>
                <w:color w:val="000000"/>
              </w:rPr>
            </w:pPr>
            <w:r>
              <w:rPr>
                <w:rFonts w:ascii="Soberana Sans Light" w:hAnsi="Soberana Sans Light"/>
                <w:color w:val="000000"/>
              </w:rPr>
              <w:t>27,235,731</w:t>
            </w:r>
          </w:p>
        </w:tc>
      </w:tr>
      <w:tr w:rsidR="00F74137" w:rsidRPr="00CA7B06" w:rsidTr="00611037">
        <w:trPr>
          <w:trHeight w:val="390"/>
        </w:trPr>
        <w:tc>
          <w:tcPr>
            <w:tcW w:w="5740" w:type="dxa"/>
            <w:shd w:val="clear" w:color="auto" w:fill="auto"/>
            <w:noWrap/>
            <w:vAlign w:val="bottom"/>
            <w:hideMark/>
          </w:tcPr>
          <w:p w:rsidR="00F74137" w:rsidRPr="00CA7B06" w:rsidRDefault="00F74137" w:rsidP="00F74137">
            <w:pPr>
              <w:pStyle w:val="Texto"/>
              <w:spacing w:after="0" w:line="240" w:lineRule="exact"/>
              <w:ind w:firstLine="0"/>
              <w:rPr>
                <w:rFonts w:ascii="Soberana Sans Light" w:hAnsi="Soberana Sans Light"/>
                <w:sz w:val="22"/>
                <w:szCs w:val="22"/>
                <w:lang w:val="es-MX"/>
              </w:rPr>
            </w:pPr>
            <w:r>
              <w:rPr>
                <w:rFonts w:ascii="Soberana Sans Light" w:hAnsi="Soberana Sans Light"/>
                <w:sz w:val="22"/>
                <w:szCs w:val="22"/>
                <w:lang w:val="es-MX"/>
              </w:rPr>
              <w:t xml:space="preserve">    </w:t>
            </w:r>
            <w:r w:rsidRPr="00CA7B06">
              <w:rPr>
                <w:rFonts w:ascii="Soberana Sans Light" w:hAnsi="Soberana Sans Light"/>
                <w:sz w:val="22"/>
                <w:szCs w:val="22"/>
                <w:lang w:val="es-MX"/>
              </w:rPr>
              <w:t>EQUIPO DE TRANSPORTE</w:t>
            </w:r>
          </w:p>
        </w:tc>
        <w:tc>
          <w:tcPr>
            <w:tcW w:w="1960" w:type="dxa"/>
            <w:tcBorders>
              <w:top w:val="nil"/>
              <w:left w:val="single" w:sz="8" w:space="0" w:color="auto"/>
              <w:bottom w:val="single" w:sz="8" w:space="0" w:color="auto"/>
              <w:right w:val="single" w:sz="8" w:space="0" w:color="auto"/>
            </w:tcBorders>
            <w:shd w:val="clear" w:color="auto" w:fill="auto"/>
            <w:noWrap/>
            <w:vAlign w:val="center"/>
            <w:hideMark/>
          </w:tcPr>
          <w:p w:rsidR="00F74137" w:rsidRDefault="00F74137" w:rsidP="00F74137">
            <w:pPr>
              <w:jc w:val="right"/>
              <w:rPr>
                <w:rFonts w:ascii="Soberana Sans Light" w:hAnsi="Soberana Sans Light"/>
                <w:color w:val="000000"/>
              </w:rPr>
            </w:pPr>
            <w:r>
              <w:rPr>
                <w:rFonts w:ascii="Soberana Sans Light" w:hAnsi="Soberana Sans Light"/>
                <w:color w:val="000000"/>
              </w:rPr>
              <w:t>4,991,565</w:t>
            </w:r>
          </w:p>
        </w:tc>
        <w:tc>
          <w:tcPr>
            <w:tcW w:w="1760" w:type="dxa"/>
            <w:tcBorders>
              <w:top w:val="nil"/>
              <w:left w:val="nil"/>
              <w:bottom w:val="single" w:sz="8" w:space="0" w:color="auto"/>
              <w:right w:val="single" w:sz="8" w:space="0" w:color="auto"/>
            </w:tcBorders>
            <w:shd w:val="clear" w:color="auto" w:fill="auto"/>
            <w:noWrap/>
            <w:vAlign w:val="center"/>
          </w:tcPr>
          <w:p w:rsidR="00F74137" w:rsidRDefault="00F74137" w:rsidP="00F74137">
            <w:pPr>
              <w:jc w:val="right"/>
              <w:rPr>
                <w:rFonts w:ascii="Soberana Sans Light" w:hAnsi="Soberana Sans Light"/>
                <w:color w:val="000000"/>
              </w:rPr>
            </w:pPr>
            <w:r>
              <w:rPr>
                <w:rFonts w:ascii="Soberana Sans Light" w:hAnsi="Soberana Sans Light"/>
                <w:color w:val="000000"/>
              </w:rPr>
              <w:t>0</w:t>
            </w:r>
          </w:p>
        </w:tc>
        <w:tc>
          <w:tcPr>
            <w:tcW w:w="1960" w:type="dxa"/>
            <w:tcBorders>
              <w:top w:val="nil"/>
              <w:left w:val="nil"/>
              <w:bottom w:val="single" w:sz="8" w:space="0" w:color="auto"/>
              <w:right w:val="single" w:sz="8" w:space="0" w:color="auto"/>
            </w:tcBorders>
            <w:shd w:val="clear" w:color="auto" w:fill="auto"/>
            <w:noWrap/>
            <w:vAlign w:val="center"/>
            <w:hideMark/>
          </w:tcPr>
          <w:p w:rsidR="00F74137" w:rsidRDefault="00F74137" w:rsidP="00F74137">
            <w:pPr>
              <w:jc w:val="right"/>
              <w:rPr>
                <w:rFonts w:ascii="Soberana Sans Light" w:hAnsi="Soberana Sans Light"/>
                <w:color w:val="000000"/>
              </w:rPr>
            </w:pPr>
            <w:r>
              <w:rPr>
                <w:rFonts w:ascii="Soberana Sans Light" w:hAnsi="Soberana Sans Light"/>
                <w:color w:val="000000"/>
              </w:rPr>
              <w:t>4,991,565</w:t>
            </w:r>
          </w:p>
        </w:tc>
      </w:tr>
      <w:tr w:rsidR="00F74137" w:rsidRPr="00CA7B06" w:rsidTr="00611037">
        <w:trPr>
          <w:trHeight w:val="390"/>
        </w:trPr>
        <w:tc>
          <w:tcPr>
            <w:tcW w:w="5740" w:type="dxa"/>
            <w:shd w:val="clear" w:color="auto" w:fill="auto"/>
            <w:noWrap/>
            <w:vAlign w:val="bottom"/>
            <w:hideMark/>
          </w:tcPr>
          <w:p w:rsidR="00F74137" w:rsidRPr="00CA7B06" w:rsidRDefault="00F74137" w:rsidP="00F74137">
            <w:pPr>
              <w:pStyle w:val="Texto"/>
              <w:spacing w:after="0" w:line="240" w:lineRule="exact"/>
              <w:ind w:firstLine="0"/>
              <w:rPr>
                <w:rFonts w:ascii="Soberana Sans Light" w:hAnsi="Soberana Sans Light"/>
                <w:sz w:val="22"/>
                <w:szCs w:val="22"/>
                <w:lang w:val="es-MX"/>
              </w:rPr>
            </w:pPr>
            <w:r w:rsidRPr="00CA7B06">
              <w:rPr>
                <w:rFonts w:ascii="Soberana Sans Light" w:hAnsi="Soberana Sans Light"/>
                <w:sz w:val="22"/>
                <w:szCs w:val="22"/>
                <w:lang w:val="es-MX"/>
              </w:rPr>
              <w:t xml:space="preserve">    </w:t>
            </w:r>
            <w:r>
              <w:rPr>
                <w:rFonts w:ascii="Soberana Sans Light" w:hAnsi="Soberana Sans Light"/>
                <w:sz w:val="22"/>
                <w:szCs w:val="22"/>
                <w:lang w:val="es-MX"/>
              </w:rPr>
              <w:t>MOBILIARIO Y EQUIPO ACADÉMICO</w:t>
            </w:r>
          </w:p>
        </w:tc>
        <w:tc>
          <w:tcPr>
            <w:tcW w:w="1960" w:type="dxa"/>
            <w:tcBorders>
              <w:top w:val="nil"/>
              <w:left w:val="single" w:sz="8" w:space="0" w:color="auto"/>
              <w:bottom w:val="single" w:sz="8" w:space="0" w:color="auto"/>
              <w:right w:val="single" w:sz="8" w:space="0" w:color="auto"/>
            </w:tcBorders>
            <w:shd w:val="clear" w:color="auto" w:fill="auto"/>
            <w:noWrap/>
            <w:vAlign w:val="center"/>
            <w:hideMark/>
          </w:tcPr>
          <w:p w:rsidR="00F74137" w:rsidRDefault="00F74137" w:rsidP="00F74137">
            <w:pPr>
              <w:jc w:val="right"/>
              <w:rPr>
                <w:rFonts w:ascii="Soberana Sans Light" w:hAnsi="Soberana Sans Light"/>
                <w:color w:val="000000"/>
              </w:rPr>
            </w:pPr>
            <w:r>
              <w:rPr>
                <w:rFonts w:ascii="Soberana Sans Light" w:hAnsi="Soberana Sans Light"/>
                <w:color w:val="000000"/>
              </w:rPr>
              <w:t>63,786,149</w:t>
            </w:r>
          </w:p>
        </w:tc>
        <w:tc>
          <w:tcPr>
            <w:tcW w:w="1760" w:type="dxa"/>
            <w:tcBorders>
              <w:top w:val="nil"/>
              <w:left w:val="nil"/>
              <w:bottom w:val="single" w:sz="8" w:space="0" w:color="auto"/>
              <w:right w:val="single" w:sz="8" w:space="0" w:color="auto"/>
            </w:tcBorders>
            <w:shd w:val="clear" w:color="auto" w:fill="auto"/>
            <w:noWrap/>
            <w:vAlign w:val="center"/>
          </w:tcPr>
          <w:p w:rsidR="00F74137" w:rsidRDefault="00F74137" w:rsidP="00F74137">
            <w:pPr>
              <w:jc w:val="right"/>
              <w:rPr>
                <w:rFonts w:ascii="Soberana Sans Light" w:hAnsi="Soberana Sans Light"/>
                <w:color w:val="000000"/>
              </w:rPr>
            </w:pPr>
            <w:r>
              <w:rPr>
                <w:rFonts w:ascii="Soberana Sans Light" w:hAnsi="Soberana Sans Light"/>
                <w:color w:val="000000"/>
              </w:rPr>
              <w:t>926,007</w:t>
            </w:r>
          </w:p>
        </w:tc>
        <w:tc>
          <w:tcPr>
            <w:tcW w:w="1960" w:type="dxa"/>
            <w:tcBorders>
              <w:top w:val="nil"/>
              <w:left w:val="nil"/>
              <w:bottom w:val="single" w:sz="8" w:space="0" w:color="auto"/>
              <w:right w:val="single" w:sz="8" w:space="0" w:color="auto"/>
            </w:tcBorders>
            <w:shd w:val="clear" w:color="auto" w:fill="auto"/>
            <w:noWrap/>
            <w:vAlign w:val="center"/>
            <w:hideMark/>
          </w:tcPr>
          <w:p w:rsidR="00F74137" w:rsidRDefault="00F74137" w:rsidP="00F74137">
            <w:pPr>
              <w:jc w:val="right"/>
              <w:rPr>
                <w:rFonts w:ascii="Soberana Sans Light" w:hAnsi="Soberana Sans Light"/>
                <w:color w:val="000000"/>
              </w:rPr>
            </w:pPr>
            <w:r>
              <w:rPr>
                <w:rFonts w:ascii="Soberana Sans Light" w:hAnsi="Soberana Sans Light"/>
                <w:color w:val="000000"/>
              </w:rPr>
              <w:t>64,712,156</w:t>
            </w:r>
          </w:p>
        </w:tc>
      </w:tr>
      <w:tr w:rsidR="00F74137" w:rsidRPr="00CA7B06" w:rsidTr="00611037">
        <w:trPr>
          <w:trHeight w:val="390"/>
        </w:trPr>
        <w:tc>
          <w:tcPr>
            <w:tcW w:w="5740" w:type="dxa"/>
            <w:shd w:val="clear" w:color="auto" w:fill="auto"/>
            <w:noWrap/>
            <w:vAlign w:val="bottom"/>
            <w:hideMark/>
          </w:tcPr>
          <w:p w:rsidR="00F74137" w:rsidRPr="00CA7B06" w:rsidRDefault="00F74137" w:rsidP="00F74137">
            <w:pPr>
              <w:pStyle w:val="Texto"/>
              <w:spacing w:after="0" w:line="240" w:lineRule="exact"/>
              <w:ind w:firstLine="0"/>
              <w:rPr>
                <w:rFonts w:ascii="Soberana Sans Light" w:hAnsi="Soberana Sans Light"/>
                <w:sz w:val="22"/>
                <w:szCs w:val="22"/>
                <w:lang w:val="es-MX"/>
              </w:rPr>
            </w:pPr>
            <w:r w:rsidRPr="00CA7B06">
              <w:rPr>
                <w:rFonts w:ascii="Soberana Sans Light" w:hAnsi="Soberana Sans Light"/>
                <w:sz w:val="22"/>
                <w:szCs w:val="22"/>
                <w:lang w:val="es-MX"/>
              </w:rPr>
              <w:t xml:space="preserve">    </w:t>
            </w:r>
            <w:r>
              <w:rPr>
                <w:rFonts w:ascii="Soberana Sans Light" w:hAnsi="Soberana Sans Light"/>
                <w:sz w:val="22"/>
                <w:szCs w:val="22"/>
                <w:lang w:val="es-MX"/>
              </w:rPr>
              <w:t>ACERVO BIBLIOGRÁFICO</w:t>
            </w:r>
          </w:p>
        </w:tc>
        <w:tc>
          <w:tcPr>
            <w:tcW w:w="1960" w:type="dxa"/>
            <w:tcBorders>
              <w:top w:val="nil"/>
              <w:left w:val="single" w:sz="8" w:space="0" w:color="auto"/>
              <w:bottom w:val="single" w:sz="8" w:space="0" w:color="auto"/>
              <w:right w:val="single" w:sz="8" w:space="0" w:color="auto"/>
            </w:tcBorders>
            <w:shd w:val="clear" w:color="auto" w:fill="auto"/>
            <w:noWrap/>
            <w:vAlign w:val="center"/>
            <w:hideMark/>
          </w:tcPr>
          <w:p w:rsidR="00F74137" w:rsidRDefault="00F74137" w:rsidP="00F74137">
            <w:pPr>
              <w:jc w:val="right"/>
              <w:rPr>
                <w:rFonts w:ascii="Soberana Sans Light" w:hAnsi="Soberana Sans Light"/>
                <w:color w:val="000000"/>
              </w:rPr>
            </w:pPr>
            <w:r>
              <w:rPr>
                <w:rFonts w:ascii="Soberana Sans Light" w:hAnsi="Soberana Sans Light"/>
                <w:color w:val="000000"/>
              </w:rPr>
              <w:t>1,622,066</w:t>
            </w:r>
          </w:p>
        </w:tc>
        <w:tc>
          <w:tcPr>
            <w:tcW w:w="1760" w:type="dxa"/>
            <w:tcBorders>
              <w:top w:val="nil"/>
              <w:left w:val="nil"/>
              <w:bottom w:val="single" w:sz="8" w:space="0" w:color="auto"/>
              <w:right w:val="single" w:sz="8" w:space="0" w:color="auto"/>
            </w:tcBorders>
            <w:shd w:val="clear" w:color="auto" w:fill="auto"/>
            <w:noWrap/>
            <w:vAlign w:val="center"/>
          </w:tcPr>
          <w:p w:rsidR="00F74137" w:rsidRDefault="00F74137" w:rsidP="00F74137">
            <w:pPr>
              <w:jc w:val="right"/>
              <w:rPr>
                <w:rFonts w:ascii="Soberana Sans Light" w:hAnsi="Soberana Sans Light"/>
                <w:color w:val="000000"/>
              </w:rPr>
            </w:pPr>
            <w:r>
              <w:rPr>
                <w:rFonts w:ascii="Soberana Sans Light" w:hAnsi="Soberana Sans Light"/>
                <w:color w:val="000000"/>
              </w:rPr>
              <w:t>13,854</w:t>
            </w:r>
          </w:p>
        </w:tc>
        <w:tc>
          <w:tcPr>
            <w:tcW w:w="1960" w:type="dxa"/>
            <w:tcBorders>
              <w:top w:val="nil"/>
              <w:left w:val="nil"/>
              <w:bottom w:val="single" w:sz="8" w:space="0" w:color="auto"/>
              <w:right w:val="single" w:sz="8" w:space="0" w:color="auto"/>
            </w:tcBorders>
            <w:shd w:val="clear" w:color="auto" w:fill="auto"/>
            <w:noWrap/>
            <w:vAlign w:val="center"/>
            <w:hideMark/>
          </w:tcPr>
          <w:p w:rsidR="00F74137" w:rsidRDefault="00F74137" w:rsidP="00F74137">
            <w:pPr>
              <w:jc w:val="right"/>
              <w:rPr>
                <w:rFonts w:ascii="Soberana Sans Light" w:hAnsi="Soberana Sans Light"/>
                <w:color w:val="000000"/>
              </w:rPr>
            </w:pPr>
            <w:r>
              <w:rPr>
                <w:rFonts w:ascii="Soberana Sans Light" w:hAnsi="Soberana Sans Light"/>
                <w:color w:val="000000"/>
              </w:rPr>
              <w:t>1,635,920</w:t>
            </w:r>
          </w:p>
        </w:tc>
      </w:tr>
    </w:tbl>
    <w:p w:rsidR="009F2E87" w:rsidRDefault="009F2E87" w:rsidP="009F2E87">
      <w:pPr>
        <w:pStyle w:val="ROMANOS"/>
        <w:spacing w:after="0" w:line="240" w:lineRule="exact"/>
        <w:ind w:left="0" w:firstLine="0"/>
        <w:rPr>
          <w:rFonts w:ascii="Soberana Sans Light" w:hAnsi="Soberana Sans Light"/>
          <w:sz w:val="22"/>
          <w:szCs w:val="22"/>
          <w:lang w:val="es-MX"/>
        </w:rPr>
      </w:pPr>
    </w:p>
    <w:p w:rsidR="009F2E87" w:rsidRPr="00540418" w:rsidRDefault="009F2E87" w:rsidP="009F2E87">
      <w:pPr>
        <w:pStyle w:val="ROMANOS"/>
        <w:spacing w:after="0" w:line="240" w:lineRule="exact"/>
        <w:ind w:left="648" w:firstLine="0"/>
        <w:rPr>
          <w:rFonts w:ascii="Soberana Sans Light" w:hAnsi="Soberana Sans Light"/>
          <w:sz w:val="22"/>
          <w:szCs w:val="22"/>
          <w:lang w:val="es-MX"/>
        </w:rPr>
      </w:pPr>
    </w:p>
    <w:p w:rsidR="009F2E87" w:rsidRDefault="009F2E87" w:rsidP="009F2E87">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t>Conciliación de los Flujos de Efectivo Netos de las Actividades de Operación y la cuenta de Ahorro/Desahorro antes de Rubros Extraordinarios. A continuación se presenta un ejemplo de la elaboración de la conciliación.</w:t>
      </w:r>
    </w:p>
    <w:p w:rsidR="009F2E87" w:rsidRPr="00540418" w:rsidRDefault="009F2E87" w:rsidP="009F2E87">
      <w:pPr>
        <w:pStyle w:val="ROMANOS"/>
        <w:spacing w:after="0" w:line="240" w:lineRule="exact"/>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6677"/>
        <w:gridCol w:w="1311"/>
        <w:gridCol w:w="1276"/>
      </w:tblGrid>
      <w:tr w:rsidR="009F2E87" w:rsidRPr="00540418" w:rsidTr="009F2E87">
        <w:trPr>
          <w:cantSplit/>
          <w:jc w:val="center"/>
        </w:trPr>
        <w:tc>
          <w:tcPr>
            <w:tcW w:w="6677" w:type="dxa"/>
            <w:tcBorders>
              <w:top w:val="single" w:sz="6" w:space="0" w:color="auto"/>
              <w:left w:val="single" w:sz="6" w:space="0" w:color="auto"/>
              <w:bottom w:val="single" w:sz="6" w:space="0" w:color="auto"/>
              <w:right w:val="single" w:sz="6" w:space="0" w:color="auto"/>
            </w:tcBorders>
          </w:tcPr>
          <w:p w:rsidR="009F2E87" w:rsidRPr="00EA7F99" w:rsidRDefault="009F2E87" w:rsidP="009F2E87">
            <w:pPr>
              <w:pStyle w:val="Texto"/>
              <w:spacing w:after="0" w:line="240" w:lineRule="exact"/>
              <w:ind w:firstLine="0"/>
              <w:rPr>
                <w:rFonts w:ascii="Soberana Sans Light" w:hAnsi="Soberana Sans Light"/>
                <w:b/>
                <w:sz w:val="22"/>
                <w:szCs w:val="22"/>
                <w:lang w:val="es-MX"/>
              </w:rPr>
            </w:pPr>
          </w:p>
        </w:tc>
        <w:tc>
          <w:tcPr>
            <w:tcW w:w="1311" w:type="dxa"/>
            <w:tcBorders>
              <w:top w:val="single" w:sz="6" w:space="0" w:color="auto"/>
              <w:left w:val="single" w:sz="6" w:space="0" w:color="auto"/>
              <w:bottom w:val="single" w:sz="6" w:space="0" w:color="auto"/>
              <w:right w:val="single" w:sz="6" w:space="0" w:color="auto"/>
            </w:tcBorders>
          </w:tcPr>
          <w:p w:rsidR="009F2E87" w:rsidRPr="00EA7F99" w:rsidRDefault="00293D86" w:rsidP="009F2E87">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2015</w:t>
            </w:r>
          </w:p>
        </w:tc>
        <w:tc>
          <w:tcPr>
            <w:tcW w:w="1276" w:type="dxa"/>
            <w:tcBorders>
              <w:top w:val="single" w:sz="6" w:space="0" w:color="auto"/>
              <w:left w:val="single" w:sz="6" w:space="0" w:color="auto"/>
              <w:bottom w:val="single" w:sz="6" w:space="0" w:color="auto"/>
              <w:right w:val="single" w:sz="6" w:space="0" w:color="auto"/>
            </w:tcBorders>
          </w:tcPr>
          <w:p w:rsidR="009F2E87" w:rsidRPr="00EA7F99" w:rsidRDefault="00293D86" w:rsidP="009F2E87">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2014</w:t>
            </w:r>
          </w:p>
        </w:tc>
      </w:tr>
      <w:tr w:rsidR="009F2E87" w:rsidRPr="00540418" w:rsidTr="009F2E87">
        <w:trPr>
          <w:cantSplit/>
          <w:jc w:val="center"/>
        </w:trPr>
        <w:tc>
          <w:tcPr>
            <w:tcW w:w="6677"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rPr>
                <w:rFonts w:ascii="Soberana Sans Light" w:hAnsi="Soberana Sans Light"/>
                <w:b/>
                <w:sz w:val="22"/>
                <w:szCs w:val="22"/>
                <w:lang w:val="es-MX"/>
              </w:rPr>
            </w:pPr>
            <w:r w:rsidRPr="00540418">
              <w:rPr>
                <w:rFonts w:ascii="Soberana Sans Light" w:hAnsi="Soberana Sans Light"/>
                <w:b/>
                <w:sz w:val="22"/>
                <w:szCs w:val="22"/>
                <w:lang w:val="es-MX"/>
              </w:rPr>
              <w:t>Ahorro/Desahorro antes de rubros Extraordinarios</w:t>
            </w:r>
          </w:p>
        </w:tc>
        <w:tc>
          <w:tcPr>
            <w:tcW w:w="1311"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jc w:val="right"/>
              <w:rPr>
                <w:rFonts w:ascii="Soberana Sans Light" w:hAnsi="Soberana Sans Light"/>
                <w:b/>
                <w:sz w:val="22"/>
                <w:szCs w:val="22"/>
                <w:lang w:val="es-MX"/>
              </w:rPr>
            </w:pPr>
          </w:p>
        </w:tc>
        <w:tc>
          <w:tcPr>
            <w:tcW w:w="1276"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jc w:val="right"/>
              <w:rPr>
                <w:rFonts w:ascii="Soberana Sans Light" w:hAnsi="Soberana Sans Light"/>
                <w:b/>
                <w:sz w:val="22"/>
                <w:szCs w:val="22"/>
                <w:lang w:val="es-MX"/>
              </w:rPr>
            </w:pPr>
          </w:p>
        </w:tc>
      </w:tr>
      <w:tr w:rsidR="009F2E87" w:rsidRPr="00540418" w:rsidTr="009F2E87">
        <w:trPr>
          <w:cantSplit/>
          <w:jc w:val="center"/>
        </w:trPr>
        <w:tc>
          <w:tcPr>
            <w:tcW w:w="6677"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rPr>
                <w:rFonts w:ascii="Soberana Sans Light" w:hAnsi="Soberana Sans Light"/>
                <w:i/>
                <w:sz w:val="22"/>
                <w:szCs w:val="22"/>
                <w:lang w:val="es-MX"/>
              </w:rPr>
            </w:pPr>
            <w:r w:rsidRPr="00540418">
              <w:rPr>
                <w:rFonts w:ascii="Soberana Sans Light" w:hAnsi="Soberana Sans Light"/>
                <w:i/>
                <w:sz w:val="22"/>
                <w:szCs w:val="22"/>
                <w:lang w:val="es-MX"/>
              </w:rPr>
              <w:t>Movimientos de partidas (o rubros) que no afectan al efectivo.</w:t>
            </w:r>
          </w:p>
        </w:tc>
        <w:tc>
          <w:tcPr>
            <w:tcW w:w="1311"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jc w:val="right"/>
              <w:rPr>
                <w:rFonts w:ascii="Soberana Sans Light" w:hAnsi="Soberana Sans Light"/>
                <w:sz w:val="22"/>
                <w:szCs w:val="22"/>
                <w:lang w:val="es-MX"/>
              </w:rPr>
            </w:pPr>
          </w:p>
        </w:tc>
        <w:tc>
          <w:tcPr>
            <w:tcW w:w="1276"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jc w:val="right"/>
              <w:rPr>
                <w:rFonts w:ascii="Soberana Sans Light" w:hAnsi="Soberana Sans Light"/>
                <w:sz w:val="22"/>
                <w:szCs w:val="22"/>
                <w:lang w:val="es-MX"/>
              </w:rPr>
            </w:pPr>
          </w:p>
        </w:tc>
      </w:tr>
      <w:tr w:rsidR="009F2E87" w:rsidRPr="00540418" w:rsidTr="009F2E87">
        <w:trPr>
          <w:cantSplit/>
          <w:jc w:val="center"/>
        </w:trPr>
        <w:tc>
          <w:tcPr>
            <w:tcW w:w="6677"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Depreciación</w:t>
            </w:r>
          </w:p>
        </w:tc>
        <w:tc>
          <w:tcPr>
            <w:tcW w:w="1311"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0</w:t>
            </w:r>
          </w:p>
        </w:tc>
        <w:tc>
          <w:tcPr>
            <w:tcW w:w="1276"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0</w:t>
            </w:r>
          </w:p>
        </w:tc>
      </w:tr>
      <w:tr w:rsidR="009F2E87" w:rsidRPr="00540418" w:rsidTr="009F2E87">
        <w:trPr>
          <w:cantSplit/>
          <w:jc w:val="center"/>
        </w:trPr>
        <w:tc>
          <w:tcPr>
            <w:tcW w:w="6677"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Amortización</w:t>
            </w:r>
          </w:p>
        </w:tc>
        <w:tc>
          <w:tcPr>
            <w:tcW w:w="1311"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0</w:t>
            </w:r>
          </w:p>
        </w:tc>
        <w:tc>
          <w:tcPr>
            <w:tcW w:w="1276"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0</w:t>
            </w:r>
          </w:p>
        </w:tc>
      </w:tr>
      <w:tr w:rsidR="009F2E87" w:rsidRPr="00540418" w:rsidTr="009F2E87">
        <w:trPr>
          <w:cantSplit/>
          <w:jc w:val="center"/>
        </w:trPr>
        <w:tc>
          <w:tcPr>
            <w:tcW w:w="6677"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Incrementos en las provisiones</w:t>
            </w:r>
          </w:p>
        </w:tc>
        <w:tc>
          <w:tcPr>
            <w:tcW w:w="1311"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0</w:t>
            </w:r>
          </w:p>
        </w:tc>
        <w:tc>
          <w:tcPr>
            <w:tcW w:w="1276"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0</w:t>
            </w:r>
          </w:p>
        </w:tc>
      </w:tr>
      <w:tr w:rsidR="009F2E87" w:rsidRPr="00540418" w:rsidTr="009F2E87">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inversiones producido por revaluación</w:t>
            </w:r>
          </w:p>
        </w:tc>
        <w:tc>
          <w:tcPr>
            <w:tcW w:w="1311"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0</w:t>
            </w:r>
          </w:p>
        </w:tc>
        <w:tc>
          <w:tcPr>
            <w:tcW w:w="1276"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0</w:t>
            </w:r>
          </w:p>
        </w:tc>
      </w:tr>
      <w:tr w:rsidR="009F2E87" w:rsidRPr="00540418" w:rsidTr="009F2E87">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Ganancia/pérdida en venta de propiedad, planta y equipo</w:t>
            </w:r>
          </w:p>
        </w:tc>
        <w:tc>
          <w:tcPr>
            <w:tcW w:w="1311"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0</w:t>
            </w:r>
          </w:p>
        </w:tc>
        <w:tc>
          <w:tcPr>
            <w:tcW w:w="1276"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0</w:t>
            </w:r>
          </w:p>
        </w:tc>
      </w:tr>
      <w:tr w:rsidR="009F2E87" w:rsidRPr="00540418" w:rsidTr="009F2E87">
        <w:trPr>
          <w:cantSplit/>
          <w:jc w:val="center"/>
        </w:trPr>
        <w:tc>
          <w:tcPr>
            <w:tcW w:w="6677"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cuentas por cobrar</w:t>
            </w:r>
          </w:p>
        </w:tc>
        <w:tc>
          <w:tcPr>
            <w:tcW w:w="1311"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0</w:t>
            </w:r>
          </w:p>
        </w:tc>
        <w:tc>
          <w:tcPr>
            <w:tcW w:w="1276"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0</w:t>
            </w:r>
          </w:p>
        </w:tc>
      </w:tr>
      <w:tr w:rsidR="009F2E87" w:rsidRPr="00540418" w:rsidTr="009F2E87">
        <w:trPr>
          <w:cantSplit/>
          <w:jc w:val="center"/>
        </w:trPr>
        <w:tc>
          <w:tcPr>
            <w:tcW w:w="6677"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Partidas extraordinarias</w:t>
            </w:r>
          </w:p>
        </w:tc>
        <w:tc>
          <w:tcPr>
            <w:tcW w:w="1311"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0</w:t>
            </w:r>
          </w:p>
        </w:tc>
        <w:tc>
          <w:tcPr>
            <w:tcW w:w="1276" w:type="dxa"/>
            <w:tcBorders>
              <w:top w:val="single" w:sz="6" w:space="0" w:color="auto"/>
              <w:left w:val="single" w:sz="6" w:space="0" w:color="auto"/>
              <w:bottom w:val="single" w:sz="6" w:space="0" w:color="auto"/>
              <w:right w:val="single" w:sz="6" w:space="0" w:color="auto"/>
            </w:tcBorders>
          </w:tcPr>
          <w:p w:rsidR="009F2E87" w:rsidRPr="00540418" w:rsidRDefault="009F2E87" w:rsidP="009F2E87">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0</w:t>
            </w:r>
          </w:p>
        </w:tc>
      </w:tr>
    </w:tbl>
    <w:p w:rsidR="009F2E87" w:rsidRDefault="009F2E87" w:rsidP="009F2E87">
      <w:pPr>
        <w:pStyle w:val="Texto"/>
        <w:spacing w:after="0" w:line="240" w:lineRule="exact"/>
        <w:rPr>
          <w:rFonts w:ascii="Soberana Sans Light" w:hAnsi="Soberana Sans Light"/>
          <w:sz w:val="22"/>
          <w:szCs w:val="22"/>
          <w:lang w:val="es-MX"/>
        </w:rPr>
      </w:pPr>
    </w:p>
    <w:p w:rsidR="009F2E87" w:rsidRDefault="009F2E87" w:rsidP="009F2E87">
      <w:pPr>
        <w:pStyle w:val="Texto"/>
        <w:spacing w:after="0" w:line="240" w:lineRule="exact"/>
        <w:rPr>
          <w:rFonts w:ascii="Soberana Sans Light" w:hAnsi="Soberana Sans Light"/>
          <w:sz w:val="22"/>
          <w:szCs w:val="22"/>
          <w:lang w:val="es-MX"/>
        </w:rPr>
      </w:pPr>
    </w:p>
    <w:p w:rsidR="009F2E87" w:rsidRPr="00540418" w:rsidRDefault="009F2E87" w:rsidP="008F43BD">
      <w:pPr>
        <w:pStyle w:val="Texto"/>
        <w:spacing w:after="0" w:line="240" w:lineRule="exact"/>
        <w:ind w:firstLine="0"/>
        <w:rPr>
          <w:rFonts w:ascii="Soberana Sans Light" w:hAnsi="Soberana Sans Light"/>
          <w:sz w:val="22"/>
          <w:szCs w:val="22"/>
          <w:lang w:val="es-MX"/>
        </w:rPr>
      </w:pPr>
    </w:p>
    <w:p w:rsidR="009F2E87" w:rsidRPr="00540418" w:rsidRDefault="009F2E87" w:rsidP="009F2E87">
      <w:pPr>
        <w:pStyle w:val="Texto"/>
        <w:spacing w:after="0" w:line="240" w:lineRule="exact"/>
        <w:rPr>
          <w:rFonts w:ascii="Soberana Sans Light" w:hAnsi="Soberana Sans Light"/>
          <w:sz w:val="22"/>
          <w:szCs w:val="22"/>
          <w:lang w:val="es-MX"/>
        </w:rPr>
      </w:pPr>
    </w:p>
    <w:p w:rsidR="009F2E87" w:rsidRPr="00540418" w:rsidRDefault="009F2E87" w:rsidP="009F2E87">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egresos presupuestarios y los gastos contables</w:t>
      </w:r>
    </w:p>
    <w:p w:rsidR="009F2E87" w:rsidRPr="00540418" w:rsidRDefault="009F2E87" w:rsidP="009F2E87">
      <w:pPr>
        <w:pStyle w:val="Texto"/>
        <w:spacing w:after="0" w:line="240" w:lineRule="exact"/>
        <w:jc w:val="center"/>
        <w:rPr>
          <w:rFonts w:ascii="Soberana Sans Light" w:hAnsi="Soberana Sans Light"/>
          <w:b/>
          <w:smallCaps/>
          <w:sz w:val="22"/>
          <w:szCs w:val="22"/>
          <w:lang w:val="es-MX"/>
        </w:rPr>
      </w:pPr>
    </w:p>
    <w:p w:rsidR="009F2E87" w:rsidRDefault="009F2E87" w:rsidP="009F2E87">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 conciliación se presentará atendiendo a lo dispuesto por la Acuerdo por el que se emite el formato de conciliación entre los ingresos presupuestarios y contables, así como entre los egresos presupuestarios y los gastos contables.</w:t>
      </w:r>
    </w:p>
    <w:p w:rsidR="009F2E87" w:rsidRDefault="009F2E87" w:rsidP="009F2E87">
      <w:pPr>
        <w:pStyle w:val="Texto"/>
        <w:spacing w:after="0" w:line="240" w:lineRule="exact"/>
        <w:rPr>
          <w:rFonts w:ascii="Soberana Sans Light" w:hAnsi="Soberana Sans Light"/>
          <w:sz w:val="22"/>
          <w:szCs w:val="22"/>
          <w:lang w:val="es-MX"/>
        </w:rPr>
      </w:pPr>
    </w:p>
    <w:p w:rsidR="009F2E87" w:rsidRDefault="009F2E87" w:rsidP="009F2E87">
      <w:pPr>
        <w:pStyle w:val="Texto"/>
        <w:spacing w:after="0" w:line="240" w:lineRule="exact"/>
        <w:rPr>
          <w:rFonts w:ascii="Soberana Sans Light" w:hAnsi="Soberana Sans Light"/>
          <w:sz w:val="22"/>
          <w:szCs w:val="22"/>
          <w:lang w:val="es-MX"/>
        </w:rPr>
      </w:pPr>
    </w:p>
    <w:p w:rsidR="009F2E87" w:rsidRDefault="009F2E87" w:rsidP="009F2E87">
      <w:pPr>
        <w:pStyle w:val="Texto"/>
        <w:spacing w:after="0" w:line="240" w:lineRule="exact"/>
        <w:rPr>
          <w:rFonts w:ascii="Soberana Sans Light" w:hAnsi="Soberana Sans Light"/>
          <w:sz w:val="22"/>
          <w:szCs w:val="22"/>
          <w:lang w:val="es-MX"/>
        </w:rPr>
      </w:pPr>
    </w:p>
    <w:p w:rsidR="009F2E87" w:rsidRDefault="009F2E87" w:rsidP="009F2E87">
      <w:pPr>
        <w:pStyle w:val="Texto"/>
        <w:spacing w:after="0" w:line="240" w:lineRule="exact"/>
        <w:rPr>
          <w:rFonts w:ascii="Soberana Sans Light" w:hAnsi="Soberana Sans Light"/>
          <w:sz w:val="22"/>
          <w:szCs w:val="22"/>
          <w:lang w:val="es-MX"/>
        </w:rPr>
      </w:pPr>
    </w:p>
    <w:p w:rsidR="009F2E87" w:rsidRDefault="009F2E87" w:rsidP="009F2E87">
      <w:pPr>
        <w:pStyle w:val="Texto"/>
        <w:spacing w:after="0" w:line="240" w:lineRule="exact"/>
        <w:rPr>
          <w:rFonts w:ascii="Soberana Sans Light" w:hAnsi="Soberana Sans Light"/>
          <w:sz w:val="22"/>
          <w:szCs w:val="22"/>
          <w:lang w:val="es-MX"/>
        </w:rPr>
      </w:pPr>
    </w:p>
    <w:p w:rsidR="009F2E87" w:rsidRDefault="00482349" w:rsidP="009F2E87">
      <w:pPr>
        <w:pStyle w:val="Texto"/>
        <w:spacing w:after="0" w:line="240" w:lineRule="exact"/>
        <w:rPr>
          <w:rFonts w:ascii="Soberana Sans Light" w:hAnsi="Soberana Sans Light"/>
          <w:sz w:val="22"/>
          <w:szCs w:val="22"/>
          <w:lang w:val="es-MX"/>
        </w:rPr>
      </w:pPr>
      <w:r>
        <w:rPr>
          <w:rFonts w:ascii="Soberana Sans Light" w:hAnsi="Soberana Sans Light"/>
          <w:noProof/>
          <w:sz w:val="22"/>
          <w:szCs w:val="22"/>
          <w:lang w:val="es-MX" w:eastAsia="es-MX"/>
        </w:rPr>
        <w:object w:dxaOrig="1440" w:dyaOrig="1440">
          <v:shape id="_x0000_s1069" type="#_x0000_t75" style="position:absolute;left:0;text-align:left;margin-left:9.65pt;margin-top:37.5pt;width:236.15pt;height:113.1pt;z-index:251669504;mso-position-horizontal-relative:text;mso-position-vertical-relative:text;mso-width-relative:page;mso-height-relative:page">
            <v:imagedata r:id="rId25" o:title=""/>
            <w10:wrap type="topAndBottom"/>
          </v:shape>
          <o:OLEObject Type="Embed" ProgID="Excel.Sheet.12" ShapeID="_x0000_s1069" DrawAspect="Content" ObjectID="_1505904318" r:id="rId26"/>
        </w:object>
      </w:r>
    </w:p>
    <w:p w:rsidR="009F2E87" w:rsidRDefault="00482349" w:rsidP="009F2E87">
      <w:pPr>
        <w:pStyle w:val="Texto"/>
        <w:spacing w:after="0" w:line="240" w:lineRule="exact"/>
        <w:ind w:firstLine="0"/>
        <w:rPr>
          <w:rFonts w:ascii="Soberana Sans Light" w:hAnsi="Soberana Sans Light"/>
          <w:sz w:val="22"/>
          <w:szCs w:val="22"/>
          <w:lang w:val="es-MX"/>
        </w:rPr>
      </w:pPr>
      <w:r>
        <w:rPr>
          <w:noProof/>
        </w:rPr>
        <w:object w:dxaOrig="1440" w:dyaOrig="1440">
          <v:shape id="_x0000_s1070" type="#_x0000_t75" style="position:absolute;left:0;text-align:left;margin-left:360.35pt;margin-top:9pt;width:205.25pt;height:171.7pt;z-index:251670528;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7" o:title=""/>
            <w10:wrap type="topAndBottom"/>
          </v:shape>
          <o:OLEObject Type="Embed" ProgID="Excel.Sheet.12" ShapeID="_x0000_s1070" DrawAspect="Content" ObjectID="_1505904319" r:id="rId28"/>
        </w:object>
      </w:r>
    </w:p>
    <w:p w:rsidR="009F2E87" w:rsidRDefault="009F2E87" w:rsidP="009F2E87">
      <w:pPr>
        <w:pStyle w:val="Texto"/>
        <w:spacing w:after="0" w:line="240" w:lineRule="exact"/>
        <w:jc w:val="center"/>
        <w:rPr>
          <w:rFonts w:ascii="Soberana Sans Light" w:hAnsi="Soberana Sans Light"/>
          <w:b/>
          <w:smallCaps/>
          <w:sz w:val="22"/>
          <w:szCs w:val="22"/>
          <w:lang w:val="es-MX"/>
        </w:rPr>
      </w:pPr>
    </w:p>
    <w:p w:rsidR="009F2E87" w:rsidRDefault="009F2E87" w:rsidP="009F2E87">
      <w:pPr>
        <w:pStyle w:val="Texto"/>
        <w:spacing w:after="0" w:line="240" w:lineRule="exact"/>
        <w:jc w:val="center"/>
        <w:rPr>
          <w:rFonts w:ascii="Soberana Sans Light" w:hAnsi="Soberana Sans Light"/>
          <w:b/>
          <w:smallCaps/>
          <w:sz w:val="22"/>
          <w:szCs w:val="22"/>
          <w:lang w:val="es-MX"/>
        </w:rPr>
      </w:pPr>
    </w:p>
    <w:p w:rsidR="009F2E87" w:rsidRDefault="009F2E87" w:rsidP="009F2E87">
      <w:pPr>
        <w:pStyle w:val="Texto"/>
        <w:spacing w:after="0" w:line="240" w:lineRule="exact"/>
        <w:jc w:val="center"/>
        <w:rPr>
          <w:rFonts w:ascii="Soberana Sans Light" w:hAnsi="Soberana Sans Light"/>
          <w:b/>
          <w:smallCaps/>
          <w:sz w:val="22"/>
          <w:szCs w:val="22"/>
          <w:lang w:val="es-MX"/>
        </w:rPr>
      </w:pPr>
    </w:p>
    <w:p w:rsidR="009F2E87" w:rsidRDefault="009F2E87" w:rsidP="009F2E87">
      <w:pPr>
        <w:pStyle w:val="Texto"/>
        <w:spacing w:after="0" w:line="240" w:lineRule="exact"/>
        <w:jc w:val="center"/>
        <w:rPr>
          <w:rFonts w:ascii="Soberana Sans Light" w:hAnsi="Soberana Sans Light"/>
          <w:b/>
          <w:smallCaps/>
          <w:sz w:val="22"/>
          <w:szCs w:val="22"/>
          <w:lang w:val="es-MX"/>
        </w:rPr>
      </w:pPr>
    </w:p>
    <w:p w:rsidR="009F2E87" w:rsidRDefault="009F2E87" w:rsidP="009F2E87">
      <w:pPr>
        <w:pStyle w:val="Texto"/>
        <w:spacing w:after="0" w:line="240" w:lineRule="exact"/>
        <w:jc w:val="center"/>
        <w:rPr>
          <w:rFonts w:ascii="Soberana Sans Light" w:hAnsi="Soberana Sans Light"/>
          <w:b/>
          <w:smallCaps/>
          <w:sz w:val="22"/>
          <w:szCs w:val="22"/>
          <w:lang w:val="es-MX"/>
        </w:rPr>
      </w:pPr>
    </w:p>
    <w:p w:rsidR="009F2E87" w:rsidRDefault="009F2E87" w:rsidP="009F2E87">
      <w:pPr>
        <w:pStyle w:val="Texto"/>
        <w:spacing w:after="0" w:line="240" w:lineRule="exact"/>
        <w:jc w:val="center"/>
        <w:rPr>
          <w:rFonts w:ascii="Soberana Sans Light" w:hAnsi="Soberana Sans Light"/>
          <w:b/>
          <w:smallCaps/>
          <w:sz w:val="22"/>
          <w:szCs w:val="22"/>
          <w:lang w:val="es-MX"/>
        </w:rPr>
      </w:pPr>
    </w:p>
    <w:p w:rsidR="009F2E87" w:rsidRDefault="009F2E87" w:rsidP="009F2E87">
      <w:pPr>
        <w:pStyle w:val="Texto"/>
        <w:spacing w:after="0" w:line="240" w:lineRule="exact"/>
        <w:jc w:val="center"/>
        <w:rPr>
          <w:rFonts w:ascii="Soberana Sans Light" w:hAnsi="Soberana Sans Light"/>
          <w:b/>
          <w:smallCaps/>
          <w:sz w:val="22"/>
          <w:szCs w:val="22"/>
          <w:lang w:val="es-MX"/>
        </w:rPr>
      </w:pPr>
    </w:p>
    <w:p w:rsidR="009F2E87" w:rsidRDefault="009F2E87" w:rsidP="009F2E87">
      <w:pPr>
        <w:pStyle w:val="Texto"/>
        <w:spacing w:after="0" w:line="240" w:lineRule="exact"/>
        <w:jc w:val="center"/>
        <w:rPr>
          <w:rFonts w:ascii="Soberana Sans Light" w:hAnsi="Soberana Sans Light"/>
          <w:b/>
          <w:smallCaps/>
          <w:sz w:val="22"/>
          <w:szCs w:val="22"/>
          <w:lang w:val="es-MX"/>
        </w:rPr>
      </w:pPr>
    </w:p>
    <w:p w:rsidR="009F2E87" w:rsidRPr="00540418" w:rsidRDefault="009F2E87" w:rsidP="00E70878">
      <w:pPr>
        <w:pStyle w:val="Texto"/>
        <w:spacing w:after="0" w:line="240" w:lineRule="exact"/>
        <w:ind w:firstLine="0"/>
        <w:rPr>
          <w:rFonts w:ascii="Soberana Sans Light" w:hAnsi="Soberana Sans Light"/>
          <w:b/>
          <w:smallCaps/>
          <w:sz w:val="22"/>
          <w:szCs w:val="22"/>
          <w:lang w:val="es-MX"/>
        </w:rPr>
      </w:pPr>
    </w:p>
    <w:p w:rsidR="009F2E87" w:rsidRPr="00540418" w:rsidRDefault="009F2E87" w:rsidP="009F2E87">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sz w:val="22"/>
          <w:szCs w:val="22"/>
        </w:rPr>
        <w:t xml:space="preserve"> </w:t>
      </w: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rsidR="009F2E87" w:rsidRDefault="009F2E87" w:rsidP="009F2E87">
      <w:pPr>
        <w:pStyle w:val="Texto"/>
        <w:spacing w:after="0" w:line="240" w:lineRule="exact"/>
        <w:ind w:firstLine="0"/>
        <w:rPr>
          <w:rFonts w:ascii="Soberana Sans Light" w:hAnsi="Soberana Sans Light"/>
          <w:b/>
          <w:sz w:val="22"/>
          <w:szCs w:val="22"/>
          <w:lang w:val="es-MX"/>
        </w:rPr>
      </w:pPr>
    </w:p>
    <w:p w:rsidR="009F2E87" w:rsidRPr="00540418" w:rsidRDefault="009F2E87" w:rsidP="009F2E87">
      <w:pPr>
        <w:pStyle w:val="Texto"/>
        <w:spacing w:after="0" w:line="240" w:lineRule="exact"/>
        <w:ind w:firstLine="0"/>
        <w:rPr>
          <w:rFonts w:ascii="Soberana Sans Light" w:hAnsi="Soberana Sans Light"/>
          <w:b/>
          <w:sz w:val="22"/>
          <w:szCs w:val="22"/>
          <w:lang w:val="es-MX"/>
        </w:rPr>
      </w:pPr>
    </w:p>
    <w:p w:rsidR="009F2E87" w:rsidRPr="00540418" w:rsidRDefault="009F2E87" w:rsidP="009F2E87">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9F2E87" w:rsidRPr="00540418" w:rsidRDefault="009F2E87" w:rsidP="009F2E87">
      <w:pPr>
        <w:pStyle w:val="Texto"/>
        <w:spacing w:after="0" w:line="240" w:lineRule="exact"/>
        <w:rPr>
          <w:rFonts w:ascii="Soberana Sans Light" w:hAnsi="Soberana Sans Light"/>
          <w:sz w:val="22"/>
          <w:szCs w:val="22"/>
          <w:lang w:val="es-MX"/>
        </w:rPr>
      </w:pPr>
    </w:p>
    <w:p w:rsidR="009F2E87" w:rsidRDefault="009F2E87" w:rsidP="009F2E87">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 xml:space="preserve">Las cuentas </w:t>
      </w:r>
      <w:r>
        <w:rPr>
          <w:rFonts w:ascii="Soberana Sans Light" w:hAnsi="Soberana Sans Light"/>
          <w:sz w:val="22"/>
          <w:szCs w:val="22"/>
          <w:lang w:val="es-MX"/>
        </w:rPr>
        <w:t>de orden contable no aplican para efectos del presente documento.</w:t>
      </w:r>
    </w:p>
    <w:p w:rsidR="009F2E87" w:rsidRPr="00540418" w:rsidRDefault="009F2E87" w:rsidP="009F2E87">
      <w:pPr>
        <w:pStyle w:val="Texto"/>
        <w:spacing w:after="0" w:line="240" w:lineRule="exact"/>
        <w:rPr>
          <w:rFonts w:ascii="Soberana Sans Light" w:hAnsi="Soberana Sans Light"/>
          <w:sz w:val="22"/>
          <w:szCs w:val="22"/>
          <w:lang w:val="es-MX"/>
        </w:rPr>
      </w:pPr>
    </w:p>
    <w:p w:rsidR="009F2E87" w:rsidRPr="00540418" w:rsidRDefault="009F2E87" w:rsidP="009F2E87">
      <w:pPr>
        <w:pStyle w:val="Texto"/>
        <w:spacing w:after="0" w:line="240" w:lineRule="exact"/>
        <w:rPr>
          <w:rFonts w:ascii="Soberana Sans Light" w:hAnsi="Soberana Sans Light"/>
          <w:sz w:val="22"/>
          <w:szCs w:val="22"/>
        </w:rPr>
      </w:pPr>
    </w:p>
    <w:p w:rsidR="00293D86" w:rsidRDefault="00293D86" w:rsidP="009F2E87">
      <w:pPr>
        <w:pStyle w:val="Texto"/>
        <w:spacing w:after="0" w:line="240" w:lineRule="exact"/>
        <w:ind w:firstLine="0"/>
        <w:jc w:val="center"/>
        <w:rPr>
          <w:rFonts w:ascii="Soberana Sans Light" w:hAnsi="Soberana Sans Light"/>
          <w:b/>
          <w:sz w:val="22"/>
          <w:szCs w:val="22"/>
          <w:lang w:val="es-MX"/>
        </w:rPr>
      </w:pPr>
    </w:p>
    <w:p w:rsidR="009F2E87" w:rsidRPr="00540418" w:rsidRDefault="009F2E87" w:rsidP="009F2E87">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rsidR="009F2E87" w:rsidRDefault="009F2E87" w:rsidP="009F2E87">
      <w:pPr>
        <w:pStyle w:val="Texto"/>
        <w:spacing w:after="0" w:line="240" w:lineRule="exact"/>
        <w:ind w:firstLine="0"/>
        <w:jc w:val="left"/>
        <w:rPr>
          <w:rFonts w:ascii="Soberana Sans Light" w:hAnsi="Soberana Sans Light"/>
          <w:b/>
          <w:sz w:val="22"/>
          <w:szCs w:val="22"/>
          <w:lang w:val="es-MX"/>
        </w:rPr>
      </w:pPr>
    </w:p>
    <w:p w:rsidR="00293D86" w:rsidRPr="00540418" w:rsidRDefault="00293D86" w:rsidP="009F2E87">
      <w:pPr>
        <w:pStyle w:val="Texto"/>
        <w:spacing w:after="0" w:line="240" w:lineRule="exact"/>
        <w:ind w:firstLine="0"/>
        <w:jc w:val="left"/>
        <w:rPr>
          <w:rFonts w:ascii="Soberana Sans Light" w:hAnsi="Soberana Sans Light"/>
          <w:b/>
          <w:sz w:val="22"/>
          <w:szCs w:val="22"/>
          <w:lang w:val="es-MX"/>
        </w:rPr>
      </w:pPr>
    </w:p>
    <w:p w:rsidR="009F2E87" w:rsidRDefault="009F2E87" w:rsidP="009F2E87">
      <w:pPr>
        <w:pStyle w:val="Texto"/>
        <w:numPr>
          <w:ilvl w:val="0"/>
          <w:numId w:val="1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Introducción</w:t>
      </w:r>
    </w:p>
    <w:p w:rsidR="009F2E87" w:rsidRPr="00540418" w:rsidRDefault="009F2E87" w:rsidP="009F2E87">
      <w:pPr>
        <w:pStyle w:val="Texto"/>
        <w:spacing w:after="0" w:line="240" w:lineRule="exact"/>
        <w:ind w:left="708" w:firstLine="0"/>
        <w:rPr>
          <w:rFonts w:ascii="Soberana Sans Light" w:hAnsi="Soberana Sans Light"/>
          <w:b/>
          <w:sz w:val="22"/>
          <w:szCs w:val="22"/>
        </w:rPr>
      </w:pPr>
    </w:p>
    <w:p w:rsidR="009F2E87" w:rsidRPr="00540418" w:rsidRDefault="009F2E87" w:rsidP="009F2E87">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 xml:space="preserve">Los Estados Financieros de los entes públicos, proveen de información financiera a los principales usuarios de la misma, </w:t>
      </w:r>
      <w:r>
        <w:rPr>
          <w:rFonts w:ascii="Soberana Sans Light" w:hAnsi="Soberana Sans Light"/>
          <w:sz w:val="22"/>
          <w:szCs w:val="22"/>
        </w:rPr>
        <w:t>al Congreso y a los ciudadanos.</w:t>
      </w:r>
    </w:p>
    <w:p w:rsidR="009F2E87" w:rsidRPr="00540418" w:rsidRDefault="009F2E87" w:rsidP="009F2E87">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9F2E87" w:rsidRPr="00540418" w:rsidRDefault="009F2E87" w:rsidP="009F2E87">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9F2E87" w:rsidRPr="00540418" w:rsidRDefault="009F2E87" w:rsidP="009F2E87">
      <w:pPr>
        <w:pStyle w:val="Texto"/>
        <w:spacing w:after="0" w:line="240" w:lineRule="exact"/>
        <w:rPr>
          <w:rFonts w:ascii="Soberana Sans Light" w:hAnsi="Soberana Sans Light"/>
          <w:sz w:val="22"/>
          <w:szCs w:val="22"/>
        </w:rPr>
      </w:pPr>
    </w:p>
    <w:p w:rsidR="009F2E87" w:rsidRDefault="009F2E87" w:rsidP="009F2E87">
      <w:pPr>
        <w:pStyle w:val="Texto"/>
        <w:numPr>
          <w:ilvl w:val="0"/>
          <w:numId w:val="1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Panorama Económico y Financiero</w:t>
      </w:r>
    </w:p>
    <w:p w:rsidR="009F2E87" w:rsidRPr="00540418" w:rsidRDefault="009F2E87" w:rsidP="009F2E87">
      <w:pPr>
        <w:pStyle w:val="Texto"/>
        <w:spacing w:after="0" w:line="240" w:lineRule="exact"/>
        <w:ind w:left="708" w:firstLine="0"/>
        <w:rPr>
          <w:rFonts w:ascii="Soberana Sans Light" w:hAnsi="Soberana Sans Light"/>
          <w:b/>
          <w:sz w:val="22"/>
          <w:szCs w:val="22"/>
          <w:lang w:val="es-MX"/>
        </w:rPr>
      </w:pPr>
    </w:p>
    <w:p w:rsidR="009F2E87" w:rsidRDefault="009F2E87" w:rsidP="009F2E87">
      <w:pPr>
        <w:pStyle w:val="Texto"/>
        <w:spacing w:after="0" w:line="240" w:lineRule="exact"/>
        <w:ind w:firstLine="0"/>
        <w:rPr>
          <w:rFonts w:ascii="Soberana Sans Light" w:hAnsi="Soberana Sans Light"/>
          <w:sz w:val="22"/>
          <w:szCs w:val="22"/>
        </w:rPr>
      </w:pPr>
      <w:r>
        <w:rPr>
          <w:rFonts w:ascii="Soberana Sans Light" w:hAnsi="Soberana Sans Light"/>
          <w:sz w:val="22"/>
          <w:szCs w:val="22"/>
        </w:rPr>
        <w:t>La Universidad Tecnológica de Tlaxcala obtiene la mayor parte de sus ingresos del Convenio con la Secretaría de Educación Pública Federal, para tal efecto en el ejercicio 2015 se firmó por la cantidad de $28,517,535</w:t>
      </w:r>
      <w:r w:rsidRPr="00540418">
        <w:rPr>
          <w:rFonts w:ascii="Soberana Sans Light" w:hAnsi="Soberana Sans Light"/>
          <w:sz w:val="22"/>
          <w:szCs w:val="22"/>
        </w:rPr>
        <w:t>.</w:t>
      </w:r>
      <w:r>
        <w:rPr>
          <w:rFonts w:ascii="Soberana Sans Light" w:hAnsi="Soberana Sans Light"/>
          <w:sz w:val="22"/>
          <w:szCs w:val="22"/>
        </w:rPr>
        <w:t xml:space="preserve"> Por su parte, el Gobierno del Estado de Tlaxcala sólo transferirá la cantidad de $19,000,000 aun cuando el citado Convenio establece que debe aportarse la misma cantidad. De ahí que existe un déficit durante el ejercicio 2015 por la cantidad de $9,517,535, mismos que son sumados a los generados en ejercicios anteriores. </w:t>
      </w:r>
    </w:p>
    <w:p w:rsidR="009F2E87" w:rsidRDefault="009F2E87" w:rsidP="009F2E87">
      <w:pPr>
        <w:pStyle w:val="Texto"/>
        <w:spacing w:after="0" w:line="240" w:lineRule="exact"/>
        <w:ind w:firstLine="0"/>
        <w:rPr>
          <w:rFonts w:ascii="Soberana Sans Light" w:hAnsi="Soberana Sans Light"/>
          <w:sz w:val="22"/>
          <w:szCs w:val="22"/>
        </w:rPr>
      </w:pPr>
    </w:p>
    <w:p w:rsidR="009F2E87" w:rsidRDefault="009F2E87" w:rsidP="009F2E87">
      <w:pPr>
        <w:pStyle w:val="Texto"/>
        <w:spacing w:after="0" w:line="240" w:lineRule="exact"/>
        <w:ind w:firstLine="0"/>
        <w:rPr>
          <w:rFonts w:ascii="Soberana Sans Light" w:hAnsi="Soberana Sans Light"/>
          <w:sz w:val="22"/>
          <w:szCs w:val="22"/>
        </w:rPr>
      </w:pPr>
      <w:r>
        <w:rPr>
          <w:rFonts w:ascii="Soberana Sans Light" w:hAnsi="Soberana Sans Light"/>
          <w:sz w:val="22"/>
          <w:szCs w:val="22"/>
        </w:rPr>
        <w:t>Por tal motivo, la Universidad Tecnológica de Tlaxcala ha tenido que subsanar este Déficit aplicando recursos provenientes de Ingresos Propios para coadyuvar al pago de las obligaciones contraídas por la Universidad, cubriendo el faltante en Servicios Personales y otros Capítulos, aun cuando la mayor parte de ingresos debiera destinarse al pago de equipamiento de aulas y laboratorios, fortalecimiento y equipamiento, mantenimiento de edificios, entre otros.</w:t>
      </w:r>
    </w:p>
    <w:p w:rsidR="009F2E87" w:rsidRDefault="009F2E87" w:rsidP="009F2E87">
      <w:pPr>
        <w:pStyle w:val="Texto"/>
        <w:spacing w:after="0" w:line="240" w:lineRule="exact"/>
        <w:ind w:firstLine="0"/>
        <w:rPr>
          <w:rFonts w:ascii="Soberana Sans Light" w:hAnsi="Soberana Sans Light"/>
          <w:sz w:val="22"/>
          <w:szCs w:val="22"/>
        </w:rPr>
      </w:pPr>
    </w:p>
    <w:p w:rsidR="009F2E87" w:rsidRDefault="009F2E87" w:rsidP="009F2E87">
      <w:pPr>
        <w:pStyle w:val="Texto"/>
        <w:spacing w:after="0" w:line="240" w:lineRule="exact"/>
        <w:ind w:firstLine="0"/>
        <w:rPr>
          <w:rFonts w:ascii="Soberana Sans Light" w:hAnsi="Soberana Sans Light"/>
          <w:sz w:val="22"/>
          <w:szCs w:val="22"/>
        </w:rPr>
      </w:pPr>
      <w:r>
        <w:rPr>
          <w:rFonts w:ascii="Soberana Sans Light" w:hAnsi="Soberana Sans Light"/>
          <w:sz w:val="22"/>
          <w:szCs w:val="22"/>
        </w:rPr>
        <w:t>En el caso del Fondo de Apoyo a la Calidad 2013, sucede una situación similar, pues el Estado ha omitido la aportación que le corresponde de acuerdo al Convenio firmado por $3,520,851 y así poder cumplir con los objetivos del Convenio original.</w:t>
      </w:r>
    </w:p>
    <w:p w:rsidR="009F2E87" w:rsidRDefault="009F2E87" w:rsidP="009F2E87">
      <w:pPr>
        <w:pStyle w:val="Texto"/>
        <w:spacing w:after="0" w:line="240" w:lineRule="exact"/>
        <w:ind w:firstLine="0"/>
        <w:rPr>
          <w:rFonts w:ascii="Soberana Sans Light" w:hAnsi="Soberana Sans Light"/>
          <w:sz w:val="22"/>
          <w:szCs w:val="22"/>
        </w:rPr>
      </w:pPr>
    </w:p>
    <w:p w:rsidR="00293D86" w:rsidRDefault="00293D86" w:rsidP="009F2E87">
      <w:pPr>
        <w:pStyle w:val="Texto"/>
        <w:spacing w:after="0" w:line="240" w:lineRule="exact"/>
        <w:ind w:firstLine="0"/>
        <w:rPr>
          <w:rFonts w:ascii="Soberana Sans Light" w:hAnsi="Soberana Sans Light"/>
          <w:sz w:val="22"/>
          <w:szCs w:val="22"/>
        </w:rPr>
      </w:pPr>
    </w:p>
    <w:p w:rsidR="00293D86" w:rsidRDefault="00293D86" w:rsidP="009F2E87">
      <w:pPr>
        <w:pStyle w:val="Texto"/>
        <w:spacing w:after="0" w:line="240" w:lineRule="exact"/>
        <w:ind w:firstLine="0"/>
        <w:rPr>
          <w:rFonts w:ascii="Soberana Sans Light" w:hAnsi="Soberana Sans Light"/>
          <w:sz w:val="22"/>
          <w:szCs w:val="22"/>
        </w:rPr>
      </w:pPr>
    </w:p>
    <w:p w:rsidR="00293D86" w:rsidRDefault="00293D86" w:rsidP="009F2E87">
      <w:pPr>
        <w:pStyle w:val="Texto"/>
        <w:spacing w:after="0" w:line="240" w:lineRule="exact"/>
        <w:ind w:firstLine="0"/>
        <w:rPr>
          <w:rFonts w:ascii="Soberana Sans Light" w:hAnsi="Soberana Sans Light"/>
          <w:sz w:val="22"/>
          <w:szCs w:val="22"/>
        </w:rPr>
      </w:pPr>
    </w:p>
    <w:p w:rsidR="00293D86" w:rsidRDefault="00293D86" w:rsidP="009F2E87">
      <w:pPr>
        <w:pStyle w:val="Texto"/>
        <w:spacing w:after="0" w:line="240" w:lineRule="exact"/>
        <w:ind w:firstLine="0"/>
        <w:rPr>
          <w:rFonts w:ascii="Soberana Sans Light" w:hAnsi="Soberana Sans Light"/>
          <w:sz w:val="22"/>
          <w:szCs w:val="22"/>
        </w:rPr>
      </w:pPr>
    </w:p>
    <w:p w:rsidR="009F2E87" w:rsidRPr="00293D86" w:rsidRDefault="009F2E87" w:rsidP="00293D86">
      <w:pPr>
        <w:pStyle w:val="Texto"/>
        <w:numPr>
          <w:ilvl w:val="0"/>
          <w:numId w:val="14"/>
        </w:numPr>
        <w:spacing w:after="0" w:line="240" w:lineRule="exact"/>
        <w:rPr>
          <w:rFonts w:ascii="Soberana Sans Light" w:hAnsi="Soberana Sans Light"/>
          <w:b/>
          <w:sz w:val="22"/>
          <w:szCs w:val="22"/>
          <w:lang w:val="es-MX"/>
        </w:rPr>
      </w:pPr>
      <w:r w:rsidRPr="00293D86">
        <w:rPr>
          <w:rFonts w:ascii="Soberana Sans Light" w:hAnsi="Soberana Sans Light"/>
          <w:b/>
          <w:sz w:val="22"/>
          <w:szCs w:val="22"/>
          <w:lang w:val="es-MX"/>
        </w:rPr>
        <w:t>Autorización e Historia.</w:t>
      </w:r>
    </w:p>
    <w:p w:rsidR="009F2E87" w:rsidRDefault="009F2E87" w:rsidP="009F2E87">
      <w:pPr>
        <w:pStyle w:val="Texto"/>
        <w:spacing w:after="0" w:line="240" w:lineRule="exact"/>
        <w:rPr>
          <w:rFonts w:ascii="Soberana Sans Light" w:hAnsi="Soberana Sans Light"/>
          <w:b/>
          <w:sz w:val="22"/>
          <w:szCs w:val="22"/>
          <w:lang w:val="es-MX"/>
        </w:rPr>
      </w:pPr>
    </w:p>
    <w:p w:rsidR="009F2E87" w:rsidRPr="00F647F4" w:rsidRDefault="009F2E87" w:rsidP="009F2E87">
      <w:pPr>
        <w:pStyle w:val="Texto"/>
        <w:spacing w:after="0" w:line="240" w:lineRule="exact"/>
        <w:rPr>
          <w:rFonts w:ascii="Soberana Sans Light" w:hAnsi="Soberana Sans Light"/>
          <w:sz w:val="22"/>
          <w:szCs w:val="22"/>
          <w:lang w:val="es-MX"/>
        </w:rPr>
      </w:pPr>
    </w:p>
    <w:p w:rsidR="009F2E87" w:rsidRPr="00F647F4" w:rsidRDefault="009F2E87" w:rsidP="009F2E87">
      <w:pPr>
        <w:pStyle w:val="Texto"/>
        <w:spacing w:after="0" w:line="240" w:lineRule="exact"/>
        <w:ind w:firstLine="0"/>
        <w:rPr>
          <w:rFonts w:ascii="Soberana Sans Light" w:hAnsi="Soberana Sans Light"/>
          <w:sz w:val="22"/>
          <w:szCs w:val="22"/>
          <w:lang w:val="es-MX"/>
        </w:rPr>
      </w:pPr>
      <w:r w:rsidRPr="00F647F4">
        <w:rPr>
          <w:rFonts w:ascii="Soberana Sans Light" w:hAnsi="Soberana Sans Light"/>
          <w:sz w:val="22"/>
          <w:szCs w:val="22"/>
          <w:lang w:val="es-MX"/>
        </w:rPr>
        <w:t xml:space="preserve">La Universidad Tecnológica de Tlaxcala fue creada por Decreto el 14 de febrero de 1996. El Decreto establece que será un Organismo Público Descentralizado con personalidad jurídica y patrimonio propios. </w:t>
      </w:r>
    </w:p>
    <w:p w:rsidR="009F2E87" w:rsidRDefault="009F2E87" w:rsidP="009F2E87">
      <w:pPr>
        <w:pStyle w:val="Texto"/>
        <w:spacing w:after="0" w:line="240" w:lineRule="exact"/>
        <w:ind w:firstLine="0"/>
        <w:rPr>
          <w:rFonts w:ascii="Soberana Sans Light" w:hAnsi="Soberana Sans Light"/>
          <w:sz w:val="22"/>
          <w:szCs w:val="22"/>
          <w:lang w:val="es-MX"/>
        </w:rPr>
      </w:pPr>
      <w:r w:rsidRPr="00F647F4">
        <w:rPr>
          <w:rFonts w:ascii="Soberana Sans Light" w:hAnsi="Soberana Sans Light"/>
          <w:sz w:val="22"/>
          <w:szCs w:val="22"/>
          <w:lang w:val="es-MX"/>
        </w:rPr>
        <w:t>Posteriormente, el 1 de agosto de 2000 se publicó en el Periódico Oficial del Estado de Tlaxcala el Decreto por el que se reforma y adiciona el Decreto de fecha siete de febrero de mil novecientos noventa y seis, expedido por el Titular del Poder Ejecutivo del Estado, publicado en el Periódico Oficial de fecha catorce de febrero del mismo año, por medio el cual se creó la Universidad Tecnológica de Tlaxcala.</w:t>
      </w:r>
    </w:p>
    <w:p w:rsidR="009F2E87" w:rsidRDefault="009F2E87" w:rsidP="009F2E87">
      <w:pPr>
        <w:pStyle w:val="Texto"/>
        <w:spacing w:after="0" w:line="240" w:lineRule="exact"/>
        <w:ind w:firstLine="0"/>
        <w:rPr>
          <w:rFonts w:ascii="Soberana Sans Light" w:hAnsi="Soberana Sans Light"/>
          <w:sz w:val="22"/>
          <w:szCs w:val="22"/>
          <w:lang w:val="es-MX"/>
        </w:rPr>
      </w:pPr>
      <w:r>
        <w:rPr>
          <w:rFonts w:ascii="Soberana Sans Light" w:hAnsi="Soberana Sans Light"/>
          <w:sz w:val="22"/>
          <w:szCs w:val="22"/>
          <w:lang w:val="es-MX"/>
        </w:rPr>
        <w:t>Finalmente, la creación de ingenierías fue publicada el 8 de diciembre de 2009 como una reforma al Decreto citado en el párrafo anterior.</w:t>
      </w:r>
    </w:p>
    <w:p w:rsidR="009F2E87" w:rsidRPr="00F647F4" w:rsidRDefault="009F2E87" w:rsidP="009F2E87">
      <w:pPr>
        <w:pStyle w:val="Texto"/>
        <w:spacing w:after="0" w:line="240" w:lineRule="exact"/>
        <w:rPr>
          <w:rFonts w:ascii="Soberana Sans Light" w:hAnsi="Soberana Sans Light"/>
          <w:sz w:val="22"/>
          <w:szCs w:val="22"/>
          <w:lang w:val="es-MX"/>
        </w:rPr>
      </w:pPr>
    </w:p>
    <w:p w:rsidR="00293D86" w:rsidRDefault="00293D86" w:rsidP="009F2E87">
      <w:pPr>
        <w:pStyle w:val="Texto"/>
        <w:spacing w:after="0" w:line="240" w:lineRule="exact"/>
        <w:rPr>
          <w:rFonts w:ascii="Soberana Sans Light" w:hAnsi="Soberana Sans Light"/>
          <w:b/>
          <w:sz w:val="22"/>
          <w:szCs w:val="22"/>
          <w:lang w:val="es-MX"/>
        </w:rPr>
      </w:pPr>
    </w:p>
    <w:p w:rsidR="009F2E87" w:rsidRPr="00540418" w:rsidRDefault="009F2E87" w:rsidP="009F2E87">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4.</w:t>
      </w:r>
      <w:r w:rsidRPr="00540418">
        <w:rPr>
          <w:rFonts w:ascii="Soberana Sans Light" w:hAnsi="Soberana Sans Light"/>
          <w:b/>
          <w:sz w:val="22"/>
          <w:szCs w:val="22"/>
          <w:lang w:val="es-MX"/>
        </w:rPr>
        <w:tab/>
        <w:t>Organización y Objeto Social</w:t>
      </w:r>
    </w:p>
    <w:p w:rsidR="009F2E87" w:rsidRPr="00540418" w:rsidRDefault="009F2E87" w:rsidP="009F2E87">
      <w:pPr>
        <w:pStyle w:val="Texto"/>
        <w:spacing w:after="0" w:line="240" w:lineRule="exact"/>
        <w:rPr>
          <w:rFonts w:ascii="Soberana Sans Light" w:hAnsi="Soberana Sans Light"/>
          <w:sz w:val="22"/>
          <w:szCs w:val="22"/>
        </w:rPr>
      </w:pPr>
    </w:p>
    <w:p w:rsidR="009F2E87" w:rsidRDefault="009F2E87" w:rsidP="009F2E87">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Objeto social</w:t>
      </w:r>
    </w:p>
    <w:p w:rsidR="009F2E87" w:rsidRDefault="009F2E87" w:rsidP="009F2E87">
      <w:pPr>
        <w:pStyle w:val="INCISO"/>
        <w:spacing w:after="0" w:line="240" w:lineRule="exact"/>
        <w:ind w:left="720" w:firstLine="0"/>
        <w:rPr>
          <w:rFonts w:ascii="Soberana Sans Light" w:hAnsi="Soberana Sans Light"/>
          <w:sz w:val="22"/>
          <w:szCs w:val="22"/>
        </w:rPr>
      </w:pPr>
    </w:p>
    <w:p w:rsidR="009F2E87" w:rsidRDefault="009F2E87" w:rsidP="009F2E87">
      <w:pPr>
        <w:pStyle w:val="INCISO"/>
        <w:spacing w:after="0" w:line="240" w:lineRule="exact"/>
        <w:ind w:left="720" w:firstLine="0"/>
        <w:rPr>
          <w:rFonts w:ascii="Soberana Sans Light" w:hAnsi="Soberana Sans Light"/>
          <w:sz w:val="22"/>
          <w:szCs w:val="22"/>
        </w:rPr>
      </w:pPr>
      <w:r>
        <w:rPr>
          <w:rFonts w:ascii="Soberana Sans Light" w:hAnsi="Soberana Sans Light"/>
          <w:sz w:val="22"/>
          <w:szCs w:val="22"/>
        </w:rPr>
        <w:t>El Objetivo social de la Universidad de acuerdo con el artículo 2 del Decreto del 8 de diciembre de 2009, es el de impartir educación superior a nivel Licenciatura denominada Nivel 5ª, Licenciatura (Ingenierías), así como a Nivel 5B (TSU) como medio para propiciar la solución creativa de las necesidades de la comunidad tlaxcalteca, con un sentido de innovación e incorporación de los avances científicos y tecnológicos que el modelo educativo al que pertenece le señale.</w:t>
      </w:r>
    </w:p>
    <w:p w:rsidR="009F2E87" w:rsidRPr="00540418" w:rsidRDefault="009F2E87" w:rsidP="009F2E87">
      <w:pPr>
        <w:pStyle w:val="INCISO"/>
        <w:spacing w:after="0" w:line="240" w:lineRule="exact"/>
        <w:ind w:left="720" w:firstLine="0"/>
        <w:rPr>
          <w:rFonts w:ascii="Soberana Sans Light" w:hAnsi="Soberana Sans Light"/>
          <w:sz w:val="22"/>
          <w:szCs w:val="22"/>
        </w:rPr>
      </w:pPr>
    </w:p>
    <w:p w:rsidR="009F2E87" w:rsidRDefault="009F2E87" w:rsidP="009F2E87">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Principal actividad</w:t>
      </w:r>
    </w:p>
    <w:p w:rsidR="009F2E87" w:rsidRDefault="009F2E87" w:rsidP="009F2E87">
      <w:pPr>
        <w:pStyle w:val="INCISO"/>
        <w:spacing w:after="0" w:line="240" w:lineRule="exact"/>
        <w:ind w:left="720" w:firstLine="0"/>
        <w:rPr>
          <w:rFonts w:ascii="Soberana Sans Light" w:hAnsi="Soberana Sans Light"/>
          <w:sz w:val="22"/>
          <w:szCs w:val="22"/>
        </w:rPr>
      </w:pPr>
    </w:p>
    <w:p w:rsidR="009F2E87" w:rsidRDefault="009F2E87" w:rsidP="009F2E87">
      <w:pPr>
        <w:pStyle w:val="INCISO"/>
        <w:spacing w:after="0" w:line="240" w:lineRule="exact"/>
        <w:ind w:left="720" w:firstLine="0"/>
        <w:rPr>
          <w:rFonts w:ascii="Soberana Sans Light" w:hAnsi="Soberana Sans Light"/>
          <w:sz w:val="22"/>
          <w:szCs w:val="22"/>
        </w:rPr>
      </w:pPr>
      <w:r>
        <w:rPr>
          <w:rFonts w:ascii="Soberana Sans Light" w:hAnsi="Soberana Sans Light"/>
          <w:sz w:val="22"/>
          <w:szCs w:val="22"/>
        </w:rPr>
        <w:t>La Universidad Tecnológica tiene como actividad principal el formar técnicos superiores e ingenieros, con sólida formación universitaria, científica, tecnológica y cultural, que coadyuven en el proceso de modernización de la planta productiva del Estado, la región y el País.</w:t>
      </w:r>
    </w:p>
    <w:p w:rsidR="009F2E87" w:rsidRPr="00540418" w:rsidRDefault="009F2E87" w:rsidP="009F2E87">
      <w:pPr>
        <w:pStyle w:val="INCISO"/>
        <w:spacing w:after="0" w:line="240" w:lineRule="exact"/>
        <w:ind w:left="0" w:firstLine="0"/>
        <w:rPr>
          <w:rFonts w:ascii="Soberana Sans Light" w:hAnsi="Soberana Sans Light"/>
          <w:sz w:val="22"/>
          <w:szCs w:val="22"/>
        </w:rPr>
      </w:pPr>
    </w:p>
    <w:p w:rsidR="009F2E87" w:rsidRDefault="009F2E87" w:rsidP="009F2E87">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Ejercicio fiscal</w:t>
      </w:r>
    </w:p>
    <w:p w:rsidR="009F2E87" w:rsidRDefault="009F2E87" w:rsidP="009F2E87">
      <w:pPr>
        <w:pStyle w:val="INCISO"/>
        <w:spacing w:after="0" w:line="240" w:lineRule="exact"/>
        <w:ind w:left="720" w:firstLine="0"/>
        <w:rPr>
          <w:rFonts w:ascii="Soberana Sans Light" w:hAnsi="Soberana Sans Light"/>
          <w:sz w:val="22"/>
          <w:szCs w:val="22"/>
        </w:rPr>
      </w:pPr>
    </w:p>
    <w:p w:rsidR="009F2E87" w:rsidRDefault="009F2E87" w:rsidP="009F2E87">
      <w:pPr>
        <w:pStyle w:val="INCISO"/>
        <w:spacing w:after="0" w:line="240" w:lineRule="exact"/>
        <w:ind w:left="720" w:firstLine="0"/>
        <w:rPr>
          <w:rFonts w:ascii="Soberana Sans Light" w:hAnsi="Soberana Sans Light"/>
          <w:sz w:val="22"/>
          <w:szCs w:val="22"/>
        </w:rPr>
      </w:pPr>
      <w:r>
        <w:rPr>
          <w:rFonts w:ascii="Soberana Sans Light" w:hAnsi="Soberana Sans Light"/>
          <w:sz w:val="22"/>
          <w:szCs w:val="22"/>
        </w:rPr>
        <w:t>La Universidad Tecnológica de Tlaxcala presenta el presente documento por el perio</w:t>
      </w:r>
      <w:r w:rsidR="007113F3">
        <w:rPr>
          <w:rFonts w:ascii="Soberana Sans Light" w:hAnsi="Soberana Sans Light"/>
          <w:sz w:val="22"/>
          <w:szCs w:val="22"/>
        </w:rPr>
        <w:t>do del 1 de enero al 30 de septiembre</w:t>
      </w:r>
      <w:r>
        <w:rPr>
          <w:rFonts w:ascii="Soberana Sans Light" w:hAnsi="Soberana Sans Light"/>
          <w:sz w:val="22"/>
          <w:szCs w:val="22"/>
        </w:rPr>
        <w:t xml:space="preserve"> de 2015.</w:t>
      </w:r>
    </w:p>
    <w:p w:rsidR="009F2E87" w:rsidRPr="00540418" w:rsidRDefault="009F2E87" w:rsidP="009F2E87">
      <w:pPr>
        <w:pStyle w:val="INCISO"/>
        <w:spacing w:after="0" w:line="240" w:lineRule="exact"/>
        <w:ind w:left="720" w:firstLine="0"/>
        <w:rPr>
          <w:rFonts w:ascii="Soberana Sans Light" w:hAnsi="Soberana Sans Light"/>
          <w:sz w:val="22"/>
          <w:szCs w:val="22"/>
        </w:rPr>
      </w:pPr>
    </w:p>
    <w:p w:rsidR="009F2E87" w:rsidRDefault="009F2E87" w:rsidP="009F2E87">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Régimen jurídico</w:t>
      </w:r>
    </w:p>
    <w:p w:rsidR="009F2E87" w:rsidRDefault="009F2E87" w:rsidP="009F2E87">
      <w:pPr>
        <w:pStyle w:val="INCISO"/>
        <w:spacing w:after="0" w:line="240" w:lineRule="exact"/>
        <w:ind w:left="720" w:firstLine="0"/>
        <w:rPr>
          <w:rFonts w:ascii="Soberana Sans Light" w:hAnsi="Soberana Sans Light"/>
          <w:sz w:val="22"/>
          <w:szCs w:val="22"/>
        </w:rPr>
      </w:pPr>
    </w:p>
    <w:p w:rsidR="009F2E87" w:rsidRDefault="009F2E87" w:rsidP="009F2E87">
      <w:pPr>
        <w:pStyle w:val="INCISO"/>
        <w:spacing w:after="0" w:line="240" w:lineRule="exact"/>
        <w:ind w:left="720" w:firstLine="0"/>
        <w:rPr>
          <w:rFonts w:ascii="Soberana Sans Light" w:hAnsi="Soberana Sans Light"/>
          <w:sz w:val="22"/>
          <w:szCs w:val="22"/>
        </w:rPr>
      </w:pPr>
      <w:r>
        <w:rPr>
          <w:rFonts w:ascii="Soberana Sans Light" w:hAnsi="Soberana Sans Light"/>
          <w:sz w:val="22"/>
          <w:szCs w:val="22"/>
        </w:rPr>
        <w:t>La Universidad Tecnológica de Tlaxcala es un Organismo Público Descentralizado, dotado de personalidad jurídica y patrimonio propio, cuyo domicilio principal estará ubicado en el Municipio de Huamantla Tlaxcala.</w:t>
      </w:r>
    </w:p>
    <w:p w:rsidR="009F2E87" w:rsidRPr="00540418" w:rsidRDefault="009F2E87" w:rsidP="009F2E87">
      <w:pPr>
        <w:pStyle w:val="INCISO"/>
        <w:spacing w:after="0" w:line="240" w:lineRule="exact"/>
        <w:ind w:left="720" w:firstLine="0"/>
        <w:rPr>
          <w:rFonts w:ascii="Soberana Sans Light" w:hAnsi="Soberana Sans Light"/>
          <w:sz w:val="22"/>
          <w:szCs w:val="22"/>
        </w:rPr>
      </w:pPr>
    </w:p>
    <w:p w:rsidR="009F2E87" w:rsidRDefault="009F2E87" w:rsidP="009F2E87">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Consideraciones fiscales del en</w:t>
      </w:r>
      <w:r>
        <w:rPr>
          <w:rFonts w:ascii="Soberana Sans Light" w:hAnsi="Soberana Sans Light"/>
          <w:sz w:val="22"/>
          <w:szCs w:val="22"/>
        </w:rPr>
        <w:t>te.</w:t>
      </w:r>
    </w:p>
    <w:p w:rsidR="009F2E87" w:rsidRDefault="009F2E87" w:rsidP="009F2E87">
      <w:pPr>
        <w:pStyle w:val="INCISO"/>
        <w:spacing w:after="0" w:line="240" w:lineRule="exact"/>
        <w:ind w:left="720" w:firstLine="0"/>
        <w:rPr>
          <w:rFonts w:ascii="Soberana Sans Light" w:hAnsi="Soberana Sans Light"/>
          <w:sz w:val="22"/>
          <w:szCs w:val="22"/>
        </w:rPr>
      </w:pPr>
    </w:p>
    <w:p w:rsidR="00293D86" w:rsidRDefault="00293D86" w:rsidP="009F2E87">
      <w:pPr>
        <w:pStyle w:val="INCISO"/>
        <w:spacing w:after="0" w:line="240" w:lineRule="exact"/>
        <w:ind w:left="720" w:firstLine="0"/>
        <w:rPr>
          <w:rFonts w:ascii="Soberana Sans Light" w:hAnsi="Soberana Sans Light"/>
          <w:sz w:val="22"/>
          <w:szCs w:val="22"/>
        </w:rPr>
      </w:pPr>
    </w:p>
    <w:p w:rsidR="00293D86" w:rsidRDefault="00293D86" w:rsidP="009F2E87">
      <w:pPr>
        <w:pStyle w:val="INCISO"/>
        <w:spacing w:after="0" w:line="240" w:lineRule="exact"/>
        <w:ind w:left="720" w:firstLine="0"/>
        <w:rPr>
          <w:rFonts w:ascii="Soberana Sans Light" w:hAnsi="Soberana Sans Light"/>
          <w:sz w:val="22"/>
          <w:szCs w:val="22"/>
        </w:rPr>
      </w:pPr>
    </w:p>
    <w:p w:rsidR="00293D86" w:rsidRDefault="00293D86" w:rsidP="009F2E87">
      <w:pPr>
        <w:pStyle w:val="INCISO"/>
        <w:spacing w:after="0" w:line="240" w:lineRule="exact"/>
        <w:ind w:left="720" w:firstLine="0"/>
        <w:rPr>
          <w:rFonts w:ascii="Soberana Sans Light" w:hAnsi="Soberana Sans Light"/>
          <w:sz w:val="22"/>
          <w:szCs w:val="22"/>
        </w:rPr>
      </w:pPr>
    </w:p>
    <w:p w:rsidR="009F2E87" w:rsidRDefault="009F2E87" w:rsidP="009F2E87">
      <w:pPr>
        <w:pStyle w:val="INCISO"/>
        <w:spacing w:after="0" w:line="240" w:lineRule="exact"/>
        <w:ind w:left="720" w:firstLine="0"/>
        <w:rPr>
          <w:rFonts w:ascii="Soberana Sans Light" w:hAnsi="Soberana Sans Light"/>
          <w:sz w:val="22"/>
          <w:szCs w:val="22"/>
        </w:rPr>
      </w:pPr>
      <w:r>
        <w:rPr>
          <w:rFonts w:ascii="Soberana Sans Light" w:hAnsi="Soberana Sans Light"/>
          <w:sz w:val="22"/>
          <w:szCs w:val="22"/>
        </w:rPr>
        <w:t>La Universidad Tecnológica de Tlaxcala es una persona moral no contribuyente por tratarse de una institución pública de educación superior, y sólo está obligada a pagar el entero de retenciones por impuesto sobre la renta realizadas al personal. Actualmente la Universidad ha cumplido con todas sus obligaciones en esta materia de acuerdo al Régimen en el cual se encuentra inscrita.</w:t>
      </w:r>
    </w:p>
    <w:p w:rsidR="009F2E87" w:rsidRDefault="009F2E87" w:rsidP="009F2E87">
      <w:pPr>
        <w:pStyle w:val="INCISO"/>
        <w:spacing w:after="0" w:line="240" w:lineRule="exact"/>
        <w:ind w:left="720" w:firstLine="0"/>
        <w:rPr>
          <w:rFonts w:ascii="Soberana Sans Light" w:hAnsi="Soberana Sans Light"/>
          <w:sz w:val="22"/>
          <w:szCs w:val="22"/>
        </w:rPr>
      </w:pPr>
    </w:p>
    <w:p w:rsidR="00293D86" w:rsidRPr="00540418" w:rsidRDefault="00293D86" w:rsidP="009F2E87">
      <w:pPr>
        <w:pStyle w:val="INCISO"/>
        <w:spacing w:after="0" w:line="240" w:lineRule="exact"/>
        <w:ind w:left="720" w:firstLine="0"/>
        <w:rPr>
          <w:rFonts w:ascii="Soberana Sans Light" w:hAnsi="Soberana Sans Light"/>
          <w:sz w:val="22"/>
          <w:szCs w:val="22"/>
        </w:rPr>
      </w:pPr>
    </w:p>
    <w:p w:rsidR="009F2E87" w:rsidRDefault="009F2E87" w:rsidP="009F2E87">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Estructura organizacional básica</w:t>
      </w:r>
    </w:p>
    <w:p w:rsidR="009F2E87" w:rsidRDefault="009F2E87" w:rsidP="009F2E87">
      <w:pPr>
        <w:pStyle w:val="INCISO"/>
        <w:spacing w:after="0" w:line="240" w:lineRule="exact"/>
        <w:ind w:left="720" w:firstLine="0"/>
        <w:rPr>
          <w:rFonts w:ascii="Soberana Sans Light" w:hAnsi="Soberana Sans Light"/>
          <w:sz w:val="22"/>
          <w:szCs w:val="22"/>
        </w:rPr>
      </w:pPr>
    </w:p>
    <w:p w:rsidR="009F2E87" w:rsidRDefault="009F2E87" w:rsidP="009F2E87">
      <w:pPr>
        <w:pStyle w:val="INCISO"/>
        <w:spacing w:after="0" w:line="240" w:lineRule="exact"/>
        <w:ind w:left="720" w:firstLine="0"/>
        <w:rPr>
          <w:rFonts w:ascii="Soberana Sans Light" w:hAnsi="Soberana Sans Light"/>
          <w:sz w:val="22"/>
          <w:szCs w:val="22"/>
        </w:rPr>
      </w:pPr>
      <w:r>
        <w:rPr>
          <w:rFonts w:ascii="Soberana Sans Light" w:hAnsi="Soberana Sans Light"/>
          <w:sz w:val="22"/>
          <w:szCs w:val="22"/>
        </w:rPr>
        <w:t>De acuerdo al  nuevo Reglamento General de la Universidad, la Universidad contará con los Órganos de Gobierno, de Consulta, Apoyo Académico y Administrativo siguientes:</w:t>
      </w:r>
    </w:p>
    <w:p w:rsidR="009F2E87" w:rsidRDefault="009F2E87" w:rsidP="009F2E87">
      <w:pPr>
        <w:pStyle w:val="INCISO"/>
        <w:spacing w:after="0" w:line="240" w:lineRule="exact"/>
        <w:ind w:left="720" w:firstLine="0"/>
        <w:rPr>
          <w:rFonts w:ascii="Soberana Sans Light" w:hAnsi="Soberana Sans Light"/>
          <w:sz w:val="22"/>
          <w:szCs w:val="22"/>
        </w:rPr>
      </w:pPr>
    </w:p>
    <w:p w:rsidR="009F2E87" w:rsidRDefault="009F2E87" w:rsidP="009F2E87">
      <w:pPr>
        <w:pStyle w:val="INCISO"/>
        <w:numPr>
          <w:ilvl w:val="0"/>
          <w:numId w:val="16"/>
        </w:numPr>
        <w:spacing w:after="0" w:line="240" w:lineRule="exact"/>
        <w:rPr>
          <w:rFonts w:ascii="Soberana Sans Light" w:hAnsi="Soberana Sans Light"/>
          <w:sz w:val="22"/>
          <w:szCs w:val="22"/>
        </w:rPr>
      </w:pPr>
      <w:r>
        <w:rPr>
          <w:rFonts w:ascii="Soberana Sans Light" w:hAnsi="Soberana Sans Light"/>
          <w:sz w:val="22"/>
          <w:szCs w:val="22"/>
        </w:rPr>
        <w:t>- Consejo Directivo.</w:t>
      </w:r>
    </w:p>
    <w:p w:rsidR="009F2E87" w:rsidRDefault="009F2E87" w:rsidP="009F2E87">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 Rector.</w:t>
      </w:r>
    </w:p>
    <w:p w:rsidR="009F2E87" w:rsidRDefault="009F2E87" w:rsidP="009F2E87">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 Director Académico.</w:t>
      </w:r>
    </w:p>
    <w:p w:rsidR="009F2E87" w:rsidRDefault="009F2E87" w:rsidP="009F2E87">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 Directores de Carrera.</w:t>
      </w:r>
    </w:p>
    <w:p w:rsidR="009F2E87" w:rsidRDefault="009F2E87" w:rsidP="009F2E87">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 Director de Administración y Finanzas.</w:t>
      </w:r>
    </w:p>
    <w:p w:rsidR="009F2E87" w:rsidRDefault="009F2E87" w:rsidP="009F2E87">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 Director de Vinculación.</w:t>
      </w:r>
    </w:p>
    <w:p w:rsidR="009F2E87" w:rsidRDefault="009F2E87" w:rsidP="009F2E87">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 Abogado General.</w:t>
      </w:r>
    </w:p>
    <w:p w:rsidR="009F2E87" w:rsidRDefault="009F2E87" w:rsidP="009F2E87">
      <w:pPr>
        <w:pStyle w:val="INCISO"/>
        <w:spacing w:after="0" w:line="240" w:lineRule="exact"/>
        <w:rPr>
          <w:rFonts w:ascii="Soberana Sans Light" w:hAnsi="Soberana Sans Light"/>
          <w:sz w:val="22"/>
          <w:szCs w:val="22"/>
        </w:rPr>
      </w:pPr>
    </w:p>
    <w:p w:rsidR="00293D86" w:rsidRDefault="00293D86" w:rsidP="009F2E87">
      <w:pPr>
        <w:pStyle w:val="INCISO"/>
        <w:spacing w:after="0" w:line="240" w:lineRule="exact"/>
        <w:rPr>
          <w:rFonts w:ascii="Soberana Sans Light" w:hAnsi="Soberana Sans Light"/>
          <w:sz w:val="22"/>
          <w:szCs w:val="22"/>
        </w:rPr>
      </w:pPr>
    </w:p>
    <w:p w:rsidR="009F2E87" w:rsidRDefault="009F2E87" w:rsidP="009F2E87">
      <w:pPr>
        <w:pStyle w:val="INCISO"/>
        <w:spacing w:after="0" w:line="240" w:lineRule="exact"/>
        <w:rPr>
          <w:rFonts w:ascii="Soberana Sans Light" w:hAnsi="Soberana Sans Light"/>
          <w:sz w:val="22"/>
          <w:szCs w:val="22"/>
        </w:rPr>
      </w:pPr>
      <w:r>
        <w:rPr>
          <w:rFonts w:ascii="Soberana Sans Light" w:hAnsi="Soberana Sans Light"/>
          <w:sz w:val="22"/>
          <w:szCs w:val="22"/>
        </w:rPr>
        <w:t>Además de lo anterior, cuenta con nueve Jefes de Departamento, un Patronato, un Consejo Académico y la Comisión de Pertinencia.</w:t>
      </w:r>
    </w:p>
    <w:p w:rsidR="009F2E87" w:rsidRDefault="009F2E87" w:rsidP="009F2E87">
      <w:pPr>
        <w:pStyle w:val="INCISO"/>
        <w:spacing w:after="0" w:line="240" w:lineRule="exact"/>
        <w:ind w:left="709" w:firstLine="0"/>
        <w:rPr>
          <w:rFonts w:ascii="Soberana Sans Light" w:hAnsi="Soberana Sans Light"/>
          <w:sz w:val="22"/>
          <w:szCs w:val="22"/>
        </w:rPr>
      </w:pPr>
      <w:r>
        <w:rPr>
          <w:rFonts w:ascii="Soberana Sans Light" w:hAnsi="Soberana Sans Light"/>
          <w:sz w:val="22"/>
          <w:szCs w:val="22"/>
        </w:rPr>
        <w:t>El Consejo Directivo es el Órgano Superior de Gobierno de la Universidad Tecnológica de Tlaxcala que contará con las facultades contenidas en el Decreto de Creación y en el Reglamento General.</w:t>
      </w:r>
    </w:p>
    <w:p w:rsidR="009F2E87" w:rsidRPr="008D2A78" w:rsidRDefault="009F2E87" w:rsidP="009F2E87">
      <w:pPr>
        <w:pStyle w:val="INCISO"/>
        <w:spacing w:after="0" w:line="240" w:lineRule="exact"/>
        <w:ind w:left="709" w:firstLine="0"/>
        <w:rPr>
          <w:rFonts w:ascii="Soberana Sans Light" w:hAnsi="Soberana Sans Light"/>
          <w:sz w:val="22"/>
          <w:szCs w:val="22"/>
        </w:rPr>
      </w:pPr>
    </w:p>
    <w:p w:rsidR="009F2E87" w:rsidRDefault="009F2E87" w:rsidP="00293D86">
      <w:pPr>
        <w:pStyle w:val="Texto"/>
        <w:numPr>
          <w:ilvl w:val="0"/>
          <w:numId w:val="21"/>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Bases de Preparación de los Estados Financieros</w:t>
      </w:r>
    </w:p>
    <w:p w:rsidR="009F2E87" w:rsidRDefault="009F2E87" w:rsidP="009F2E87">
      <w:pPr>
        <w:pStyle w:val="Texto"/>
        <w:spacing w:after="0" w:line="240" w:lineRule="exact"/>
        <w:rPr>
          <w:rFonts w:ascii="Soberana Sans Light" w:hAnsi="Soberana Sans Light"/>
          <w:b/>
          <w:sz w:val="22"/>
          <w:szCs w:val="22"/>
          <w:lang w:val="es-MX"/>
        </w:rPr>
      </w:pPr>
    </w:p>
    <w:p w:rsidR="009F2E87" w:rsidRPr="009F3541" w:rsidRDefault="009F2E87" w:rsidP="009F2E87">
      <w:pPr>
        <w:pStyle w:val="Texto"/>
        <w:spacing w:after="0" w:line="240" w:lineRule="exact"/>
        <w:rPr>
          <w:rFonts w:ascii="Soberana Sans Light" w:hAnsi="Soberana Sans Light"/>
          <w:sz w:val="22"/>
          <w:szCs w:val="22"/>
          <w:lang w:val="es-MX"/>
        </w:rPr>
      </w:pPr>
      <w:r w:rsidRPr="009F3541">
        <w:rPr>
          <w:rFonts w:ascii="Soberana Sans Light" w:hAnsi="Soberana Sans Light"/>
          <w:sz w:val="22"/>
          <w:szCs w:val="22"/>
          <w:lang w:val="es-MX"/>
        </w:rPr>
        <w:t>Las Bases de Preparación de los Estados Financieros han sido las siguientes:</w:t>
      </w:r>
    </w:p>
    <w:p w:rsidR="009F2E87" w:rsidRPr="009F3541" w:rsidRDefault="009F2E87" w:rsidP="009F2E87">
      <w:pPr>
        <w:pStyle w:val="Texto"/>
        <w:numPr>
          <w:ilvl w:val="0"/>
          <w:numId w:val="17"/>
        </w:numPr>
        <w:spacing w:after="0" w:line="240" w:lineRule="exact"/>
        <w:rPr>
          <w:rFonts w:ascii="Soberana Sans Light" w:hAnsi="Soberana Sans Light"/>
          <w:sz w:val="22"/>
          <w:szCs w:val="22"/>
          <w:lang w:val="es-MX"/>
        </w:rPr>
      </w:pPr>
      <w:r w:rsidRPr="009F3541">
        <w:rPr>
          <w:rFonts w:ascii="Soberana Sans Light" w:hAnsi="Soberana Sans Light"/>
          <w:sz w:val="22"/>
          <w:szCs w:val="22"/>
          <w:lang w:val="es-MX"/>
        </w:rPr>
        <w:t>La Universidad Tecnológica de Tlaxcala ha realizado acciones encaminadas a la aplicación de la normatividad emitida por el CONAC y las disposiciones legales aplicables a través de capacitación al personal administrativo y contable, cambio en el sistema de registro contable presupuestal, elaboración de un nuevo catálogo y plan de cuentas, actualización del inventario de bienes muebles e inmuebles, entre otras.</w:t>
      </w:r>
    </w:p>
    <w:p w:rsidR="009F2E87" w:rsidRDefault="009F2E87" w:rsidP="00293D86">
      <w:pPr>
        <w:pStyle w:val="Texto"/>
        <w:spacing w:after="0" w:line="240" w:lineRule="exact"/>
        <w:ind w:left="288" w:firstLine="0"/>
        <w:rPr>
          <w:rFonts w:ascii="Soberana Sans Light" w:hAnsi="Soberana Sans Light"/>
          <w:sz w:val="22"/>
          <w:szCs w:val="22"/>
          <w:lang w:val="es-MX"/>
        </w:rPr>
      </w:pPr>
      <w:r w:rsidRPr="009F3541">
        <w:rPr>
          <w:rFonts w:ascii="Soberana Sans Light" w:hAnsi="Soberana Sans Light"/>
          <w:sz w:val="22"/>
          <w:szCs w:val="22"/>
          <w:lang w:val="es-MX"/>
        </w:rPr>
        <w:t>La normatividad aplicada para el reconocimiento, valuación y revelación de los diferentes rubros han sido las autorizadas por el CONAC. En el caso de los Bienes Muebles e Inmuebles han sido presentados a su costo histórico, mientras que los Derechos a Recibir Efectivo han sido revelados a su valor de recuperación.</w:t>
      </w:r>
    </w:p>
    <w:p w:rsidR="00293D86" w:rsidRDefault="00293D86" w:rsidP="00293D86">
      <w:pPr>
        <w:pStyle w:val="Texto"/>
        <w:spacing w:after="0" w:line="240" w:lineRule="exact"/>
        <w:ind w:left="288" w:firstLine="0"/>
        <w:rPr>
          <w:rFonts w:ascii="Soberana Sans Light" w:hAnsi="Soberana Sans Light"/>
          <w:sz w:val="22"/>
          <w:szCs w:val="22"/>
          <w:lang w:val="es-MX"/>
        </w:rPr>
      </w:pPr>
    </w:p>
    <w:p w:rsidR="00293D86" w:rsidRDefault="00293D86" w:rsidP="00293D86">
      <w:pPr>
        <w:pStyle w:val="Texto"/>
        <w:spacing w:after="0" w:line="240" w:lineRule="exact"/>
        <w:ind w:left="288" w:firstLine="0"/>
        <w:rPr>
          <w:rFonts w:ascii="Soberana Sans Light" w:hAnsi="Soberana Sans Light"/>
          <w:sz w:val="22"/>
          <w:szCs w:val="22"/>
          <w:lang w:val="es-MX"/>
        </w:rPr>
      </w:pPr>
    </w:p>
    <w:p w:rsidR="00293D86" w:rsidRDefault="00293D86" w:rsidP="00293D86">
      <w:pPr>
        <w:pStyle w:val="Texto"/>
        <w:spacing w:after="0" w:line="240" w:lineRule="exact"/>
        <w:ind w:left="288" w:firstLine="0"/>
        <w:rPr>
          <w:rFonts w:ascii="Soberana Sans Light" w:hAnsi="Soberana Sans Light"/>
          <w:sz w:val="22"/>
          <w:szCs w:val="22"/>
          <w:lang w:val="es-MX"/>
        </w:rPr>
      </w:pPr>
    </w:p>
    <w:p w:rsidR="00293D86" w:rsidRDefault="00293D86" w:rsidP="00293D86">
      <w:pPr>
        <w:pStyle w:val="Texto"/>
        <w:spacing w:after="0" w:line="240" w:lineRule="exact"/>
        <w:ind w:left="288" w:firstLine="0"/>
        <w:rPr>
          <w:rFonts w:ascii="Soberana Sans Light" w:hAnsi="Soberana Sans Light"/>
          <w:sz w:val="22"/>
          <w:szCs w:val="22"/>
          <w:lang w:val="es-MX"/>
        </w:rPr>
      </w:pPr>
    </w:p>
    <w:p w:rsidR="00293D86" w:rsidRDefault="00293D86" w:rsidP="00293D86">
      <w:pPr>
        <w:pStyle w:val="Texto"/>
        <w:spacing w:after="0" w:line="240" w:lineRule="exact"/>
        <w:ind w:left="288" w:firstLine="0"/>
        <w:rPr>
          <w:rFonts w:ascii="Soberana Sans Light" w:hAnsi="Soberana Sans Light"/>
          <w:sz w:val="22"/>
          <w:szCs w:val="22"/>
          <w:lang w:val="es-MX"/>
        </w:rPr>
      </w:pPr>
    </w:p>
    <w:p w:rsidR="00293D86" w:rsidRDefault="00293D86" w:rsidP="00293D86">
      <w:pPr>
        <w:pStyle w:val="Texto"/>
        <w:spacing w:after="0" w:line="240" w:lineRule="exact"/>
        <w:ind w:left="288" w:firstLine="0"/>
        <w:rPr>
          <w:rFonts w:ascii="Soberana Sans Light" w:hAnsi="Soberana Sans Light"/>
          <w:sz w:val="22"/>
          <w:szCs w:val="22"/>
          <w:lang w:val="es-MX"/>
        </w:rPr>
      </w:pPr>
    </w:p>
    <w:p w:rsidR="00293D86" w:rsidRPr="009F3541" w:rsidRDefault="00293D86" w:rsidP="00293D86">
      <w:pPr>
        <w:pStyle w:val="Texto"/>
        <w:spacing w:after="0" w:line="240" w:lineRule="exact"/>
        <w:ind w:left="288" w:firstLine="0"/>
        <w:rPr>
          <w:rFonts w:ascii="Soberana Sans Light" w:hAnsi="Soberana Sans Light"/>
          <w:sz w:val="22"/>
          <w:szCs w:val="22"/>
          <w:lang w:val="es-MX"/>
        </w:rPr>
      </w:pPr>
    </w:p>
    <w:p w:rsidR="009F2E87" w:rsidRPr="009F3541" w:rsidRDefault="009F2E87" w:rsidP="009F2E87">
      <w:pPr>
        <w:pStyle w:val="Texto"/>
        <w:numPr>
          <w:ilvl w:val="0"/>
          <w:numId w:val="17"/>
        </w:numPr>
        <w:spacing w:after="0" w:line="240" w:lineRule="exact"/>
        <w:rPr>
          <w:rFonts w:ascii="Soberana Sans Light" w:hAnsi="Soberana Sans Light"/>
          <w:sz w:val="22"/>
          <w:szCs w:val="22"/>
          <w:lang w:val="es-MX"/>
        </w:rPr>
      </w:pPr>
      <w:r w:rsidRPr="009F3541">
        <w:rPr>
          <w:rFonts w:ascii="Soberana Sans Light" w:hAnsi="Soberana Sans Light"/>
          <w:sz w:val="22"/>
          <w:szCs w:val="22"/>
          <w:lang w:val="es-MX"/>
        </w:rPr>
        <w:t>La Universidad Tecnológica de Tlaxcala además de cumplir con lo establecido en la Ley General de Contabilidad Gubernamental, ha realizado lo necesario para cumplir con la normatividad supletoria de las Reglas de Operación de los Programas y lo establecido en los Convenios correspondientes.</w:t>
      </w:r>
    </w:p>
    <w:p w:rsidR="009F2E87" w:rsidRDefault="009F2E87" w:rsidP="009F2E87">
      <w:pPr>
        <w:pStyle w:val="Texto"/>
        <w:spacing w:after="0" w:line="240" w:lineRule="exact"/>
        <w:ind w:left="1440" w:hanging="360"/>
        <w:rPr>
          <w:rFonts w:ascii="Soberana Sans Light" w:hAnsi="Soberana Sans Light"/>
          <w:sz w:val="22"/>
          <w:szCs w:val="22"/>
        </w:rPr>
      </w:pPr>
    </w:p>
    <w:p w:rsidR="00293D86" w:rsidRDefault="00293D86" w:rsidP="009F2E87">
      <w:pPr>
        <w:pStyle w:val="Texto"/>
        <w:spacing w:after="0" w:line="240" w:lineRule="exact"/>
        <w:ind w:left="1440" w:hanging="360"/>
        <w:rPr>
          <w:rFonts w:ascii="Soberana Sans Light" w:hAnsi="Soberana Sans Light"/>
          <w:sz w:val="22"/>
          <w:szCs w:val="22"/>
        </w:rPr>
      </w:pPr>
    </w:p>
    <w:p w:rsidR="00293D86" w:rsidRPr="00540418" w:rsidRDefault="00293D86" w:rsidP="009F2E87">
      <w:pPr>
        <w:pStyle w:val="Texto"/>
        <w:spacing w:after="0" w:line="240" w:lineRule="exact"/>
        <w:ind w:left="1440" w:hanging="360"/>
        <w:rPr>
          <w:rFonts w:ascii="Soberana Sans Light" w:hAnsi="Soberana Sans Light"/>
          <w:sz w:val="22"/>
          <w:szCs w:val="22"/>
        </w:rPr>
      </w:pPr>
    </w:p>
    <w:p w:rsidR="009F2E87" w:rsidRPr="00540418" w:rsidRDefault="009F2E87" w:rsidP="009F2E87">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6.</w:t>
      </w:r>
      <w:r w:rsidRPr="00540418">
        <w:rPr>
          <w:rFonts w:ascii="Soberana Sans Light" w:hAnsi="Soberana Sans Light"/>
          <w:b/>
          <w:sz w:val="22"/>
          <w:szCs w:val="22"/>
          <w:lang w:val="es-MX"/>
        </w:rPr>
        <w:tab/>
        <w:t>Políticas de Contabilidad Significativas</w:t>
      </w:r>
    </w:p>
    <w:p w:rsidR="009F2E87" w:rsidRPr="00540418" w:rsidRDefault="009F2E87" w:rsidP="009F2E87">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9F2E87" w:rsidRPr="00540418" w:rsidRDefault="009F2E87" w:rsidP="009F2E87">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r>
      <w:r>
        <w:rPr>
          <w:rFonts w:ascii="Soberana Sans Light" w:hAnsi="Soberana Sans Light"/>
          <w:sz w:val="22"/>
          <w:szCs w:val="22"/>
        </w:rPr>
        <w:t>Las Reservas de la Universidad Tecnológica de Tlaxcala son dos: el Fondo de Contingencias utilizado para el fortalecimiento institucional y en su caso el pago de laudos laborales previa autorización del Consejo Directivo y el Fondo de Reserva de Seguridad Social que fue creado para constituir un recurso destinado a que los trabajadores cuenten con un esquema de seguridad social que cubra integralmente esta prestación.</w:t>
      </w:r>
    </w:p>
    <w:p w:rsidR="009F2E87" w:rsidRPr="00540418" w:rsidRDefault="009F2E87" w:rsidP="009F2E87">
      <w:pPr>
        <w:pStyle w:val="INCISO"/>
        <w:spacing w:after="0" w:line="240" w:lineRule="exact"/>
        <w:rPr>
          <w:rFonts w:ascii="Soberana Sans Light" w:hAnsi="Soberana Sans Light"/>
          <w:sz w:val="22"/>
          <w:szCs w:val="22"/>
        </w:rPr>
      </w:pPr>
      <w:r>
        <w:rPr>
          <w:rFonts w:ascii="Soberana Sans Light" w:hAnsi="Soberana Sans Light"/>
          <w:sz w:val="22"/>
          <w:szCs w:val="22"/>
        </w:rPr>
        <w:t>b</w:t>
      </w:r>
      <w:r w:rsidRPr="00540418">
        <w:rPr>
          <w:rFonts w:ascii="Soberana Sans Light" w:hAnsi="Soberana Sans Light"/>
          <w:sz w:val="22"/>
          <w:szCs w:val="22"/>
        </w:rPr>
        <w:t>)</w:t>
      </w:r>
      <w:r w:rsidRPr="00540418">
        <w:rPr>
          <w:rFonts w:ascii="Soberana Sans Light" w:hAnsi="Soberana Sans Light"/>
          <w:sz w:val="22"/>
          <w:szCs w:val="22"/>
        </w:rPr>
        <w:tab/>
      </w:r>
      <w:r>
        <w:rPr>
          <w:rFonts w:ascii="Soberana Sans Light" w:hAnsi="Soberana Sans Light"/>
          <w:sz w:val="22"/>
          <w:szCs w:val="22"/>
        </w:rPr>
        <w:t>La elaboración de un nuevo inventario de bienes muebles e inmuebles llevará a cabo la actualización de los valores de éstos, ajustando su valor histórico a su valor de realización, de ahí que se reevaluará este renglón a fin de mostrar importes que muestren de forma razonable la situación financiera de la Universidad.</w:t>
      </w:r>
    </w:p>
    <w:p w:rsidR="00293D86" w:rsidRPr="00540418" w:rsidRDefault="00293D86" w:rsidP="009F2E87">
      <w:pPr>
        <w:pStyle w:val="INCISO"/>
        <w:spacing w:after="0" w:line="240" w:lineRule="exact"/>
        <w:rPr>
          <w:rFonts w:ascii="Soberana Sans Light" w:hAnsi="Soberana Sans Light"/>
          <w:sz w:val="22"/>
          <w:szCs w:val="22"/>
        </w:rPr>
      </w:pPr>
    </w:p>
    <w:p w:rsidR="009F2E87" w:rsidRPr="00540418" w:rsidRDefault="009F2E87" w:rsidP="009F2E87">
      <w:pPr>
        <w:pStyle w:val="INCISO"/>
        <w:spacing w:after="0" w:line="240" w:lineRule="exact"/>
        <w:ind w:left="0" w:firstLine="0"/>
        <w:rPr>
          <w:rFonts w:ascii="Soberana Sans Light" w:hAnsi="Soberana Sans Light"/>
          <w:sz w:val="22"/>
          <w:szCs w:val="22"/>
        </w:rPr>
      </w:pPr>
    </w:p>
    <w:p w:rsidR="009F2E87" w:rsidRPr="00540418" w:rsidRDefault="009F2E87" w:rsidP="009F2E87">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7.</w:t>
      </w:r>
      <w:r w:rsidRPr="00540418">
        <w:rPr>
          <w:rFonts w:ascii="Soberana Sans Light" w:hAnsi="Soberana Sans Light"/>
          <w:b/>
          <w:sz w:val="22"/>
          <w:szCs w:val="22"/>
          <w:lang w:val="es-MX"/>
        </w:rPr>
        <w:tab/>
        <w:t>Posición en Moneda Extranjera y Protección por Riesgo Cambiario</w:t>
      </w:r>
    </w:p>
    <w:p w:rsidR="009F2E87" w:rsidRDefault="009F2E87" w:rsidP="009F2E87">
      <w:pPr>
        <w:pStyle w:val="Texto"/>
        <w:spacing w:after="0" w:line="240" w:lineRule="exact"/>
        <w:rPr>
          <w:rFonts w:ascii="Soberana Sans Light" w:hAnsi="Soberana Sans Light"/>
          <w:sz w:val="22"/>
          <w:szCs w:val="22"/>
        </w:rPr>
      </w:pPr>
    </w:p>
    <w:p w:rsidR="009F2E87" w:rsidRDefault="009F2E87" w:rsidP="009F2E87">
      <w:pPr>
        <w:pStyle w:val="Texto"/>
        <w:spacing w:after="0" w:line="240" w:lineRule="exact"/>
        <w:rPr>
          <w:rFonts w:ascii="Soberana Sans Light" w:hAnsi="Soberana Sans Light"/>
          <w:sz w:val="22"/>
          <w:szCs w:val="22"/>
        </w:rPr>
      </w:pPr>
      <w:r>
        <w:rPr>
          <w:rFonts w:ascii="Soberana Sans Light" w:hAnsi="Soberana Sans Light"/>
          <w:sz w:val="22"/>
          <w:szCs w:val="22"/>
        </w:rPr>
        <w:tab/>
        <w:t>No aplica.</w:t>
      </w:r>
    </w:p>
    <w:p w:rsidR="009F2E87" w:rsidRDefault="009F2E87" w:rsidP="009F2E87">
      <w:pPr>
        <w:pStyle w:val="Texto"/>
        <w:spacing w:after="0" w:line="240" w:lineRule="exact"/>
        <w:rPr>
          <w:rFonts w:ascii="Soberana Sans Light" w:hAnsi="Soberana Sans Light"/>
          <w:sz w:val="22"/>
          <w:szCs w:val="22"/>
        </w:rPr>
      </w:pPr>
    </w:p>
    <w:p w:rsidR="009F2E87" w:rsidRPr="00540418" w:rsidRDefault="009F2E87" w:rsidP="009F2E87">
      <w:pPr>
        <w:pStyle w:val="Texto"/>
        <w:spacing w:after="0" w:line="240" w:lineRule="exact"/>
        <w:rPr>
          <w:rFonts w:ascii="Soberana Sans Light" w:hAnsi="Soberana Sans Light"/>
          <w:sz w:val="22"/>
          <w:szCs w:val="22"/>
        </w:rPr>
      </w:pPr>
    </w:p>
    <w:p w:rsidR="009F2E87" w:rsidRPr="00540418" w:rsidRDefault="009F2E87" w:rsidP="009F2E87">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8. Reporte Analítico del Activo</w:t>
      </w:r>
    </w:p>
    <w:p w:rsidR="009F2E87" w:rsidRPr="00540418" w:rsidRDefault="009F2E87" w:rsidP="009F2E87">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Debe mostrar la siguiente información:</w:t>
      </w:r>
    </w:p>
    <w:p w:rsidR="009F2E87" w:rsidRPr="00540418" w:rsidRDefault="009F2E87" w:rsidP="009F2E87">
      <w:pPr>
        <w:pStyle w:val="INCISO"/>
        <w:spacing w:after="0" w:line="240" w:lineRule="auto"/>
        <w:ind w:left="1077" w:hanging="357"/>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r>
      <w:r>
        <w:rPr>
          <w:rFonts w:ascii="Soberana Sans Light" w:hAnsi="Soberana Sans Light"/>
          <w:sz w:val="22"/>
          <w:szCs w:val="22"/>
        </w:rPr>
        <w:t>A fin de cumplir con lo establecido en la normatividad, para presentar la información del activo será considerada la v</w:t>
      </w:r>
      <w:r w:rsidRPr="00540418">
        <w:rPr>
          <w:rFonts w:ascii="Soberana Sans Light" w:hAnsi="Soberana Sans Light"/>
          <w:sz w:val="22"/>
          <w:szCs w:val="22"/>
        </w:rPr>
        <w:t>ida útil o porcentajes de depreciación, deterioro o amortización utilizados en los diferentes tipos de activos.</w:t>
      </w:r>
    </w:p>
    <w:p w:rsidR="009F2E87" w:rsidRPr="00540418" w:rsidRDefault="009F2E87" w:rsidP="009F2E87">
      <w:pPr>
        <w:pStyle w:val="INCISO"/>
        <w:spacing w:after="0" w:line="240" w:lineRule="auto"/>
        <w:ind w:left="1077" w:hanging="357"/>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r>
      <w:r>
        <w:rPr>
          <w:rFonts w:ascii="Soberana Sans Light" w:hAnsi="Soberana Sans Light"/>
          <w:sz w:val="22"/>
          <w:szCs w:val="22"/>
        </w:rPr>
        <w:t>Los c</w:t>
      </w:r>
      <w:r w:rsidRPr="00540418">
        <w:rPr>
          <w:rFonts w:ascii="Soberana Sans Light" w:hAnsi="Soberana Sans Light"/>
          <w:sz w:val="22"/>
          <w:szCs w:val="22"/>
        </w:rPr>
        <w:t xml:space="preserve">ambios en el porcentaje de depreciación </w:t>
      </w:r>
      <w:r>
        <w:rPr>
          <w:rFonts w:ascii="Soberana Sans Light" w:hAnsi="Soberana Sans Light"/>
          <w:sz w:val="22"/>
          <w:szCs w:val="22"/>
        </w:rPr>
        <w:t>o valor residual de los activos se hará efectivo en el segundo semestre de 2015 a fin de cumplir con la normatividad correspondiente.</w:t>
      </w:r>
    </w:p>
    <w:p w:rsidR="009F2E87" w:rsidRPr="00540418" w:rsidRDefault="009F2E87" w:rsidP="009F2E87">
      <w:pPr>
        <w:pStyle w:val="INCISO"/>
        <w:spacing w:after="0" w:line="240" w:lineRule="exact"/>
        <w:rPr>
          <w:rFonts w:ascii="Soberana Sans Light" w:hAnsi="Soberana Sans Light"/>
          <w:sz w:val="22"/>
          <w:szCs w:val="22"/>
        </w:rPr>
      </w:pPr>
      <w:r>
        <w:rPr>
          <w:rFonts w:ascii="Soberana Sans Light" w:hAnsi="Soberana Sans Light"/>
          <w:sz w:val="22"/>
          <w:szCs w:val="22"/>
        </w:rPr>
        <w:t>c</w:t>
      </w:r>
      <w:r w:rsidRPr="00540418">
        <w:rPr>
          <w:rFonts w:ascii="Soberana Sans Light" w:hAnsi="Soberana Sans Light"/>
          <w:sz w:val="22"/>
          <w:szCs w:val="22"/>
        </w:rPr>
        <w:t>)</w:t>
      </w:r>
      <w:r w:rsidRPr="00540418">
        <w:rPr>
          <w:rFonts w:ascii="Soberana Sans Light" w:hAnsi="Soberana Sans Light"/>
          <w:sz w:val="22"/>
          <w:szCs w:val="22"/>
        </w:rPr>
        <w:tab/>
      </w:r>
      <w:r>
        <w:rPr>
          <w:rFonts w:ascii="Soberana Sans Light" w:hAnsi="Soberana Sans Light"/>
          <w:sz w:val="22"/>
          <w:szCs w:val="22"/>
        </w:rPr>
        <w:t>El edificio a construirse en el ejercicio 2015 con el recurso de Fondo de Aportaciones Múltiples será registrado en el rubro de Bienes Inmuebles - Edificios al momento de su entrega lo que representa el v</w:t>
      </w:r>
      <w:r w:rsidRPr="00540418">
        <w:rPr>
          <w:rFonts w:ascii="Soberana Sans Light" w:hAnsi="Soberana Sans Light"/>
          <w:sz w:val="22"/>
          <w:szCs w:val="22"/>
        </w:rPr>
        <w:t>alor activado en el ejercicio de los bienes construidos por la entidad.</w:t>
      </w:r>
      <w:r>
        <w:rPr>
          <w:rFonts w:ascii="Soberana Sans Light" w:hAnsi="Soberana Sans Light"/>
          <w:sz w:val="22"/>
          <w:szCs w:val="22"/>
        </w:rPr>
        <w:t xml:space="preserve"> A la fecha se encuentra en etapa de realización del Convenio correspondiente para la realización de la obra con el Instituto de Infraestructura Física Educativa del Estado de Tlaxcala.</w:t>
      </w:r>
    </w:p>
    <w:p w:rsidR="009F2E87" w:rsidRDefault="009F2E87" w:rsidP="009F2E87">
      <w:pPr>
        <w:pStyle w:val="INCISO"/>
        <w:spacing w:after="0" w:line="240" w:lineRule="exact"/>
        <w:ind w:left="0" w:firstLine="0"/>
        <w:rPr>
          <w:rFonts w:ascii="Soberana Sans Light" w:hAnsi="Soberana Sans Light"/>
          <w:sz w:val="22"/>
          <w:szCs w:val="22"/>
        </w:rPr>
      </w:pPr>
    </w:p>
    <w:p w:rsidR="00293D86" w:rsidRDefault="00293D86" w:rsidP="009F2E87">
      <w:pPr>
        <w:pStyle w:val="INCISO"/>
        <w:spacing w:after="0" w:line="240" w:lineRule="exact"/>
        <w:ind w:left="0" w:firstLine="0"/>
        <w:rPr>
          <w:rFonts w:ascii="Soberana Sans Light" w:hAnsi="Soberana Sans Light"/>
          <w:sz w:val="22"/>
          <w:szCs w:val="22"/>
        </w:rPr>
      </w:pPr>
    </w:p>
    <w:p w:rsidR="00293D86" w:rsidRDefault="00293D86" w:rsidP="009F2E87">
      <w:pPr>
        <w:pStyle w:val="INCISO"/>
        <w:spacing w:after="0" w:line="240" w:lineRule="exact"/>
        <w:ind w:left="0" w:firstLine="0"/>
        <w:rPr>
          <w:rFonts w:ascii="Soberana Sans Light" w:hAnsi="Soberana Sans Light"/>
          <w:sz w:val="22"/>
          <w:szCs w:val="22"/>
        </w:rPr>
      </w:pPr>
    </w:p>
    <w:p w:rsidR="00293D86" w:rsidRDefault="00293D86" w:rsidP="009F2E87">
      <w:pPr>
        <w:pStyle w:val="INCISO"/>
        <w:spacing w:after="0" w:line="240" w:lineRule="exact"/>
        <w:ind w:left="0" w:firstLine="0"/>
        <w:rPr>
          <w:rFonts w:ascii="Soberana Sans Light" w:hAnsi="Soberana Sans Light"/>
          <w:sz w:val="22"/>
          <w:szCs w:val="22"/>
        </w:rPr>
      </w:pPr>
    </w:p>
    <w:p w:rsidR="00293D86" w:rsidRPr="00540418" w:rsidRDefault="00293D86" w:rsidP="009F2E87">
      <w:pPr>
        <w:pStyle w:val="INCISO"/>
        <w:spacing w:after="0" w:line="240" w:lineRule="exact"/>
        <w:ind w:left="0" w:firstLine="0"/>
        <w:rPr>
          <w:rFonts w:ascii="Soberana Sans Light" w:hAnsi="Soberana Sans Light"/>
          <w:sz w:val="22"/>
          <w:szCs w:val="22"/>
        </w:rPr>
      </w:pPr>
    </w:p>
    <w:p w:rsidR="009F2E87" w:rsidRDefault="009F2E87" w:rsidP="009F2E87">
      <w:pPr>
        <w:pStyle w:val="INCISO"/>
        <w:spacing w:after="0" w:line="240" w:lineRule="exact"/>
        <w:ind w:left="0" w:firstLine="0"/>
        <w:rPr>
          <w:rFonts w:ascii="Soberana Sans Light" w:hAnsi="Soberana Sans Light"/>
          <w:sz w:val="22"/>
          <w:szCs w:val="22"/>
        </w:rPr>
      </w:pPr>
    </w:p>
    <w:p w:rsidR="00293D86" w:rsidRDefault="00293D86" w:rsidP="009F2E87">
      <w:pPr>
        <w:pStyle w:val="INCISO"/>
        <w:spacing w:after="0" w:line="240" w:lineRule="exact"/>
        <w:ind w:left="0" w:firstLine="0"/>
        <w:rPr>
          <w:rFonts w:ascii="Soberana Sans Light" w:hAnsi="Soberana Sans Light"/>
          <w:sz w:val="22"/>
          <w:szCs w:val="22"/>
        </w:rPr>
      </w:pPr>
    </w:p>
    <w:p w:rsidR="00293D86" w:rsidRPr="00540418" w:rsidRDefault="00293D86" w:rsidP="009F2E87">
      <w:pPr>
        <w:pStyle w:val="INCISO"/>
        <w:spacing w:after="0" w:line="240" w:lineRule="exact"/>
        <w:ind w:left="0" w:firstLine="0"/>
        <w:rPr>
          <w:rFonts w:ascii="Soberana Sans Light" w:hAnsi="Soberana Sans Light"/>
          <w:sz w:val="22"/>
          <w:szCs w:val="22"/>
        </w:rPr>
      </w:pPr>
    </w:p>
    <w:p w:rsidR="009F2E87" w:rsidRPr="00540418" w:rsidRDefault="009F2E87" w:rsidP="009F2E87">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9.</w:t>
      </w:r>
      <w:r w:rsidRPr="00540418">
        <w:rPr>
          <w:rFonts w:ascii="Soberana Sans Light" w:hAnsi="Soberana Sans Light"/>
          <w:b/>
          <w:sz w:val="22"/>
          <w:szCs w:val="22"/>
          <w:lang w:val="es-MX"/>
        </w:rPr>
        <w:tab/>
        <w:t>Fideicomisos, Mandatos y Análogos</w:t>
      </w:r>
    </w:p>
    <w:p w:rsidR="009F2E87" w:rsidRDefault="009F2E87" w:rsidP="009F2E87">
      <w:pPr>
        <w:pStyle w:val="INCISO"/>
        <w:spacing w:after="0" w:line="240" w:lineRule="exact"/>
        <w:rPr>
          <w:rFonts w:ascii="Soberana Sans Light" w:hAnsi="Soberana Sans Light"/>
          <w:sz w:val="22"/>
          <w:szCs w:val="22"/>
        </w:rPr>
      </w:pPr>
      <w:r>
        <w:rPr>
          <w:rFonts w:ascii="Soberana Sans Light" w:hAnsi="Soberana Sans Light"/>
          <w:sz w:val="22"/>
          <w:szCs w:val="22"/>
        </w:rPr>
        <w:t>No aplica.</w:t>
      </w:r>
    </w:p>
    <w:p w:rsidR="009F2E87" w:rsidRDefault="009F2E87" w:rsidP="00293D86">
      <w:pPr>
        <w:pStyle w:val="Texto"/>
        <w:spacing w:after="0" w:line="240" w:lineRule="exact"/>
        <w:ind w:firstLine="0"/>
        <w:rPr>
          <w:rFonts w:ascii="Soberana Sans Light" w:hAnsi="Soberana Sans Light"/>
          <w:b/>
          <w:sz w:val="22"/>
          <w:szCs w:val="22"/>
          <w:lang w:val="es-MX"/>
        </w:rPr>
      </w:pPr>
    </w:p>
    <w:p w:rsidR="009F2E87" w:rsidRDefault="009F2E87" w:rsidP="009F2E87">
      <w:pPr>
        <w:pStyle w:val="Texto"/>
        <w:spacing w:after="0" w:line="240" w:lineRule="exact"/>
        <w:rPr>
          <w:rFonts w:ascii="Soberana Sans Light" w:hAnsi="Soberana Sans Light"/>
          <w:b/>
          <w:sz w:val="22"/>
          <w:szCs w:val="22"/>
          <w:lang w:val="es-MX"/>
        </w:rPr>
      </w:pPr>
    </w:p>
    <w:p w:rsidR="009F2E87" w:rsidRDefault="009F2E87" w:rsidP="009F2E87">
      <w:pPr>
        <w:pStyle w:val="Texto"/>
        <w:spacing w:after="0" w:line="240" w:lineRule="exact"/>
        <w:rPr>
          <w:rFonts w:ascii="Soberana Sans Light" w:hAnsi="Soberana Sans Light"/>
          <w:b/>
          <w:sz w:val="22"/>
          <w:szCs w:val="22"/>
          <w:lang w:val="es-MX"/>
        </w:rPr>
      </w:pPr>
    </w:p>
    <w:p w:rsidR="009F2E87" w:rsidRPr="00540418" w:rsidRDefault="009F2E87" w:rsidP="009F2E87">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10.</w:t>
      </w:r>
      <w:r w:rsidRPr="00540418">
        <w:rPr>
          <w:rFonts w:ascii="Soberana Sans Light" w:hAnsi="Soberana Sans Light"/>
          <w:b/>
          <w:sz w:val="22"/>
          <w:szCs w:val="22"/>
          <w:lang w:val="es-MX"/>
        </w:rPr>
        <w:tab/>
        <w:t>Reporte de la Recaudación</w:t>
      </w:r>
    </w:p>
    <w:p w:rsidR="009F2E87" w:rsidRDefault="009F2E87" w:rsidP="009F2E87">
      <w:pPr>
        <w:pStyle w:val="INCISO"/>
        <w:spacing w:after="0" w:line="240" w:lineRule="exact"/>
        <w:rPr>
          <w:rFonts w:ascii="Soberana Sans Light" w:hAnsi="Soberana Sans Light"/>
          <w:sz w:val="22"/>
          <w:szCs w:val="22"/>
        </w:rPr>
      </w:pPr>
      <w:r>
        <w:rPr>
          <w:rFonts w:ascii="Soberana Sans Light" w:hAnsi="Soberana Sans Light"/>
          <w:sz w:val="22"/>
          <w:szCs w:val="22"/>
        </w:rPr>
        <w:t>Los ingresos propios de la</w:t>
      </w:r>
      <w:r w:rsidR="0034676F">
        <w:rPr>
          <w:rFonts w:ascii="Soberana Sans Light" w:hAnsi="Soberana Sans Light"/>
          <w:sz w:val="22"/>
          <w:szCs w:val="22"/>
        </w:rPr>
        <w:t xml:space="preserve"> </w:t>
      </w:r>
      <w:r w:rsidR="007113F3">
        <w:rPr>
          <w:rFonts w:ascii="Soberana Sans Light" w:hAnsi="Soberana Sans Light"/>
          <w:sz w:val="22"/>
          <w:szCs w:val="22"/>
        </w:rPr>
        <w:t>Universidad representan el 9.</w:t>
      </w:r>
      <w:r w:rsidR="00BB2D42">
        <w:rPr>
          <w:rFonts w:ascii="Soberana Sans Light" w:hAnsi="Soberana Sans Light"/>
          <w:sz w:val="22"/>
          <w:szCs w:val="22"/>
        </w:rPr>
        <w:t>84</w:t>
      </w:r>
      <w:r>
        <w:rPr>
          <w:rFonts w:ascii="Soberana Sans Light" w:hAnsi="Soberana Sans Light"/>
          <w:sz w:val="22"/>
          <w:szCs w:val="22"/>
        </w:rPr>
        <w:t>% de los</w:t>
      </w:r>
      <w:r w:rsidR="0034676F">
        <w:rPr>
          <w:rFonts w:ascii="Soberana Sans Light" w:hAnsi="Soberana Sans Light"/>
          <w:sz w:val="22"/>
          <w:szCs w:val="22"/>
        </w:rPr>
        <w:t xml:space="preserve"> i</w:t>
      </w:r>
      <w:r w:rsidR="007113F3">
        <w:rPr>
          <w:rFonts w:ascii="Soberana Sans Light" w:hAnsi="Soberana Sans Light"/>
          <w:sz w:val="22"/>
          <w:szCs w:val="22"/>
        </w:rPr>
        <w:t>ngresos totales al 30 de septiembre</w:t>
      </w:r>
      <w:r>
        <w:rPr>
          <w:rFonts w:ascii="Soberana Sans Light" w:hAnsi="Soberana Sans Light"/>
          <w:sz w:val="22"/>
          <w:szCs w:val="22"/>
        </w:rPr>
        <w:t xml:space="preserve"> de 2015. Los ingresos propios obtenidos durante el ejercicio fiscal 2015 fueron los siguientes.</w:t>
      </w:r>
    </w:p>
    <w:tbl>
      <w:tblPr>
        <w:tblW w:w="12501" w:type="dxa"/>
        <w:tblInd w:w="70" w:type="dxa"/>
        <w:tblCellMar>
          <w:left w:w="70" w:type="dxa"/>
          <w:right w:w="70" w:type="dxa"/>
        </w:tblCellMar>
        <w:tblLook w:val="04A0" w:firstRow="1" w:lastRow="0" w:firstColumn="1" w:lastColumn="0" w:noHBand="0" w:noVBand="1"/>
      </w:tblPr>
      <w:tblGrid>
        <w:gridCol w:w="10348"/>
        <w:gridCol w:w="216"/>
        <w:gridCol w:w="1937"/>
      </w:tblGrid>
      <w:tr w:rsidR="009F2E87" w:rsidRPr="00AA62C9" w:rsidTr="008F43BD">
        <w:trPr>
          <w:trHeight w:val="240"/>
        </w:trPr>
        <w:tc>
          <w:tcPr>
            <w:tcW w:w="10348" w:type="dxa"/>
            <w:tcBorders>
              <w:top w:val="nil"/>
              <w:left w:val="nil"/>
              <w:bottom w:val="single" w:sz="4" w:space="0" w:color="auto"/>
              <w:right w:val="nil"/>
            </w:tcBorders>
            <w:vAlign w:val="center"/>
            <w:hideMark/>
          </w:tcPr>
          <w:p w:rsidR="009F2E87" w:rsidRPr="00AA62C9" w:rsidRDefault="009F2E87" w:rsidP="009F2E87">
            <w:pPr>
              <w:spacing w:after="0" w:line="240" w:lineRule="auto"/>
              <w:rPr>
                <w:rFonts w:ascii="Soberana Sans Light" w:eastAsia="Times New Roman" w:hAnsi="Soberana Sans Light" w:cs="Arial"/>
                <w:lang w:val="es-ES" w:eastAsia="es-ES"/>
              </w:rPr>
            </w:pPr>
          </w:p>
        </w:tc>
        <w:tc>
          <w:tcPr>
            <w:tcW w:w="216" w:type="dxa"/>
            <w:tcBorders>
              <w:top w:val="nil"/>
              <w:left w:val="nil"/>
              <w:bottom w:val="single" w:sz="4" w:space="0" w:color="auto"/>
              <w:right w:val="nil"/>
            </w:tcBorders>
            <w:shd w:val="clear" w:color="auto" w:fill="auto"/>
            <w:noWrap/>
            <w:vAlign w:val="bottom"/>
            <w:hideMark/>
          </w:tcPr>
          <w:p w:rsidR="009F2E87" w:rsidRPr="00AA62C9" w:rsidRDefault="009F2E87" w:rsidP="009F2E87">
            <w:pPr>
              <w:spacing w:after="0" w:line="240" w:lineRule="auto"/>
              <w:jc w:val="center"/>
              <w:rPr>
                <w:rFonts w:ascii="Soberana Sans Light" w:eastAsia="Times New Roman" w:hAnsi="Soberana Sans Light" w:cs="Arial"/>
                <w:lang w:val="es-ES" w:eastAsia="es-ES"/>
              </w:rPr>
            </w:pPr>
          </w:p>
        </w:tc>
        <w:tc>
          <w:tcPr>
            <w:tcW w:w="1937" w:type="dxa"/>
            <w:tcBorders>
              <w:top w:val="nil"/>
              <w:left w:val="nil"/>
              <w:bottom w:val="single" w:sz="4" w:space="0" w:color="auto"/>
              <w:right w:val="nil"/>
            </w:tcBorders>
            <w:vAlign w:val="center"/>
            <w:hideMark/>
          </w:tcPr>
          <w:p w:rsidR="009F2E87" w:rsidRPr="00AA62C9" w:rsidRDefault="009F2E87" w:rsidP="009F2E87">
            <w:pPr>
              <w:spacing w:after="0" w:line="240" w:lineRule="auto"/>
              <w:rPr>
                <w:rFonts w:ascii="Soberana Sans Light" w:eastAsia="Times New Roman" w:hAnsi="Soberana Sans Light" w:cs="Arial"/>
                <w:lang w:val="es-ES" w:eastAsia="es-ES"/>
              </w:rPr>
            </w:pPr>
          </w:p>
        </w:tc>
      </w:tr>
      <w:tr w:rsidR="009F2E87" w:rsidRPr="00AA62C9" w:rsidTr="008F43BD">
        <w:trPr>
          <w:trHeight w:val="315"/>
        </w:trPr>
        <w:tc>
          <w:tcPr>
            <w:tcW w:w="10348" w:type="dxa"/>
            <w:tcBorders>
              <w:top w:val="single" w:sz="4" w:space="0" w:color="auto"/>
              <w:left w:val="single" w:sz="4" w:space="0" w:color="auto"/>
              <w:bottom w:val="single" w:sz="4" w:space="0" w:color="auto"/>
            </w:tcBorders>
            <w:shd w:val="clear" w:color="auto" w:fill="auto"/>
            <w:noWrap/>
            <w:vAlign w:val="bottom"/>
          </w:tcPr>
          <w:p w:rsidR="009F2E87" w:rsidRPr="00AC12A6" w:rsidRDefault="009F2E87" w:rsidP="009F2E87">
            <w:pPr>
              <w:spacing w:after="0" w:line="240" w:lineRule="auto"/>
              <w:jc w:val="center"/>
              <w:rPr>
                <w:rFonts w:ascii="Soberana Sans Light" w:eastAsia="Times New Roman" w:hAnsi="Soberana Sans Light" w:cs="Arial"/>
                <w:b/>
                <w:lang w:val="es-ES" w:eastAsia="es-ES"/>
              </w:rPr>
            </w:pPr>
            <w:r w:rsidRPr="00AC12A6">
              <w:rPr>
                <w:rFonts w:ascii="Soberana Sans Light" w:eastAsia="Times New Roman" w:hAnsi="Soberana Sans Light" w:cs="Arial"/>
                <w:b/>
                <w:lang w:val="es-ES" w:eastAsia="es-ES"/>
              </w:rPr>
              <w:t>CONCEPTO</w:t>
            </w:r>
          </w:p>
        </w:tc>
        <w:tc>
          <w:tcPr>
            <w:tcW w:w="216" w:type="dxa"/>
            <w:tcBorders>
              <w:top w:val="single" w:sz="4" w:space="0" w:color="auto"/>
              <w:bottom w:val="single" w:sz="4" w:space="0" w:color="auto"/>
            </w:tcBorders>
            <w:shd w:val="clear" w:color="auto" w:fill="auto"/>
            <w:noWrap/>
            <w:vAlign w:val="bottom"/>
          </w:tcPr>
          <w:p w:rsidR="009F2E87" w:rsidRPr="00AC12A6" w:rsidRDefault="009F2E87" w:rsidP="009F2E87">
            <w:pPr>
              <w:spacing w:after="0" w:line="240" w:lineRule="auto"/>
              <w:jc w:val="center"/>
              <w:rPr>
                <w:rFonts w:ascii="Soberana Sans Light" w:eastAsia="Times New Roman" w:hAnsi="Soberana Sans Light" w:cs="Arial"/>
                <w:b/>
                <w:lang w:val="es-ES" w:eastAsia="es-ES"/>
              </w:rPr>
            </w:pPr>
          </w:p>
        </w:tc>
        <w:tc>
          <w:tcPr>
            <w:tcW w:w="1937" w:type="dxa"/>
            <w:tcBorders>
              <w:top w:val="single" w:sz="4" w:space="0" w:color="auto"/>
              <w:left w:val="nil"/>
              <w:bottom w:val="single" w:sz="4" w:space="0" w:color="auto"/>
              <w:right w:val="single" w:sz="4" w:space="0" w:color="auto"/>
            </w:tcBorders>
            <w:shd w:val="clear" w:color="auto" w:fill="auto"/>
            <w:noWrap/>
            <w:vAlign w:val="bottom"/>
          </w:tcPr>
          <w:p w:rsidR="009F2E87" w:rsidRPr="00AC12A6" w:rsidRDefault="009F2E87" w:rsidP="009F2E87">
            <w:pPr>
              <w:spacing w:after="0" w:line="240" w:lineRule="auto"/>
              <w:jc w:val="center"/>
              <w:rPr>
                <w:rFonts w:ascii="Soberana Sans Light" w:eastAsia="Times New Roman" w:hAnsi="Soberana Sans Light" w:cs="Arial"/>
                <w:b/>
                <w:lang w:val="es-ES" w:eastAsia="es-ES"/>
              </w:rPr>
            </w:pPr>
            <w:r w:rsidRPr="00AC12A6">
              <w:rPr>
                <w:rFonts w:ascii="Soberana Sans Light" w:eastAsia="Times New Roman" w:hAnsi="Soberana Sans Light" w:cs="Arial"/>
                <w:b/>
                <w:lang w:val="es-ES" w:eastAsia="es-ES"/>
              </w:rPr>
              <w:t>IMPORTE</w:t>
            </w:r>
          </w:p>
        </w:tc>
      </w:tr>
      <w:tr w:rsidR="009F2E87" w:rsidRPr="00AA62C9" w:rsidTr="0034676F">
        <w:trPr>
          <w:trHeight w:val="315"/>
        </w:trPr>
        <w:tc>
          <w:tcPr>
            <w:tcW w:w="10348" w:type="dxa"/>
            <w:tcBorders>
              <w:top w:val="single" w:sz="4" w:space="0" w:color="auto"/>
              <w:left w:val="single" w:sz="4" w:space="0" w:color="auto"/>
            </w:tcBorders>
            <w:shd w:val="clear" w:color="auto" w:fill="auto"/>
            <w:noWrap/>
            <w:vAlign w:val="bottom"/>
            <w:hideMark/>
          </w:tcPr>
          <w:p w:rsidR="009F2E87" w:rsidRPr="00AA62C9" w:rsidRDefault="009F2E87" w:rsidP="009F2E87">
            <w:pPr>
              <w:spacing w:after="0" w:line="240" w:lineRule="auto"/>
              <w:rPr>
                <w:rFonts w:ascii="Soberana Sans Light" w:eastAsia="Times New Roman" w:hAnsi="Soberana Sans Light" w:cs="Arial"/>
                <w:lang w:val="es-ES" w:eastAsia="es-ES"/>
              </w:rPr>
            </w:pPr>
            <w:r w:rsidRPr="00AA62C9">
              <w:rPr>
                <w:rFonts w:ascii="Soberana Sans Light" w:eastAsia="Times New Roman" w:hAnsi="Soberana Sans Light" w:cs="Arial"/>
                <w:lang w:val="es-ES" w:eastAsia="es-ES"/>
              </w:rPr>
              <w:t>DERECHOS</w:t>
            </w:r>
          </w:p>
        </w:tc>
        <w:tc>
          <w:tcPr>
            <w:tcW w:w="216" w:type="dxa"/>
            <w:tcBorders>
              <w:top w:val="single" w:sz="4" w:space="0" w:color="auto"/>
            </w:tcBorders>
            <w:shd w:val="clear" w:color="auto" w:fill="auto"/>
            <w:noWrap/>
            <w:vAlign w:val="bottom"/>
            <w:hideMark/>
          </w:tcPr>
          <w:p w:rsidR="009F2E87" w:rsidRPr="00AA62C9" w:rsidRDefault="009F2E87" w:rsidP="009F2E87">
            <w:pPr>
              <w:spacing w:after="0" w:line="240" w:lineRule="auto"/>
              <w:rPr>
                <w:rFonts w:ascii="Soberana Sans Light" w:eastAsia="Times New Roman" w:hAnsi="Soberana Sans Light" w:cs="Arial"/>
                <w:lang w:val="es-ES" w:eastAsia="es-ES"/>
              </w:rPr>
            </w:pPr>
          </w:p>
        </w:tc>
        <w:tc>
          <w:tcPr>
            <w:tcW w:w="1937" w:type="dxa"/>
            <w:tcBorders>
              <w:top w:val="single" w:sz="4" w:space="0" w:color="auto"/>
              <w:right w:val="single" w:sz="4" w:space="0" w:color="auto"/>
            </w:tcBorders>
            <w:shd w:val="clear" w:color="auto" w:fill="auto"/>
            <w:noWrap/>
            <w:vAlign w:val="bottom"/>
          </w:tcPr>
          <w:p w:rsidR="009F2E87" w:rsidRPr="00BB2D42" w:rsidRDefault="00BB2D42" w:rsidP="009F2E87">
            <w:pPr>
              <w:spacing w:after="0" w:line="240" w:lineRule="auto"/>
              <w:jc w:val="right"/>
              <w:rPr>
                <w:rFonts w:ascii="Soberana Sans Light" w:eastAsia="Times New Roman" w:hAnsi="Soberana Sans Light" w:cs="Arial"/>
                <w:b/>
                <w:color w:val="000000" w:themeColor="text1"/>
                <w:lang w:val="es-ES" w:eastAsia="es-ES"/>
              </w:rPr>
            </w:pPr>
            <w:r w:rsidRPr="00BB2D42">
              <w:rPr>
                <w:rFonts w:ascii="Soberana Sans Light" w:eastAsia="Times New Roman" w:hAnsi="Soberana Sans Light" w:cs="Arial"/>
                <w:b/>
                <w:color w:val="000000" w:themeColor="text1"/>
                <w:lang w:val="es-ES" w:eastAsia="es-ES"/>
              </w:rPr>
              <w:t>6,608,292</w:t>
            </w:r>
          </w:p>
        </w:tc>
      </w:tr>
      <w:tr w:rsidR="009F2E87" w:rsidRPr="00AA62C9" w:rsidTr="0034676F">
        <w:trPr>
          <w:trHeight w:val="315"/>
        </w:trPr>
        <w:tc>
          <w:tcPr>
            <w:tcW w:w="10348" w:type="dxa"/>
            <w:tcBorders>
              <w:left w:val="single" w:sz="4" w:space="0" w:color="auto"/>
            </w:tcBorders>
            <w:shd w:val="clear" w:color="auto" w:fill="auto"/>
            <w:noWrap/>
            <w:vAlign w:val="bottom"/>
            <w:hideMark/>
          </w:tcPr>
          <w:p w:rsidR="009F2E87" w:rsidRPr="00AA62C9" w:rsidRDefault="009F2E87" w:rsidP="009F2E87">
            <w:pPr>
              <w:spacing w:after="0" w:line="240" w:lineRule="auto"/>
              <w:rPr>
                <w:rFonts w:ascii="Soberana Sans Light" w:eastAsia="Times New Roman" w:hAnsi="Soberana Sans Light" w:cs="Arial"/>
                <w:lang w:val="es-ES" w:eastAsia="es-ES"/>
              </w:rPr>
            </w:pPr>
            <w:r w:rsidRPr="00AA62C9">
              <w:rPr>
                <w:rFonts w:ascii="Soberana Sans Light" w:eastAsia="Times New Roman" w:hAnsi="Soberana Sans Light" w:cs="Arial"/>
                <w:lang w:val="es-ES" w:eastAsia="es-ES"/>
              </w:rPr>
              <w:t>EXAMEN DE ADMISIÓN</w:t>
            </w:r>
          </w:p>
        </w:tc>
        <w:tc>
          <w:tcPr>
            <w:tcW w:w="216" w:type="dxa"/>
            <w:shd w:val="clear" w:color="auto" w:fill="auto"/>
            <w:noWrap/>
            <w:vAlign w:val="bottom"/>
            <w:hideMark/>
          </w:tcPr>
          <w:p w:rsidR="009F2E87" w:rsidRPr="00AA62C9" w:rsidRDefault="009F2E87" w:rsidP="009F2E87">
            <w:pPr>
              <w:spacing w:after="0" w:line="240" w:lineRule="auto"/>
              <w:rPr>
                <w:rFonts w:ascii="Soberana Sans Light" w:eastAsia="Times New Roman" w:hAnsi="Soberana Sans Light" w:cs="Arial"/>
                <w:lang w:val="es-ES" w:eastAsia="es-ES"/>
              </w:rPr>
            </w:pPr>
          </w:p>
        </w:tc>
        <w:tc>
          <w:tcPr>
            <w:tcW w:w="1937" w:type="dxa"/>
            <w:tcBorders>
              <w:right w:val="single" w:sz="4" w:space="0" w:color="auto"/>
            </w:tcBorders>
            <w:shd w:val="clear" w:color="auto" w:fill="auto"/>
            <w:noWrap/>
            <w:vAlign w:val="bottom"/>
          </w:tcPr>
          <w:p w:rsidR="009F2E87" w:rsidRPr="00BB2D42" w:rsidRDefault="00BB2D42" w:rsidP="009F2E87">
            <w:pPr>
              <w:spacing w:after="0" w:line="240" w:lineRule="auto"/>
              <w:jc w:val="right"/>
              <w:rPr>
                <w:rFonts w:ascii="Soberana Sans Light" w:eastAsia="Times New Roman" w:hAnsi="Soberana Sans Light" w:cs="Arial"/>
                <w:color w:val="000000" w:themeColor="text1"/>
                <w:lang w:val="es-ES" w:eastAsia="es-ES"/>
              </w:rPr>
            </w:pPr>
            <w:r w:rsidRPr="00BB2D42">
              <w:rPr>
                <w:rFonts w:ascii="Soberana Sans Light" w:eastAsia="Times New Roman" w:hAnsi="Soberana Sans Light" w:cs="Arial"/>
                <w:color w:val="000000" w:themeColor="text1"/>
                <w:lang w:val="es-ES" w:eastAsia="es-ES"/>
              </w:rPr>
              <w:t>416,690</w:t>
            </w:r>
          </w:p>
        </w:tc>
      </w:tr>
      <w:tr w:rsidR="009F2E87" w:rsidRPr="00AA62C9" w:rsidTr="0034676F">
        <w:trPr>
          <w:trHeight w:val="315"/>
        </w:trPr>
        <w:tc>
          <w:tcPr>
            <w:tcW w:w="10348" w:type="dxa"/>
            <w:tcBorders>
              <w:left w:val="single" w:sz="4" w:space="0" w:color="auto"/>
            </w:tcBorders>
            <w:shd w:val="clear" w:color="auto" w:fill="auto"/>
            <w:noWrap/>
            <w:vAlign w:val="bottom"/>
            <w:hideMark/>
          </w:tcPr>
          <w:p w:rsidR="009F2E87" w:rsidRPr="00AA62C9" w:rsidRDefault="009F2E87" w:rsidP="009F2E87">
            <w:pPr>
              <w:spacing w:after="0" w:line="240" w:lineRule="auto"/>
              <w:rPr>
                <w:rFonts w:ascii="Soberana Sans Light" w:eastAsia="Times New Roman" w:hAnsi="Soberana Sans Light" w:cs="Arial"/>
                <w:lang w:val="es-ES" w:eastAsia="es-ES"/>
              </w:rPr>
            </w:pPr>
            <w:r w:rsidRPr="00AA62C9">
              <w:rPr>
                <w:rFonts w:ascii="Soberana Sans Light" w:eastAsia="Times New Roman" w:hAnsi="Soberana Sans Light" w:cs="Arial"/>
                <w:lang w:val="es-ES" w:eastAsia="es-ES"/>
              </w:rPr>
              <w:t>CUOTAS DE COLEGIATURAS</w:t>
            </w:r>
          </w:p>
        </w:tc>
        <w:tc>
          <w:tcPr>
            <w:tcW w:w="216" w:type="dxa"/>
            <w:shd w:val="clear" w:color="auto" w:fill="auto"/>
            <w:noWrap/>
            <w:vAlign w:val="bottom"/>
            <w:hideMark/>
          </w:tcPr>
          <w:p w:rsidR="009F2E87" w:rsidRPr="00AA62C9" w:rsidRDefault="009F2E87" w:rsidP="009F2E87">
            <w:pPr>
              <w:spacing w:after="0" w:line="240" w:lineRule="auto"/>
              <w:rPr>
                <w:rFonts w:ascii="Soberana Sans Light" w:eastAsia="Times New Roman" w:hAnsi="Soberana Sans Light" w:cs="Arial"/>
                <w:lang w:val="es-ES" w:eastAsia="es-ES"/>
              </w:rPr>
            </w:pPr>
          </w:p>
        </w:tc>
        <w:tc>
          <w:tcPr>
            <w:tcW w:w="1937" w:type="dxa"/>
            <w:tcBorders>
              <w:right w:val="single" w:sz="4" w:space="0" w:color="auto"/>
            </w:tcBorders>
            <w:shd w:val="clear" w:color="auto" w:fill="auto"/>
            <w:noWrap/>
            <w:vAlign w:val="bottom"/>
          </w:tcPr>
          <w:p w:rsidR="009F2E87" w:rsidRPr="00BB2D42" w:rsidRDefault="00BB2D42" w:rsidP="009F2E87">
            <w:pPr>
              <w:spacing w:after="0" w:line="240" w:lineRule="auto"/>
              <w:jc w:val="right"/>
              <w:rPr>
                <w:rFonts w:ascii="Soberana Sans Light" w:eastAsia="Times New Roman" w:hAnsi="Soberana Sans Light" w:cs="Arial"/>
                <w:color w:val="000000" w:themeColor="text1"/>
                <w:lang w:val="es-ES" w:eastAsia="es-ES"/>
              </w:rPr>
            </w:pPr>
            <w:r w:rsidRPr="00BB2D42">
              <w:rPr>
                <w:rFonts w:ascii="Soberana Sans Light" w:eastAsia="Times New Roman" w:hAnsi="Soberana Sans Light" w:cs="Arial"/>
                <w:color w:val="000000" w:themeColor="text1"/>
                <w:lang w:val="es-ES" w:eastAsia="es-ES"/>
              </w:rPr>
              <w:t>3,899,359</w:t>
            </w:r>
          </w:p>
        </w:tc>
      </w:tr>
      <w:tr w:rsidR="009F2E87" w:rsidRPr="00AA62C9" w:rsidTr="0034676F">
        <w:trPr>
          <w:trHeight w:val="315"/>
        </w:trPr>
        <w:tc>
          <w:tcPr>
            <w:tcW w:w="10348" w:type="dxa"/>
            <w:tcBorders>
              <w:left w:val="single" w:sz="4" w:space="0" w:color="auto"/>
            </w:tcBorders>
            <w:shd w:val="clear" w:color="auto" w:fill="auto"/>
            <w:noWrap/>
            <w:vAlign w:val="bottom"/>
            <w:hideMark/>
          </w:tcPr>
          <w:p w:rsidR="009F2E87" w:rsidRPr="00AA62C9" w:rsidRDefault="009F2E87" w:rsidP="009F2E87">
            <w:pPr>
              <w:spacing w:after="0" w:line="240" w:lineRule="auto"/>
              <w:rPr>
                <w:rFonts w:ascii="Soberana Sans Light" w:eastAsia="Times New Roman" w:hAnsi="Soberana Sans Light" w:cs="Arial"/>
                <w:lang w:val="es-ES" w:eastAsia="es-ES"/>
              </w:rPr>
            </w:pPr>
            <w:r w:rsidRPr="00AA62C9">
              <w:rPr>
                <w:rFonts w:ascii="Soberana Sans Light" w:eastAsia="Times New Roman" w:hAnsi="Soberana Sans Light" w:cs="Arial"/>
                <w:lang w:val="es-ES" w:eastAsia="es-ES"/>
              </w:rPr>
              <w:t>CUOTAS DE INSCRIPCIÓN</w:t>
            </w:r>
            <w:r>
              <w:rPr>
                <w:rFonts w:ascii="Soberana Sans Light" w:eastAsia="Times New Roman" w:hAnsi="Soberana Sans Light" w:cs="Arial"/>
                <w:lang w:val="es-ES" w:eastAsia="es-ES"/>
              </w:rPr>
              <w:t xml:space="preserve"> Y REINSCRIPCIÓN</w:t>
            </w:r>
          </w:p>
        </w:tc>
        <w:tc>
          <w:tcPr>
            <w:tcW w:w="216" w:type="dxa"/>
            <w:shd w:val="clear" w:color="auto" w:fill="auto"/>
            <w:noWrap/>
            <w:vAlign w:val="bottom"/>
            <w:hideMark/>
          </w:tcPr>
          <w:p w:rsidR="009F2E87" w:rsidRPr="00AA62C9" w:rsidRDefault="009F2E87" w:rsidP="009F2E87">
            <w:pPr>
              <w:spacing w:after="0" w:line="240" w:lineRule="auto"/>
              <w:rPr>
                <w:rFonts w:ascii="Soberana Sans Light" w:eastAsia="Times New Roman" w:hAnsi="Soberana Sans Light" w:cs="Arial"/>
                <w:lang w:val="es-ES" w:eastAsia="es-ES"/>
              </w:rPr>
            </w:pPr>
          </w:p>
        </w:tc>
        <w:tc>
          <w:tcPr>
            <w:tcW w:w="1937" w:type="dxa"/>
            <w:tcBorders>
              <w:right w:val="single" w:sz="4" w:space="0" w:color="auto"/>
            </w:tcBorders>
            <w:shd w:val="clear" w:color="auto" w:fill="auto"/>
            <w:noWrap/>
            <w:vAlign w:val="bottom"/>
          </w:tcPr>
          <w:p w:rsidR="009F2E87" w:rsidRPr="00BB2D42" w:rsidRDefault="00BB2D42" w:rsidP="009F2E87">
            <w:pPr>
              <w:spacing w:after="0" w:line="240" w:lineRule="auto"/>
              <w:jc w:val="right"/>
              <w:rPr>
                <w:rFonts w:ascii="Soberana Sans Light" w:eastAsia="Times New Roman" w:hAnsi="Soberana Sans Light" w:cs="Arial"/>
                <w:color w:val="000000" w:themeColor="text1"/>
                <w:lang w:val="es-ES" w:eastAsia="es-ES"/>
              </w:rPr>
            </w:pPr>
            <w:r w:rsidRPr="00BB2D42">
              <w:rPr>
                <w:rFonts w:ascii="Soberana Sans Light" w:eastAsia="Times New Roman" w:hAnsi="Soberana Sans Light" w:cs="Arial"/>
                <w:color w:val="000000" w:themeColor="text1"/>
                <w:lang w:val="es-ES" w:eastAsia="es-ES"/>
              </w:rPr>
              <w:t>539,800</w:t>
            </w:r>
          </w:p>
        </w:tc>
      </w:tr>
      <w:tr w:rsidR="009F2E87" w:rsidRPr="00AA62C9" w:rsidTr="0034676F">
        <w:trPr>
          <w:trHeight w:val="315"/>
        </w:trPr>
        <w:tc>
          <w:tcPr>
            <w:tcW w:w="10348" w:type="dxa"/>
            <w:tcBorders>
              <w:left w:val="single" w:sz="4" w:space="0" w:color="auto"/>
            </w:tcBorders>
            <w:shd w:val="clear" w:color="auto" w:fill="auto"/>
            <w:noWrap/>
            <w:vAlign w:val="bottom"/>
            <w:hideMark/>
          </w:tcPr>
          <w:p w:rsidR="009F2E87" w:rsidRPr="00AA62C9" w:rsidRDefault="009F2E87" w:rsidP="009F2E87">
            <w:pPr>
              <w:spacing w:after="0" w:line="240" w:lineRule="auto"/>
              <w:rPr>
                <w:rFonts w:ascii="Soberana Sans Light" w:eastAsia="Times New Roman" w:hAnsi="Soberana Sans Light" w:cs="Arial"/>
                <w:lang w:val="es-ES" w:eastAsia="es-ES"/>
              </w:rPr>
            </w:pPr>
            <w:r>
              <w:rPr>
                <w:rFonts w:ascii="Soberana Sans Light" w:eastAsia="Times New Roman" w:hAnsi="Soberana Sans Light" w:cs="Arial"/>
                <w:lang w:val="es-ES" w:eastAsia="es-ES"/>
              </w:rPr>
              <w:t>OTROS INGRESOS POR DERECHOS</w:t>
            </w:r>
          </w:p>
        </w:tc>
        <w:tc>
          <w:tcPr>
            <w:tcW w:w="216" w:type="dxa"/>
            <w:shd w:val="clear" w:color="auto" w:fill="auto"/>
            <w:noWrap/>
            <w:vAlign w:val="bottom"/>
            <w:hideMark/>
          </w:tcPr>
          <w:p w:rsidR="009F2E87" w:rsidRPr="00AA62C9" w:rsidRDefault="009F2E87" w:rsidP="009F2E87">
            <w:pPr>
              <w:spacing w:after="0" w:line="240" w:lineRule="auto"/>
              <w:rPr>
                <w:rFonts w:ascii="Soberana Sans Light" w:eastAsia="Times New Roman" w:hAnsi="Soberana Sans Light" w:cs="Arial"/>
                <w:lang w:val="es-ES" w:eastAsia="es-ES"/>
              </w:rPr>
            </w:pPr>
          </w:p>
        </w:tc>
        <w:tc>
          <w:tcPr>
            <w:tcW w:w="1937" w:type="dxa"/>
            <w:tcBorders>
              <w:right w:val="single" w:sz="4" w:space="0" w:color="auto"/>
            </w:tcBorders>
            <w:shd w:val="clear" w:color="auto" w:fill="auto"/>
            <w:noWrap/>
            <w:vAlign w:val="bottom"/>
          </w:tcPr>
          <w:p w:rsidR="009F2E87" w:rsidRPr="00BB2D42" w:rsidRDefault="00BB2D42" w:rsidP="009F2E87">
            <w:pPr>
              <w:spacing w:after="0" w:line="240" w:lineRule="auto"/>
              <w:jc w:val="right"/>
              <w:rPr>
                <w:rFonts w:ascii="Soberana Sans Light" w:eastAsia="Times New Roman" w:hAnsi="Soberana Sans Light" w:cs="Arial"/>
                <w:color w:val="000000" w:themeColor="text1"/>
                <w:lang w:val="es-ES" w:eastAsia="es-ES"/>
              </w:rPr>
            </w:pPr>
            <w:r w:rsidRPr="00BB2D42">
              <w:rPr>
                <w:rFonts w:ascii="Soberana Sans Light" w:eastAsia="Times New Roman" w:hAnsi="Soberana Sans Light" w:cs="Arial"/>
                <w:color w:val="000000" w:themeColor="text1"/>
                <w:lang w:val="es-ES" w:eastAsia="es-ES"/>
              </w:rPr>
              <w:t>1,125,441</w:t>
            </w:r>
          </w:p>
        </w:tc>
      </w:tr>
      <w:tr w:rsidR="009F2E87" w:rsidRPr="00AA62C9" w:rsidTr="0034676F">
        <w:trPr>
          <w:trHeight w:val="315"/>
        </w:trPr>
        <w:tc>
          <w:tcPr>
            <w:tcW w:w="10348" w:type="dxa"/>
            <w:tcBorders>
              <w:left w:val="single" w:sz="4" w:space="0" w:color="auto"/>
            </w:tcBorders>
            <w:shd w:val="clear" w:color="auto" w:fill="auto"/>
            <w:noWrap/>
            <w:vAlign w:val="bottom"/>
            <w:hideMark/>
          </w:tcPr>
          <w:p w:rsidR="009F2E87" w:rsidRPr="00AA62C9" w:rsidRDefault="009F2E87" w:rsidP="009F2E87">
            <w:pPr>
              <w:spacing w:after="0" w:line="240" w:lineRule="auto"/>
              <w:rPr>
                <w:rFonts w:ascii="Soberana Sans Light" w:eastAsia="Times New Roman" w:hAnsi="Soberana Sans Light" w:cs="Arial"/>
                <w:lang w:val="es-ES" w:eastAsia="es-ES"/>
              </w:rPr>
            </w:pPr>
            <w:r>
              <w:rPr>
                <w:rFonts w:ascii="Soberana Sans Light" w:eastAsia="Times New Roman" w:hAnsi="Soberana Sans Light" w:cs="Arial"/>
                <w:lang w:val="es-ES" w:eastAsia="es-ES"/>
              </w:rPr>
              <w:t>OTROS INGRESOS POR DERECHOS (VENTA DE BIENES Y SERVICIOS)</w:t>
            </w:r>
          </w:p>
        </w:tc>
        <w:tc>
          <w:tcPr>
            <w:tcW w:w="216" w:type="dxa"/>
            <w:shd w:val="clear" w:color="auto" w:fill="auto"/>
            <w:noWrap/>
            <w:vAlign w:val="bottom"/>
            <w:hideMark/>
          </w:tcPr>
          <w:p w:rsidR="009F2E87" w:rsidRPr="00AA62C9" w:rsidRDefault="009F2E87" w:rsidP="009F2E87">
            <w:pPr>
              <w:spacing w:after="0" w:line="240" w:lineRule="auto"/>
              <w:rPr>
                <w:rFonts w:ascii="Soberana Sans Light" w:eastAsia="Times New Roman" w:hAnsi="Soberana Sans Light" w:cs="Arial"/>
                <w:lang w:val="es-ES" w:eastAsia="es-ES"/>
              </w:rPr>
            </w:pPr>
          </w:p>
        </w:tc>
        <w:tc>
          <w:tcPr>
            <w:tcW w:w="1937" w:type="dxa"/>
            <w:tcBorders>
              <w:right w:val="single" w:sz="4" w:space="0" w:color="auto"/>
            </w:tcBorders>
            <w:shd w:val="clear" w:color="auto" w:fill="auto"/>
            <w:noWrap/>
            <w:vAlign w:val="bottom"/>
          </w:tcPr>
          <w:p w:rsidR="009F2E87" w:rsidRPr="00BB2D42" w:rsidRDefault="00BB2D42" w:rsidP="009F2E87">
            <w:pPr>
              <w:spacing w:after="0" w:line="240" w:lineRule="auto"/>
              <w:jc w:val="right"/>
              <w:rPr>
                <w:rFonts w:ascii="Soberana Sans Light" w:eastAsia="Times New Roman" w:hAnsi="Soberana Sans Light" w:cs="Arial"/>
                <w:color w:val="000000" w:themeColor="text1"/>
                <w:lang w:val="es-ES" w:eastAsia="es-ES"/>
              </w:rPr>
            </w:pPr>
            <w:r w:rsidRPr="00BB2D42">
              <w:rPr>
                <w:rFonts w:ascii="Soberana Sans Light" w:eastAsia="Times New Roman" w:hAnsi="Soberana Sans Light" w:cs="Arial"/>
                <w:color w:val="000000" w:themeColor="text1"/>
                <w:lang w:val="es-ES" w:eastAsia="es-ES"/>
              </w:rPr>
              <w:t>627,002</w:t>
            </w:r>
          </w:p>
        </w:tc>
      </w:tr>
      <w:tr w:rsidR="009F2E87" w:rsidRPr="00AA62C9" w:rsidTr="0034676F">
        <w:trPr>
          <w:trHeight w:val="315"/>
        </w:trPr>
        <w:tc>
          <w:tcPr>
            <w:tcW w:w="10348" w:type="dxa"/>
            <w:tcBorders>
              <w:left w:val="single" w:sz="4" w:space="0" w:color="auto"/>
            </w:tcBorders>
            <w:shd w:val="clear" w:color="auto" w:fill="auto"/>
            <w:noWrap/>
            <w:vAlign w:val="bottom"/>
            <w:hideMark/>
          </w:tcPr>
          <w:p w:rsidR="009F2E87" w:rsidRPr="00AA62C9" w:rsidRDefault="009F2E87" w:rsidP="009F2E87">
            <w:pPr>
              <w:spacing w:after="0" w:line="240" w:lineRule="auto"/>
              <w:jc w:val="right"/>
              <w:rPr>
                <w:rFonts w:ascii="Soberana Sans Light" w:eastAsia="Times New Roman" w:hAnsi="Soberana Sans Light" w:cs="Arial"/>
                <w:lang w:val="es-ES" w:eastAsia="es-ES"/>
              </w:rPr>
            </w:pPr>
          </w:p>
        </w:tc>
        <w:tc>
          <w:tcPr>
            <w:tcW w:w="216" w:type="dxa"/>
            <w:shd w:val="clear" w:color="auto" w:fill="auto"/>
            <w:noWrap/>
            <w:vAlign w:val="bottom"/>
            <w:hideMark/>
          </w:tcPr>
          <w:p w:rsidR="009F2E87" w:rsidRPr="00AA62C9" w:rsidRDefault="009F2E87" w:rsidP="009F2E87">
            <w:pPr>
              <w:spacing w:after="0" w:line="240" w:lineRule="auto"/>
              <w:rPr>
                <w:rFonts w:ascii="Soberana Sans Light" w:eastAsia="Times New Roman" w:hAnsi="Soberana Sans Light" w:cs="Arial"/>
                <w:lang w:val="es-ES" w:eastAsia="es-ES"/>
              </w:rPr>
            </w:pPr>
          </w:p>
        </w:tc>
        <w:tc>
          <w:tcPr>
            <w:tcW w:w="1937" w:type="dxa"/>
            <w:tcBorders>
              <w:right w:val="single" w:sz="4" w:space="0" w:color="auto"/>
            </w:tcBorders>
            <w:shd w:val="clear" w:color="auto" w:fill="auto"/>
            <w:noWrap/>
            <w:vAlign w:val="bottom"/>
          </w:tcPr>
          <w:p w:rsidR="009F2E87" w:rsidRPr="00BB2D42" w:rsidRDefault="009F2E87" w:rsidP="009F2E87">
            <w:pPr>
              <w:spacing w:after="0" w:line="240" w:lineRule="auto"/>
              <w:rPr>
                <w:rFonts w:ascii="Soberana Sans Light" w:eastAsia="Times New Roman" w:hAnsi="Soberana Sans Light" w:cs="Arial"/>
                <w:color w:val="000000" w:themeColor="text1"/>
                <w:lang w:val="es-ES" w:eastAsia="es-ES"/>
              </w:rPr>
            </w:pPr>
          </w:p>
        </w:tc>
      </w:tr>
      <w:tr w:rsidR="009F2E87" w:rsidRPr="00AA62C9" w:rsidTr="0034676F">
        <w:trPr>
          <w:trHeight w:val="315"/>
        </w:trPr>
        <w:tc>
          <w:tcPr>
            <w:tcW w:w="10348" w:type="dxa"/>
            <w:tcBorders>
              <w:left w:val="single" w:sz="4" w:space="0" w:color="auto"/>
            </w:tcBorders>
            <w:shd w:val="clear" w:color="auto" w:fill="auto"/>
            <w:noWrap/>
            <w:vAlign w:val="bottom"/>
            <w:hideMark/>
          </w:tcPr>
          <w:p w:rsidR="009F2E87" w:rsidRPr="00AA62C9" w:rsidRDefault="009F2E87" w:rsidP="009F2E87">
            <w:pPr>
              <w:spacing w:after="0" w:line="240" w:lineRule="auto"/>
              <w:rPr>
                <w:rFonts w:ascii="Soberana Sans Light" w:eastAsia="Times New Roman" w:hAnsi="Soberana Sans Light" w:cs="Arial"/>
                <w:lang w:val="es-ES" w:eastAsia="es-ES"/>
              </w:rPr>
            </w:pPr>
            <w:r w:rsidRPr="00AA62C9">
              <w:rPr>
                <w:rFonts w:ascii="Soberana Sans Light" w:eastAsia="Times New Roman" w:hAnsi="Soberana Sans Light" w:cs="Arial"/>
                <w:lang w:val="es-ES" w:eastAsia="es-ES"/>
              </w:rPr>
              <w:t>PRODUCTOS</w:t>
            </w:r>
          </w:p>
        </w:tc>
        <w:tc>
          <w:tcPr>
            <w:tcW w:w="216" w:type="dxa"/>
            <w:shd w:val="clear" w:color="auto" w:fill="auto"/>
            <w:noWrap/>
            <w:vAlign w:val="bottom"/>
            <w:hideMark/>
          </w:tcPr>
          <w:p w:rsidR="009F2E87" w:rsidRPr="00AA62C9" w:rsidRDefault="009F2E87" w:rsidP="009F2E87">
            <w:pPr>
              <w:spacing w:after="0" w:line="240" w:lineRule="auto"/>
              <w:rPr>
                <w:rFonts w:ascii="Soberana Sans Light" w:eastAsia="Times New Roman" w:hAnsi="Soberana Sans Light" w:cs="Arial"/>
                <w:lang w:val="es-ES" w:eastAsia="es-ES"/>
              </w:rPr>
            </w:pPr>
          </w:p>
        </w:tc>
        <w:tc>
          <w:tcPr>
            <w:tcW w:w="1937" w:type="dxa"/>
            <w:tcBorders>
              <w:right w:val="single" w:sz="4" w:space="0" w:color="auto"/>
            </w:tcBorders>
            <w:shd w:val="clear" w:color="auto" w:fill="auto"/>
            <w:noWrap/>
            <w:vAlign w:val="bottom"/>
          </w:tcPr>
          <w:p w:rsidR="009F2E87" w:rsidRPr="00BB2D42" w:rsidRDefault="00BB2D42" w:rsidP="009F2E87">
            <w:pPr>
              <w:spacing w:after="0" w:line="240" w:lineRule="auto"/>
              <w:jc w:val="right"/>
              <w:rPr>
                <w:rFonts w:ascii="Soberana Sans Light" w:eastAsia="Times New Roman" w:hAnsi="Soberana Sans Light" w:cs="Arial"/>
                <w:b/>
                <w:color w:val="000000" w:themeColor="text1"/>
                <w:lang w:val="es-ES" w:eastAsia="es-ES"/>
              </w:rPr>
            </w:pPr>
            <w:r w:rsidRPr="00BB2D42">
              <w:rPr>
                <w:rFonts w:ascii="Soberana Sans Light" w:eastAsia="Times New Roman" w:hAnsi="Soberana Sans Light" w:cs="Arial"/>
                <w:b/>
                <w:color w:val="000000" w:themeColor="text1"/>
                <w:lang w:val="es-ES" w:eastAsia="es-ES"/>
              </w:rPr>
              <w:t>102,357</w:t>
            </w:r>
          </w:p>
        </w:tc>
      </w:tr>
      <w:tr w:rsidR="009F2E87" w:rsidRPr="00AA62C9" w:rsidTr="0034676F">
        <w:trPr>
          <w:trHeight w:val="315"/>
        </w:trPr>
        <w:tc>
          <w:tcPr>
            <w:tcW w:w="10348" w:type="dxa"/>
            <w:tcBorders>
              <w:left w:val="single" w:sz="4" w:space="0" w:color="auto"/>
              <w:bottom w:val="single" w:sz="4" w:space="0" w:color="auto"/>
            </w:tcBorders>
            <w:shd w:val="clear" w:color="auto" w:fill="auto"/>
            <w:noWrap/>
            <w:vAlign w:val="bottom"/>
            <w:hideMark/>
          </w:tcPr>
          <w:p w:rsidR="009F2E87" w:rsidRPr="00AA62C9" w:rsidRDefault="009F2E87" w:rsidP="009F2E87">
            <w:pPr>
              <w:spacing w:after="0" w:line="240" w:lineRule="auto"/>
              <w:rPr>
                <w:rFonts w:ascii="Soberana Sans Light" w:eastAsia="Times New Roman" w:hAnsi="Soberana Sans Light" w:cs="Arial"/>
                <w:lang w:val="es-ES" w:eastAsia="es-ES"/>
              </w:rPr>
            </w:pPr>
            <w:r w:rsidRPr="00AA62C9">
              <w:rPr>
                <w:rFonts w:ascii="Soberana Sans Light" w:eastAsia="Times New Roman" w:hAnsi="Soberana Sans Light" w:cs="Arial"/>
                <w:lang w:val="es-ES" w:eastAsia="es-ES"/>
              </w:rPr>
              <w:t>INTERESES POR INVERSIÓN</w:t>
            </w:r>
          </w:p>
        </w:tc>
        <w:tc>
          <w:tcPr>
            <w:tcW w:w="216" w:type="dxa"/>
            <w:tcBorders>
              <w:bottom w:val="single" w:sz="4" w:space="0" w:color="auto"/>
            </w:tcBorders>
            <w:shd w:val="clear" w:color="auto" w:fill="auto"/>
            <w:noWrap/>
            <w:vAlign w:val="bottom"/>
            <w:hideMark/>
          </w:tcPr>
          <w:p w:rsidR="009F2E87" w:rsidRPr="00AA62C9" w:rsidRDefault="009F2E87" w:rsidP="009F2E87">
            <w:pPr>
              <w:spacing w:after="0" w:line="240" w:lineRule="auto"/>
              <w:rPr>
                <w:rFonts w:ascii="Soberana Sans Light" w:eastAsia="Times New Roman" w:hAnsi="Soberana Sans Light" w:cs="Arial"/>
                <w:lang w:val="es-ES" w:eastAsia="es-ES"/>
              </w:rPr>
            </w:pPr>
          </w:p>
        </w:tc>
        <w:tc>
          <w:tcPr>
            <w:tcW w:w="1937" w:type="dxa"/>
            <w:tcBorders>
              <w:bottom w:val="single" w:sz="4" w:space="0" w:color="auto"/>
              <w:right w:val="single" w:sz="4" w:space="0" w:color="auto"/>
            </w:tcBorders>
            <w:shd w:val="clear" w:color="auto" w:fill="auto"/>
            <w:noWrap/>
            <w:vAlign w:val="bottom"/>
          </w:tcPr>
          <w:p w:rsidR="009F2E87" w:rsidRPr="00BB2D42" w:rsidRDefault="00BB2D42" w:rsidP="009F2E87">
            <w:pPr>
              <w:spacing w:after="0" w:line="240" w:lineRule="auto"/>
              <w:jc w:val="right"/>
              <w:rPr>
                <w:rFonts w:ascii="Soberana Sans Light" w:eastAsia="Times New Roman" w:hAnsi="Soberana Sans Light" w:cs="Arial"/>
                <w:color w:val="000000" w:themeColor="text1"/>
                <w:lang w:val="es-ES" w:eastAsia="es-ES"/>
              </w:rPr>
            </w:pPr>
            <w:r w:rsidRPr="00BB2D42">
              <w:rPr>
                <w:rFonts w:ascii="Soberana Sans Light" w:eastAsia="Times New Roman" w:hAnsi="Soberana Sans Light" w:cs="Arial"/>
                <w:color w:val="000000" w:themeColor="text1"/>
                <w:lang w:val="es-ES" w:eastAsia="es-ES"/>
              </w:rPr>
              <w:t>102,357</w:t>
            </w:r>
          </w:p>
        </w:tc>
      </w:tr>
      <w:tr w:rsidR="009F2E87" w:rsidRPr="00AA62C9" w:rsidTr="008F43BD">
        <w:trPr>
          <w:trHeight w:val="315"/>
        </w:trPr>
        <w:tc>
          <w:tcPr>
            <w:tcW w:w="10348" w:type="dxa"/>
            <w:tcBorders>
              <w:top w:val="single" w:sz="4" w:space="0" w:color="auto"/>
              <w:left w:val="single" w:sz="4" w:space="0" w:color="auto"/>
              <w:bottom w:val="single" w:sz="4" w:space="0" w:color="auto"/>
            </w:tcBorders>
            <w:shd w:val="clear" w:color="auto" w:fill="auto"/>
            <w:noWrap/>
            <w:vAlign w:val="bottom"/>
          </w:tcPr>
          <w:p w:rsidR="009F2E87" w:rsidRPr="00AA62C9" w:rsidRDefault="009F2E87" w:rsidP="009F2E87">
            <w:pPr>
              <w:spacing w:after="0" w:line="240" w:lineRule="auto"/>
              <w:rPr>
                <w:rFonts w:ascii="Soberana Sans Light" w:eastAsia="Times New Roman" w:hAnsi="Soberana Sans Light" w:cs="Arial"/>
                <w:lang w:val="es-ES" w:eastAsia="es-ES"/>
              </w:rPr>
            </w:pPr>
            <w:r>
              <w:rPr>
                <w:rFonts w:ascii="Soberana Sans Light" w:eastAsia="Times New Roman" w:hAnsi="Soberana Sans Light" w:cs="Arial"/>
                <w:lang w:val="es-ES" w:eastAsia="es-ES"/>
              </w:rPr>
              <w:t>TOTAL</w:t>
            </w:r>
          </w:p>
        </w:tc>
        <w:tc>
          <w:tcPr>
            <w:tcW w:w="216" w:type="dxa"/>
            <w:tcBorders>
              <w:top w:val="single" w:sz="4" w:space="0" w:color="auto"/>
              <w:bottom w:val="single" w:sz="4" w:space="0" w:color="auto"/>
            </w:tcBorders>
            <w:shd w:val="clear" w:color="auto" w:fill="auto"/>
            <w:noWrap/>
            <w:vAlign w:val="bottom"/>
          </w:tcPr>
          <w:p w:rsidR="009F2E87" w:rsidRPr="00AA62C9" w:rsidRDefault="009F2E87" w:rsidP="009F2E87">
            <w:pPr>
              <w:spacing w:after="0" w:line="240" w:lineRule="auto"/>
              <w:rPr>
                <w:rFonts w:ascii="Soberana Sans Light" w:eastAsia="Times New Roman" w:hAnsi="Soberana Sans Light" w:cs="Arial"/>
                <w:lang w:val="es-ES" w:eastAsia="es-ES"/>
              </w:rPr>
            </w:pPr>
          </w:p>
        </w:tc>
        <w:tc>
          <w:tcPr>
            <w:tcW w:w="1937" w:type="dxa"/>
            <w:tcBorders>
              <w:top w:val="single" w:sz="4" w:space="0" w:color="auto"/>
              <w:left w:val="nil"/>
              <w:bottom w:val="single" w:sz="4" w:space="0" w:color="auto"/>
              <w:right w:val="single" w:sz="4" w:space="0" w:color="auto"/>
            </w:tcBorders>
            <w:shd w:val="clear" w:color="auto" w:fill="auto"/>
            <w:noWrap/>
            <w:vAlign w:val="bottom"/>
          </w:tcPr>
          <w:p w:rsidR="009F2E87" w:rsidRPr="00BB2D42" w:rsidRDefault="00BB2D42" w:rsidP="009F2E87">
            <w:pPr>
              <w:spacing w:after="0" w:line="240" w:lineRule="auto"/>
              <w:jc w:val="right"/>
              <w:rPr>
                <w:rFonts w:ascii="Soberana Sans Light" w:eastAsia="Times New Roman" w:hAnsi="Soberana Sans Light" w:cs="Arial"/>
                <w:b/>
                <w:color w:val="000000" w:themeColor="text1"/>
                <w:lang w:val="es-ES" w:eastAsia="es-ES"/>
              </w:rPr>
            </w:pPr>
            <w:r w:rsidRPr="00BB2D42">
              <w:rPr>
                <w:rFonts w:ascii="Soberana Sans Light" w:eastAsia="Times New Roman" w:hAnsi="Soberana Sans Light" w:cs="Arial"/>
                <w:b/>
                <w:color w:val="000000" w:themeColor="text1"/>
                <w:lang w:val="es-ES" w:eastAsia="es-ES"/>
              </w:rPr>
              <w:t>6,710,649</w:t>
            </w:r>
          </w:p>
        </w:tc>
      </w:tr>
    </w:tbl>
    <w:p w:rsidR="009F2E87" w:rsidRDefault="009F2E87" w:rsidP="009F2E87">
      <w:pPr>
        <w:pStyle w:val="INCISO"/>
        <w:spacing w:after="0" w:line="240" w:lineRule="exact"/>
        <w:rPr>
          <w:rFonts w:ascii="Soberana Sans Light" w:hAnsi="Soberana Sans Light"/>
          <w:sz w:val="22"/>
          <w:szCs w:val="22"/>
        </w:rPr>
      </w:pPr>
    </w:p>
    <w:p w:rsidR="009F2E87" w:rsidRDefault="009F2E87" w:rsidP="009F2E87">
      <w:pPr>
        <w:pStyle w:val="INCISO"/>
        <w:spacing w:after="0" w:line="240" w:lineRule="exact"/>
        <w:ind w:left="0" w:firstLine="0"/>
        <w:rPr>
          <w:rFonts w:ascii="Soberana Sans Light" w:hAnsi="Soberana Sans Light"/>
          <w:sz w:val="22"/>
          <w:szCs w:val="22"/>
        </w:rPr>
      </w:pPr>
    </w:p>
    <w:p w:rsidR="00293D86" w:rsidRDefault="00293D86" w:rsidP="009F2E87">
      <w:pPr>
        <w:pStyle w:val="INCISO"/>
        <w:spacing w:after="0" w:line="240" w:lineRule="exact"/>
        <w:ind w:left="0" w:firstLine="0"/>
        <w:rPr>
          <w:rFonts w:ascii="Soberana Sans Light" w:hAnsi="Soberana Sans Light"/>
          <w:sz w:val="22"/>
          <w:szCs w:val="22"/>
        </w:rPr>
      </w:pPr>
    </w:p>
    <w:p w:rsidR="00293D86" w:rsidRDefault="00293D86" w:rsidP="009F2E87">
      <w:pPr>
        <w:pStyle w:val="INCISO"/>
        <w:spacing w:after="0" w:line="240" w:lineRule="exact"/>
        <w:ind w:left="0" w:firstLine="0"/>
        <w:rPr>
          <w:rFonts w:ascii="Soberana Sans Light" w:hAnsi="Soberana Sans Light"/>
          <w:sz w:val="22"/>
          <w:szCs w:val="22"/>
        </w:rPr>
      </w:pPr>
    </w:p>
    <w:p w:rsidR="00293D86" w:rsidRDefault="00293D86" w:rsidP="009F2E87">
      <w:pPr>
        <w:pStyle w:val="INCISO"/>
        <w:spacing w:after="0" w:line="240" w:lineRule="exact"/>
        <w:ind w:left="0" w:firstLine="0"/>
        <w:rPr>
          <w:rFonts w:ascii="Soberana Sans Light" w:hAnsi="Soberana Sans Light"/>
          <w:sz w:val="22"/>
          <w:szCs w:val="22"/>
        </w:rPr>
      </w:pPr>
    </w:p>
    <w:p w:rsidR="00293D86" w:rsidRDefault="00293D86" w:rsidP="009F2E87">
      <w:pPr>
        <w:pStyle w:val="INCISO"/>
        <w:spacing w:after="0" w:line="240" w:lineRule="exact"/>
        <w:ind w:left="0" w:firstLine="0"/>
        <w:rPr>
          <w:rFonts w:ascii="Soberana Sans Light" w:hAnsi="Soberana Sans Light"/>
          <w:sz w:val="22"/>
          <w:szCs w:val="22"/>
        </w:rPr>
      </w:pPr>
    </w:p>
    <w:p w:rsidR="00293D86" w:rsidRDefault="00293D86" w:rsidP="009F2E87">
      <w:pPr>
        <w:pStyle w:val="INCISO"/>
        <w:spacing w:after="0" w:line="240" w:lineRule="exact"/>
        <w:ind w:left="0" w:firstLine="0"/>
        <w:rPr>
          <w:rFonts w:ascii="Soberana Sans Light" w:hAnsi="Soberana Sans Light"/>
          <w:sz w:val="22"/>
          <w:szCs w:val="22"/>
        </w:rPr>
      </w:pPr>
    </w:p>
    <w:p w:rsidR="00293D86" w:rsidRDefault="00293D86" w:rsidP="009F2E87">
      <w:pPr>
        <w:pStyle w:val="INCISO"/>
        <w:spacing w:after="0" w:line="240" w:lineRule="exact"/>
        <w:ind w:left="0" w:firstLine="0"/>
        <w:rPr>
          <w:rFonts w:ascii="Soberana Sans Light" w:hAnsi="Soberana Sans Light"/>
          <w:sz w:val="22"/>
          <w:szCs w:val="22"/>
        </w:rPr>
      </w:pPr>
    </w:p>
    <w:p w:rsidR="00293D86" w:rsidRDefault="00293D86" w:rsidP="009F2E87">
      <w:pPr>
        <w:pStyle w:val="INCISO"/>
        <w:spacing w:after="0" w:line="240" w:lineRule="exact"/>
        <w:ind w:left="0" w:firstLine="0"/>
        <w:rPr>
          <w:rFonts w:ascii="Soberana Sans Light" w:hAnsi="Soberana Sans Light"/>
          <w:sz w:val="22"/>
          <w:szCs w:val="22"/>
        </w:rPr>
      </w:pPr>
    </w:p>
    <w:p w:rsidR="00293D86" w:rsidRDefault="00293D86" w:rsidP="009F2E87">
      <w:pPr>
        <w:pStyle w:val="INCISO"/>
        <w:spacing w:after="0" w:line="240" w:lineRule="exact"/>
        <w:ind w:left="0" w:firstLine="0"/>
        <w:rPr>
          <w:rFonts w:ascii="Soberana Sans Light" w:hAnsi="Soberana Sans Light"/>
          <w:sz w:val="22"/>
          <w:szCs w:val="22"/>
        </w:rPr>
      </w:pPr>
    </w:p>
    <w:p w:rsidR="00293D86" w:rsidRDefault="00293D86" w:rsidP="009F2E87">
      <w:pPr>
        <w:pStyle w:val="INCISO"/>
        <w:spacing w:after="0" w:line="240" w:lineRule="exact"/>
        <w:ind w:left="0" w:firstLine="0"/>
        <w:rPr>
          <w:rFonts w:ascii="Soberana Sans Light" w:hAnsi="Soberana Sans Light"/>
          <w:sz w:val="22"/>
          <w:szCs w:val="22"/>
        </w:rPr>
      </w:pPr>
    </w:p>
    <w:p w:rsidR="00293D86" w:rsidRDefault="00293D86" w:rsidP="009F2E87">
      <w:pPr>
        <w:pStyle w:val="INCISO"/>
        <w:spacing w:after="0" w:line="240" w:lineRule="exact"/>
        <w:ind w:left="0" w:firstLine="0"/>
        <w:rPr>
          <w:rFonts w:ascii="Soberana Sans Light" w:hAnsi="Soberana Sans Light"/>
          <w:sz w:val="22"/>
          <w:szCs w:val="22"/>
        </w:rPr>
      </w:pPr>
    </w:p>
    <w:p w:rsidR="00293D86" w:rsidRDefault="00293D86" w:rsidP="009F2E87">
      <w:pPr>
        <w:pStyle w:val="INCISO"/>
        <w:spacing w:after="0" w:line="240" w:lineRule="exact"/>
        <w:ind w:left="0" w:firstLine="0"/>
        <w:rPr>
          <w:rFonts w:ascii="Soberana Sans Light" w:hAnsi="Soberana Sans Light"/>
          <w:sz w:val="22"/>
          <w:szCs w:val="22"/>
        </w:rPr>
      </w:pPr>
    </w:p>
    <w:p w:rsidR="00293D86" w:rsidRDefault="00293D86" w:rsidP="009F2E87">
      <w:pPr>
        <w:pStyle w:val="INCISO"/>
        <w:spacing w:after="0" w:line="240" w:lineRule="exact"/>
        <w:ind w:left="0" w:firstLine="0"/>
        <w:rPr>
          <w:rFonts w:ascii="Soberana Sans Light" w:hAnsi="Soberana Sans Light"/>
          <w:sz w:val="22"/>
          <w:szCs w:val="22"/>
        </w:rPr>
      </w:pPr>
    </w:p>
    <w:p w:rsidR="00293D86" w:rsidRDefault="00293D86" w:rsidP="009F2E87">
      <w:pPr>
        <w:pStyle w:val="INCISO"/>
        <w:spacing w:after="0" w:line="240" w:lineRule="exact"/>
        <w:ind w:left="709" w:firstLine="0"/>
        <w:rPr>
          <w:rFonts w:ascii="Soberana Sans Light" w:hAnsi="Soberana Sans Light"/>
          <w:sz w:val="22"/>
          <w:szCs w:val="22"/>
        </w:rPr>
      </w:pPr>
    </w:p>
    <w:p w:rsidR="009F2E87" w:rsidRPr="00540418" w:rsidRDefault="009F2E87" w:rsidP="009F2E87">
      <w:pPr>
        <w:pStyle w:val="INCISO"/>
        <w:spacing w:after="0" w:line="240" w:lineRule="exact"/>
        <w:ind w:left="709" w:firstLine="0"/>
        <w:rPr>
          <w:rFonts w:ascii="Soberana Sans Light" w:hAnsi="Soberana Sans Light"/>
          <w:sz w:val="22"/>
          <w:szCs w:val="22"/>
        </w:rPr>
      </w:pPr>
      <w:r>
        <w:rPr>
          <w:rFonts w:ascii="Soberana Sans Light" w:hAnsi="Soberana Sans Light"/>
          <w:sz w:val="22"/>
          <w:szCs w:val="22"/>
        </w:rPr>
        <w:t>Las tablas de ingresos propios fueron incrementadas por Acuerdo del Consejo Directivo durante el ejercicio 2014, lo que provocó una mejor y mayor recaudación de Derechos para la Universidad. Por otra parte, las inversiones bancarias realizadas han generado productos que se ven reflejados en el rubro de intereses.</w:t>
      </w:r>
    </w:p>
    <w:p w:rsidR="009F2E87" w:rsidRDefault="009F2E87" w:rsidP="009F2E87">
      <w:pPr>
        <w:pStyle w:val="INCISO"/>
        <w:spacing w:after="0" w:line="240" w:lineRule="exact"/>
        <w:ind w:left="0" w:firstLine="0"/>
        <w:rPr>
          <w:rFonts w:ascii="Soberana Sans Light" w:hAnsi="Soberana Sans Light"/>
          <w:sz w:val="22"/>
          <w:szCs w:val="22"/>
        </w:rPr>
      </w:pPr>
    </w:p>
    <w:p w:rsidR="00293D86" w:rsidRPr="00540418" w:rsidRDefault="00293D86" w:rsidP="009F2E87">
      <w:pPr>
        <w:pStyle w:val="INCISO"/>
        <w:spacing w:after="0" w:line="240" w:lineRule="exact"/>
        <w:ind w:left="0" w:firstLine="0"/>
        <w:rPr>
          <w:rFonts w:ascii="Soberana Sans Light" w:hAnsi="Soberana Sans Light"/>
          <w:sz w:val="22"/>
          <w:szCs w:val="22"/>
        </w:rPr>
      </w:pPr>
    </w:p>
    <w:p w:rsidR="009F2E87" w:rsidRPr="00540418" w:rsidRDefault="009F2E87" w:rsidP="009F2E87">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11.</w:t>
      </w:r>
      <w:r w:rsidRPr="00540418">
        <w:rPr>
          <w:rFonts w:ascii="Soberana Sans Light" w:hAnsi="Soberana Sans Light"/>
          <w:b/>
          <w:sz w:val="22"/>
          <w:szCs w:val="22"/>
          <w:lang w:val="es-MX"/>
        </w:rPr>
        <w:tab/>
        <w:t>Información sobre la Deuda y el Reporte Analítico de la Deuda</w:t>
      </w:r>
    </w:p>
    <w:p w:rsidR="009F2E87" w:rsidRPr="00540418" w:rsidRDefault="009F2E87" w:rsidP="009F2E87">
      <w:pPr>
        <w:pStyle w:val="INCISO"/>
        <w:spacing w:after="0" w:line="240" w:lineRule="exact"/>
        <w:rPr>
          <w:rFonts w:ascii="Soberana Sans Light" w:hAnsi="Soberana Sans Light"/>
          <w:sz w:val="22"/>
          <w:szCs w:val="22"/>
          <w:lang w:val="es-MX"/>
        </w:rPr>
      </w:pPr>
      <w:r>
        <w:rPr>
          <w:rFonts w:ascii="Soberana Sans Light" w:hAnsi="Soberana Sans Light"/>
          <w:sz w:val="22"/>
          <w:szCs w:val="22"/>
          <w:lang w:val="es-MX"/>
        </w:rPr>
        <w:t>No aplica.</w:t>
      </w:r>
    </w:p>
    <w:p w:rsidR="009F2E87" w:rsidRDefault="009F2E87" w:rsidP="009F2E87">
      <w:pPr>
        <w:pStyle w:val="INCISO"/>
        <w:spacing w:after="0" w:line="240" w:lineRule="exact"/>
        <w:rPr>
          <w:rFonts w:ascii="Soberana Sans Light" w:hAnsi="Soberana Sans Light"/>
          <w:sz w:val="22"/>
          <w:szCs w:val="22"/>
          <w:lang w:val="es-MX"/>
        </w:rPr>
      </w:pPr>
    </w:p>
    <w:p w:rsidR="00293D86" w:rsidRPr="00540418" w:rsidRDefault="00293D86" w:rsidP="009F2E87">
      <w:pPr>
        <w:pStyle w:val="INCISO"/>
        <w:spacing w:after="0" w:line="240" w:lineRule="exact"/>
        <w:rPr>
          <w:rFonts w:ascii="Soberana Sans Light" w:hAnsi="Soberana Sans Light"/>
          <w:sz w:val="22"/>
          <w:szCs w:val="22"/>
          <w:lang w:val="es-MX"/>
        </w:rPr>
      </w:pPr>
    </w:p>
    <w:p w:rsidR="009F2E87" w:rsidRPr="00540418" w:rsidRDefault="009F2E87" w:rsidP="009F2E87">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12. Calificaciones otorgadas</w:t>
      </w:r>
    </w:p>
    <w:p w:rsidR="009F2E87" w:rsidRPr="00540418" w:rsidRDefault="009F2E87" w:rsidP="009F2E87">
      <w:pPr>
        <w:pStyle w:val="Texto"/>
        <w:spacing w:after="0" w:line="240" w:lineRule="exact"/>
        <w:rPr>
          <w:rFonts w:ascii="Soberana Sans Light" w:hAnsi="Soberana Sans Light"/>
          <w:sz w:val="22"/>
          <w:szCs w:val="22"/>
        </w:rPr>
      </w:pPr>
      <w:r>
        <w:rPr>
          <w:rFonts w:ascii="Soberana Sans Light" w:hAnsi="Soberana Sans Light"/>
          <w:sz w:val="22"/>
          <w:szCs w:val="22"/>
        </w:rPr>
        <w:t xml:space="preserve">        No aplica.</w:t>
      </w:r>
    </w:p>
    <w:p w:rsidR="009F2E87" w:rsidRDefault="009F2E87" w:rsidP="009F2E87">
      <w:pPr>
        <w:pStyle w:val="Texto"/>
        <w:spacing w:after="0" w:line="240" w:lineRule="exact"/>
        <w:rPr>
          <w:rFonts w:ascii="Soberana Sans Light" w:hAnsi="Soberana Sans Light"/>
          <w:sz w:val="22"/>
          <w:szCs w:val="22"/>
        </w:rPr>
      </w:pPr>
    </w:p>
    <w:p w:rsidR="00293D86" w:rsidRPr="00540418" w:rsidRDefault="00293D86" w:rsidP="009F2E87">
      <w:pPr>
        <w:pStyle w:val="Texto"/>
        <w:spacing w:after="0" w:line="240" w:lineRule="exact"/>
        <w:rPr>
          <w:rFonts w:ascii="Soberana Sans Light" w:hAnsi="Soberana Sans Light"/>
          <w:sz w:val="22"/>
          <w:szCs w:val="22"/>
        </w:rPr>
      </w:pPr>
    </w:p>
    <w:p w:rsidR="009F2E87" w:rsidRPr="00540418" w:rsidRDefault="009F2E87" w:rsidP="009F2E87">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13.</w:t>
      </w:r>
      <w:r w:rsidRPr="00540418">
        <w:rPr>
          <w:rFonts w:ascii="Soberana Sans Light" w:hAnsi="Soberana Sans Light"/>
          <w:b/>
          <w:sz w:val="22"/>
          <w:szCs w:val="22"/>
          <w:lang w:val="es-MX"/>
        </w:rPr>
        <w:tab/>
        <w:t>Proceso de Mejora</w:t>
      </w:r>
    </w:p>
    <w:p w:rsidR="009F2E87" w:rsidRPr="00540418" w:rsidRDefault="009F2E87" w:rsidP="009F2E87">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de:</w:t>
      </w:r>
    </w:p>
    <w:p w:rsidR="009F2E87" w:rsidRPr="00540418" w:rsidRDefault="009F2E87" w:rsidP="009F2E87">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Principales Políticas de control interno</w:t>
      </w:r>
    </w:p>
    <w:p w:rsidR="009F2E87" w:rsidRPr="00540418" w:rsidRDefault="009F2E87" w:rsidP="009F2E87">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Medidas de desempeño financiero, metas y alcance.</w:t>
      </w:r>
    </w:p>
    <w:p w:rsidR="009F2E87" w:rsidRDefault="009F2E87" w:rsidP="009F2E87">
      <w:pPr>
        <w:pStyle w:val="INCISO"/>
        <w:spacing w:after="0" w:line="240" w:lineRule="exact"/>
        <w:rPr>
          <w:rFonts w:ascii="Soberana Sans Light" w:hAnsi="Soberana Sans Light"/>
          <w:sz w:val="22"/>
          <w:szCs w:val="22"/>
        </w:rPr>
      </w:pPr>
    </w:p>
    <w:p w:rsidR="008F43BD" w:rsidRPr="00540418" w:rsidRDefault="008F43BD" w:rsidP="009F2E87">
      <w:pPr>
        <w:pStyle w:val="INCISO"/>
        <w:spacing w:after="0" w:line="240" w:lineRule="exact"/>
        <w:rPr>
          <w:rFonts w:ascii="Soberana Sans Light" w:hAnsi="Soberana Sans Light"/>
          <w:sz w:val="22"/>
          <w:szCs w:val="22"/>
        </w:rPr>
      </w:pPr>
    </w:p>
    <w:p w:rsidR="009F2E87" w:rsidRPr="00540418" w:rsidRDefault="009F2E87" w:rsidP="009F2E87">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14.</w:t>
      </w:r>
      <w:r w:rsidRPr="00540418">
        <w:rPr>
          <w:rFonts w:ascii="Soberana Sans Light" w:hAnsi="Soberana Sans Light"/>
          <w:b/>
          <w:sz w:val="22"/>
          <w:szCs w:val="22"/>
          <w:lang w:val="es-MX"/>
        </w:rPr>
        <w:tab/>
        <w:t>Información por Segmentos</w:t>
      </w:r>
    </w:p>
    <w:p w:rsidR="009F2E87" w:rsidRPr="00540418" w:rsidRDefault="009F2E87" w:rsidP="009F2E87">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No aplica.</w:t>
      </w:r>
    </w:p>
    <w:p w:rsidR="009F2E87" w:rsidRDefault="009F2E87" w:rsidP="009F2E87">
      <w:pPr>
        <w:pStyle w:val="Texto"/>
        <w:spacing w:after="0" w:line="240" w:lineRule="exact"/>
        <w:rPr>
          <w:rFonts w:ascii="Soberana Sans Light" w:hAnsi="Soberana Sans Light"/>
          <w:sz w:val="22"/>
          <w:szCs w:val="22"/>
          <w:lang w:val="es-MX"/>
        </w:rPr>
      </w:pPr>
    </w:p>
    <w:p w:rsidR="00293D86" w:rsidRDefault="00293D86" w:rsidP="009F2E87">
      <w:pPr>
        <w:pStyle w:val="Texto"/>
        <w:spacing w:after="0" w:line="240" w:lineRule="exact"/>
        <w:rPr>
          <w:rFonts w:ascii="Soberana Sans Light" w:hAnsi="Soberana Sans Light"/>
          <w:sz w:val="22"/>
          <w:szCs w:val="22"/>
          <w:lang w:val="es-MX"/>
        </w:rPr>
      </w:pPr>
    </w:p>
    <w:p w:rsidR="00293D86" w:rsidRDefault="00293D86" w:rsidP="009F2E87">
      <w:pPr>
        <w:pStyle w:val="Texto"/>
        <w:spacing w:after="0" w:line="240" w:lineRule="exact"/>
        <w:rPr>
          <w:rFonts w:ascii="Soberana Sans Light" w:hAnsi="Soberana Sans Light"/>
          <w:sz w:val="22"/>
          <w:szCs w:val="22"/>
          <w:lang w:val="es-MX"/>
        </w:rPr>
      </w:pPr>
    </w:p>
    <w:p w:rsidR="00293D86" w:rsidRDefault="00293D86" w:rsidP="009F2E87">
      <w:pPr>
        <w:pStyle w:val="Texto"/>
        <w:spacing w:after="0" w:line="240" w:lineRule="exact"/>
        <w:rPr>
          <w:rFonts w:ascii="Soberana Sans Light" w:hAnsi="Soberana Sans Light"/>
          <w:sz w:val="22"/>
          <w:szCs w:val="22"/>
          <w:lang w:val="es-MX"/>
        </w:rPr>
      </w:pPr>
    </w:p>
    <w:p w:rsidR="00293D86" w:rsidRDefault="00293D86" w:rsidP="009F2E87">
      <w:pPr>
        <w:pStyle w:val="Texto"/>
        <w:spacing w:after="0" w:line="240" w:lineRule="exact"/>
        <w:rPr>
          <w:rFonts w:ascii="Soberana Sans Light" w:hAnsi="Soberana Sans Light"/>
          <w:sz w:val="22"/>
          <w:szCs w:val="22"/>
          <w:lang w:val="es-MX"/>
        </w:rPr>
      </w:pPr>
    </w:p>
    <w:p w:rsidR="00293D86" w:rsidRDefault="00293D86" w:rsidP="009F2E87">
      <w:pPr>
        <w:pStyle w:val="Texto"/>
        <w:spacing w:after="0" w:line="240" w:lineRule="exact"/>
        <w:rPr>
          <w:rFonts w:ascii="Soberana Sans Light" w:hAnsi="Soberana Sans Light"/>
          <w:sz w:val="22"/>
          <w:szCs w:val="22"/>
          <w:lang w:val="es-MX"/>
        </w:rPr>
      </w:pPr>
    </w:p>
    <w:p w:rsidR="00293D86" w:rsidRDefault="00293D86" w:rsidP="009F2E87">
      <w:pPr>
        <w:pStyle w:val="Texto"/>
        <w:spacing w:after="0" w:line="240" w:lineRule="exact"/>
        <w:rPr>
          <w:rFonts w:ascii="Soberana Sans Light" w:hAnsi="Soberana Sans Light"/>
          <w:sz w:val="22"/>
          <w:szCs w:val="22"/>
          <w:lang w:val="es-MX"/>
        </w:rPr>
      </w:pPr>
    </w:p>
    <w:p w:rsidR="00293D86" w:rsidRDefault="00293D86" w:rsidP="009F2E87">
      <w:pPr>
        <w:pStyle w:val="Texto"/>
        <w:spacing w:after="0" w:line="240" w:lineRule="exact"/>
        <w:rPr>
          <w:rFonts w:ascii="Soberana Sans Light" w:hAnsi="Soberana Sans Light"/>
          <w:sz w:val="22"/>
          <w:szCs w:val="22"/>
          <w:lang w:val="es-MX"/>
        </w:rPr>
      </w:pPr>
    </w:p>
    <w:p w:rsidR="00293D86" w:rsidRDefault="00293D86" w:rsidP="009F2E87">
      <w:pPr>
        <w:pStyle w:val="Texto"/>
        <w:spacing w:after="0" w:line="240" w:lineRule="exact"/>
        <w:rPr>
          <w:rFonts w:ascii="Soberana Sans Light" w:hAnsi="Soberana Sans Light"/>
          <w:sz w:val="22"/>
          <w:szCs w:val="22"/>
          <w:lang w:val="es-MX"/>
        </w:rPr>
      </w:pPr>
    </w:p>
    <w:p w:rsidR="00293D86" w:rsidRDefault="00293D86" w:rsidP="009F2E87">
      <w:pPr>
        <w:pStyle w:val="Texto"/>
        <w:spacing w:after="0" w:line="240" w:lineRule="exact"/>
        <w:rPr>
          <w:rFonts w:ascii="Soberana Sans Light" w:hAnsi="Soberana Sans Light"/>
          <w:sz w:val="22"/>
          <w:szCs w:val="22"/>
          <w:lang w:val="es-MX"/>
        </w:rPr>
      </w:pPr>
    </w:p>
    <w:p w:rsidR="00293D86" w:rsidRDefault="00293D86" w:rsidP="009F2E87">
      <w:pPr>
        <w:pStyle w:val="Texto"/>
        <w:spacing w:after="0" w:line="240" w:lineRule="exact"/>
        <w:rPr>
          <w:rFonts w:ascii="Soberana Sans Light" w:hAnsi="Soberana Sans Light"/>
          <w:sz w:val="22"/>
          <w:szCs w:val="22"/>
          <w:lang w:val="es-MX"/>
        </w:rPr>
      </w:pPr>
    </w:p>
    <w:p w:rsidR="00293D86" w:rsidRDefault="00293D86" w:rsidP="009F2E87">
      <w:pPr>
        <w:pStyle w:val="Texto"/>
        <w:spacing w:after="0" w:line="240" w:lineRule="exact"/>
        <w:rPr>
          <w:rFonts w:ascii="Soberana Sans Light" w:hAnsi="Soberana Sans Light"/>
          <w:sz w:val="22"/>
          <w:szCs w:val="22"/>
          <w:lang w:val="es-MX"/>
        </w:rPr>
      </w:pPr>
    </w:p>
    <w:p w:rsidR="00293D86" w:rsidRDefault="00293D86" w:rsidP="009F2E87">
      <w:pPr>
        <w:pStyle w:val="Texto"/>
        <w:spacing w:after="0" w:line="240" w:lineRule="exact"/>
        <w:rPr>
          <w:rFonts w:ascii="Soberana Sans Light" w:hAnsi="Soberana Sans Light"/>
          <w:sz w:val="22"/>
          <w:szCs w:val="22"/>
          <w:lang w:val="es-MX"/>
        </w:rPr>
      </w:pPr>
    </w:p>
    <w:p w:rsidR="00293D86" w:rsidRDefault="00293D86" w:rsidP="009F2E87">
      <w:pPr>
        <w:pStyle w:val="Texto"/>
        <w:spacing w:after="0" w:line="240" w:lineRule="exact"/>
        <w:rPr>
          <w:rFonts w:ascii="Soberana Sans Light" w:hAnsi="Soberana Sans Light"/>
          <w:sz w:val="22"/>
          <w:szCs w:val="22"/>
          <w:lang w:val="es-MX"/>
        </w:rPr>
      </w:pPr>
    </w:p>
    <w:p w:rsidR="00293D86" w:rsidRDefault="00293D86" w:rsidP="009F2E87">
      <w:pPr>
        <w:pStyle w:val="Texto"/>
        <w:spacing w:after="0" w:line="240" w:lineRule="exact"/>
        <w:rPr>
          <w:rFonts w:ascii="Soberana Sans Light" w:hAnsi="Soberana Sans Light"/>
          <w:sz w:val="22"/>
          <w:szCs w:val="22"/>
          <w:lang w:val="es-MX"/>
        </w:rPr>
      </w:pPr>
    </w:p>
    <w:p w:rsidR="00293D86" w:rsidRDefault="00293D86" w:rsidP="009F2E87">
      <w:pPr>
        <w:pStyle w:val="Texto"/>
        <w:spacing w:after="0" w:line="240" w:lineRule="exact"/>
        <w:rPr>
          <w:rFonts w:ascii="Soberana Sans Light" w:hAnsi="Soberana Sans Light"/>
          <w:sz w:val="22"/>
          <w:szCs w:val="22"/>
          <w:lang w:val="es-MX"/>
        </w:rPr>
      </w:pPr>
    </w:p>
    <w:p w:rsidR="00293D86" w:rsidRDefault="00293D86" w:rsidP="009F2E87">
      <w:pPr>
        <w:pStyle w:val="Texto"/>
        <w:spacing w:after="0" w:line="240" w:lineRule="exact"/>
        <w:rPr>
          <w:rFonts w:ascii="Soberana Sans Light" w:hAnsi="Soberana Sans Light"/>
          <w:sz w:val="22"/>
          <w:szCs w:val="22"/>
          <w:lang w:val="es-MX"/>
        </w:rPr>
      </w:pPr>
    </w:p>
    <w:p w:rsidR="00293D86" w:rsidRDefault="00293D86" w:rsidP="009F2E87">
      <w:pPr>
        <w:pStyle w:val="Texto"/>
        <w:spacing w:after="0" w:line="240" w:lineRule="exact"/>
        <w:rPr>
          <w:rFonts w:ascii="Soberana Sans Light" w:hAnsi="Soberana Sans Light"/>
          <w:sz w:val="22"/>
          <w:szCs w:val="22"/>
          <w:lang w:val="es-MX"/>
        </w:rPr>
      </w:pPr>
    </w:p>
    <w:p w:rsidR="00293D86" w:rsidRDefault="00293D86" w:rsidP="009F2E87">
      <w:pPr>
        <w:pStyle w:val="Texto"/>
        <w:spacing w:after="0" w:line="240" w:lineRule="exact"/>
        <w:rPr>
          <w:rFonts w:ascii="Soberana Sans Light" w:hAnsi="Soberana Sans Light"/>
          <w:sz w:val="22"/>
          <w:szCs w:val="22"/>
          <w:lang w:val="es-MX"/>
        </w:rPr>
      </w:pPr>
    </w:p>
    <w:p w:rsidR="00293D86" w:rsidRDefault="00293D86" w:rsidP="00E70878">
      <w:pPr>
        <w:pStyle w:val="Texto"/>
        <w:spacing w:after="0" w:line="240" w:lineRule="exact"/>
        <w:ind w:firstLine="0"/>
        <w:rPr>
          <w:rFonts w:ascii="Soberana Sans Light" w:hAnsi="Soberana Sans Light"/>
          <w:sz w:val="22"/>
          <w:szCs w:val="22"/>
          <w:lang w:val="es-MX"/>
        </w:rPr>
      </w:pPr>
      <w:bookmarkStart w:id="0" w:name="_GoBack"/>
      <w:bookmarkEnd w:id="0"/>
    </w:p>
    <w:p w:rsidR="00293D86" w:rsidRPr="00540418" w:rsidRDefault="00293D86" w:rsidP="009F2E87">
      <w:pPr>
        <w:pStyle w:val="Texto"/>
        <w:spacing w:after="0" w:line="240" w:lineRule="exact"/>
        <w:rPr>
          <w:rFonts w:ascii="Soberana Sans Light" w:hAnsi="Soberana Sans Light"/>
          <w:sz w:val="22"/>
          <w:szCs w:val="22"/>
          <w:lang w:val="es-MX"/>
        </w:rPr>
      </w:pPr>
    </w:p>
    <w:p w:rsidR="009F2E87" w:rsidRPr="00540418" w:rsidRDefault="009F2E87" w:rsidP="009F2E87">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15.</w:t>
      </w:r>
      <w:r w:rsidRPr="00540418">
        <w:rPr>
          <w:rFonts w:ascii="Soberana Sans Light" w:hAnsi="Soberana Sans Light"/>
          <w:b/>
          <w:sz w:val="22"/>
          <w:szCs w:val="22"/>
          <w:lang w:val="es-MX"/>
        </w:rPr>
        <w:tab/>
        <w:t>Eventos Posteriores al Cierre</w:t>
      </w:r>
    </w:p>
    <w:p w:rsidR="009F2E87" w:rsidRPr="00540418" w:rsidRDefault="009F2E87" w:rsidP="009F2E87">
      <w:pPr>
        <w:pStyle w:val="Texto"/>
        <w:spacing w:after="0" w:line="240" w:lineRule="exact"/>
        <w:rPr>
          <w:rFonts w:ascii="Soberana Sans Light" w:hAnsi="Soberana Sans Light"/>
          <w:sz w:val="22"/>
          <w:szCs w:val="22"/>
        </w:rPr>
      </w:pPr>
      <w:r>
        <w:rPr>
          <w:rFonts w:ascii="Soberana Sans Light" w:hAnsi="Soberana Sans Light"/>
          <w:sz w:val="22"/>
          <w:szCs w:val="22"/>
        </w:rPr>
        <w:t>A la fecha de este documento no se han presentado Eventos Posteriores al cierre que cambien de manera significativa la información financiera presentada en este documento.</w:t>
      </w:r>
    </w:p>
    <w:p w:rsidR="009F2E87" w:rsidRDefault="009F2E87" w:rsidP="009F2E87">
      <w:pPr>
        <w:pStyle w:val="Texto"/>
        <w:spacing w:after="0" w:line="240" w:lineRule="exact"/>
        <w:ind w:firstLine="0"/>
        <w:rPr>
          <w:rFonts w:ascii="Soberana Sans Light" w:hAnsi="Soberana Sans Light"/>
          <w:sz w:val="22"/>
          <w:szCs w:val="22"/>
        </w:rPr>
      </w:pPr>
    </w:p>
    <w:p w:rsidR="00293D86" w:rsidRPr="00540418" w:rsidRDefault="00293D86" w:rsidP="009F2E87">
      <w:pPr>
        <w:pStyle w:val="Texto"/>
        <w:spacing w:after="0" w:line="240" w:lineRule="exact"/>
        <w:ind w:firstLine="0"/>
        <w:rPr>
          <w:rFonts w:ascii="Soberana Sans Light" w:hAnsi="Soberana Sans Light"/>
          <w:sz w:val="22"/>
          <w:szCs w:val="22"/>
        </w:rPr>
      </w:pPr>
    </w:p>
    <w:p w:rsidR="009F2E87" w:rsidRPr="00540418" w:rsidRDefault="009F2E87" w:rsidP="009F2E87">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16.</w:t>
      </w:r>
      <w:r w:rsidRPr="00540418">
        <w:rPr>
          <w:rFonts w:ascii="Soberana Sans Light" w:hAnsi="Soberana Sans Light"/>
          <w:b/>
          <w:sz w:val="22"/>
          <w:szCs w:val="22"/>
          <w:lang w:val="es-MX"/>
        </w:rPr>
        <w:tab/>
        <w:t>Partes Relacionadas</w:t>
      </w:r>
    </w:p>
    <w:p w:rsidR="009F2E87" w:rsidRDefault="009F2E87" w:rsidP="009F2E87">
      <w:pPr>
        <w:pStyle w:val="Texto"/>
        <w:spacing w:after="0" w:line="240" w:lineRule="exact"/>
        <w:rPr>
          <w:rFonts w:ascii="Soberana Sans Light" w:hAnsi="Soberana Sans Light"/>
          <w:sz w:val="22"/>
          <w:szCs w:val="22"/>
        </w:rPr>
      </w:pPr>
      <w:r>
        <w:rPr>
          <w:rFonts w:ascii="Soberana Sans Light" w:hAnsi="Soberana Sans Light"/>
          <w:sz w:val="22"/>
          <w:szCs w:val="22"/>
        </w:rPr>
        <w:t>No aplica.</w:t>
      </w:r>
    </w:p>
    <w:p w:rsidR="009F2E87" w:rsidRDefault="009F2E87" w:rsidP="009F2E87">
      <w:pPr>
        <w:pStyle w:val="Texto"/>
        <w:spacing w:after="0" w:line="240" w:lineRule="exact"/>
        <w:rPr>
          <w:rFonts w:ascii="Soberana Sans Light" w:hAnsi="Soberana Sans Light"/>
          <w:sz w:val="22"/>
          <w:szCs w:val="22"/>
        </w:rPr>
      </w:pPr>
    </w:p>
    <w:p w:rsidR="00293D86" w:rsidRDefault="00293D86" w:rsidP="009F2E87">
      <w:pPr>
        <w:pStyle w:val="Texto"/>
        <w:spacing w:after="0" w:line="240" w:lineRule="exact"/>
        <w:rPr>
          <w:rFonts w:ascii="Soberana Sans Light" w:hAnsi="Soberana Sans Light"/>
          <w:sz w:val="22"/>
          <w:szCs w:val="22"/>
        </w:rPr>
      </w:pPr>
    </w:p>
    <w:p w:rsidR="009F2E87" w:rsidRPr="00574266" w:rsidRDefault="009F2E87" w:rsidP="009F2E87">
      <w:pPr>
        <w:pStyle w:val="Texto"/>
        <w:spacing w:after="0" w:line="240" w:lineRule="auto"/>
        <w:ind w:firstLine="289"/>
        <w:rPr>
          <w:rFonts w:ascii="Soberana Sans Light" w:hAnsi="Soberana Sans Light"/>
          <w:b/>
          <w:sz w:val="22"/>
          <w:szCs w:val="22"/>
          <w:lang w:val="es-MX"/>
        </w:rPr>
      </w:pPr>
      <w:r w:rsidRPr="00574266">
        <w:rPr>
          <w:rFonts w:ascii="Soberana Sans Light" w:hAnsi="Soberana Sans Light"/>
          <w:b/>
          <w:sz w:val="22"/>
          <w:szCs w:val="22"/>
          <w:lang w:val="es-MX"/>
        </w:rPr>
        <w:t>17.</w:t>
      </w:r>
      <w:r w:rsidRPr="00574266">
        <w:rPr>
          <w:rFonts w:ascii="Soberana Sans Light" w:hAnsi="Soberana Sans Light"/>
          <w:b/>
          <w:sz w:val="22"/>
          <w:szCs w:val="22"/>
          <w:lang w:val="es-MX"/>
        </w:rPr>
        <w:tab/>
        <w:t>Responsabilidad Sobre la Presentación Razonable de la Información Contable</w:t>
      </w:r>
    </w:p>
    <w:p w:rsidR="009F2E87" w:rsidRPr="00574266" w:rsidRDefault="009F2E87" w:rsidP="009F2E87">
      <w:pPr>
        <w:pStyle w:val="Texto"/>
        <w:spacing w:line="240" w:lineRule="auto"/>
        <w:rPr>
          <w:rFonts w:ascii="Soberana Sans Light" w:hAnsi="Soberana Sans Light"/>
          <w:sz w:val="22"/>
          <w:szCs w:val="22"/>
        </w:rPr>
      </w:pPr>
      <w:r w:rsidRPr="00574266">
        <w:rPr>
          <w:rFonts w:ascii="Soberana Sans Light" w:hAnsi="Soberana Sans Light"/>
          <w:sz w:val="22"/>
          <w:szCs w:val="22"/>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9F2E87" w:rsidRPr="00574266" w:rsidRDefault="009F2E87" w:rsidP="009F2E87">
      <w:pPr>
        <w:pStyle w:val="Texto"/>
        <w:spacing w:after="0" w:line="240" w:lineRule="exact"/>
        <w:rPr>
          <w:rFonts w:ascii="Soberana Sans Light" w:hAnsi="Soberana Sans Light"/>
          <w:sz w:val="22"/>
          <w:szCs w:val="22"/>
        </w:rPr>
      </w:pPr>
    </w:p>
    <w:p w:rsidR="006F6E79" w:rsidRPr="000C4846" w:rsidRDefault="006F6E79" w:rsidP="00B12089">
      <w:pPr>
        <w:spacing w:after="0" w:line="240" w:lineRule="exact"/>
        <w:ind w:firstLine="288"/>
        <w:jc w:val="both"/>
        <w:rPr>
          <w:rFonts w:ascii="Arial" w:eastAsia="Times New Roman" w:hAnsi="Arial" w:cs="Arial"/>
          <w:sz w:val="18"/>
          <w:szCs w:val="18"/>
          <w:lang w:val="es-ES" w:eastAsia="es-ES"/>
        </w:rPr>
      </w:pPr>
    </w:p>
    <w:p w:rsidR="006F6E79" w:rsidRPr="000C4846" w:rsidRDefault="006F6E79" w:rsidP="00B12089">
      <w:pPr>
        <w:spacing w:after="0" w:line="240" w:lineRule="exact"/>
        <w:ind w:firstLine="288"/>
        <w:jc w:val="both"/>
        <w:rPr>
          <w:rFonts w:ascii="Arial" w:eastAsia="Times New Roman" w:hAnsi="Arial" w:cs="Arial"/>
          <w:sz w:val="18"/>
          <w:szCs w:val="18"/>
          <w:lang w:val="es-ES" w:eastAsia="es-ES"/>
        </w:rPr>
      </w:pPr>
    </w:p>
    <w:p w:rsidR="006F6E79" w:rsidRPr="000C4846" w:rsidRDefault="006F6E79" w:rsidP="00B12089">
      <w:pPr>
        <w:spacing w:after="0" w:line="240" w:lineRule="exact"/>
        <w:ind w:firstLine="288"/>
        <w:jc w:val="both"/>
        <w:rPr>
          <w:rFonts w:ascii="Arial" w:eastAsia="Times New Roman" w:hAnsi="Arial" w:cs="Arial"/>
          <w:sz w:val="18"/>
          <w:szCs w:val="18"/>
          <w:lang w:val="es-ES" w:eastAsia="es-ES"/>
        </w:rPr>
      </w:pPr>
    </w:p>
    <w:p w:rsidR="00B12089" w:rsidRPr="000C4846" w:rsidRDefault="00482349" w:rsidP="00B12089">
      <w:pPr>
        <w:spacing w:after="0" w:line="240" w:lineRule="exact"/>
        <w:ind w:firstLine="288"/>
        <w:jc w:val="both"/>
        <w:rPr>
          <w:rFonts w:ascii="Arial" w:eastAsia="Times New Roman" w:hAnsi="Arial" w:cs="Arial"/>
          <w:sz w:val="18"/>
          <w:szCs w:val="18"/>
          <w:lang w:val="es-ES" w:eastAsia="es-ES"/>
        </w:rPr>
      </w:pPr>
      <w:r>
        <w:rPr>
          <w:rFonts w:ascii="Arial" w:eastAsia="Times New Roman" w:hAnsi="Arial" w:cs="Arial"/>
          <w:noProof/>
          <w:sz w:val="18"/>
          <w:szCs w:val="18"/>
          <w:lang w:val="es-ES" w:eastAsia="es-ES"/>
        </w:rPr>
        <w:object w:dxaOrig="1440" w:dyaOrig="1440">
          <v:shape id="_x0000_s1046" type="#_x0000_t75" style="position:absolute;left:0;text-align:left;margin-left:-21.35pt;margin-top:13.75pt;width:747.35pt;height:110.95pt;z-index:251664384;mso-position-horizontal-relative:text;mso-position-vertical-relative:text;mso-width-relative:page;mso-height-relative:page">
            <v:imagedata r:id="rId29" o:title=""/>
            <w10:wrap type="topAndBottom"/>
          </v:shape>
          <o:OLEObject Type="Embed" ProgID="Excel.Sheet.12" ShapeID="_x0000_s1046" DrawAspect="Content" ObjectID="_1505904320" r:id="rId30"/>
        </w:object>
      </w:r>
    </w:p>
    <w:p w:rsidR="00B12089" w:rsidRPr="000C4846" w:rsidRDefault="00B12089" w:rsidP="00B12089">
      <w:pPr>
        <w:spacing w:after="0" w:line="240" w:lineRule="exact"/>
        <w:ind w:firstLine="288"/>
        <w:jc w:val="both"/>
        <w:rPr>
          <w:rFonts w:ascii="Arial" w:eastAsia="Times New Roman" w:hAnsi="Arial" w:cs="Arial"/>
          <w:sz w:val="18"/>
          <w:szCs w:val="18"/>
          <w:lang w:val="es-ES" w:eastAsia="es-ES"/>
        </w:rPr>
      </w:pPr>
    </w:p>
    <w:sectPr w:rsidR="00B12089" w:rsidRPr="000C4846" w:rsidSect="008E3652">
      <w:headerReference w:type="even" r:id="rId31"/>
      <w:headerReference w:type="default" r:id="rId32"/>
      <w:footerReference w:type="even" r:id="rId33"/>
      <w:footerReference w:type="default" r:id="rId34"/>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349" w:rsidRDefault="00482349" w:rsidP="00EA5418">
      <w:pPr>
        <w:spacing w:after="0" w:line="240" w:lineRule="auto"/>
      </w:pPr>
      <w:r>
        <w:separator/>
      </w:r>
    </w:p>
  </w:endnote>
  <w:endnote w:type="continuationSeparator" w:id="0">
    <w:p w:rsidR="00482349" w:rsidRDefault="0048234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B9" w:rsidRPr="0013011C" w:rsidRDefault="00EF08B9"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71BF0B"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E70878" w:rsidRPr="00E70878">
          <w:rPr>
            <w:rFonts w:ascii="Soberana Sans Light" w:hAnsi="Soberana Sans Light"/>
            <w:noProof/>
            <w:lang w:val="es-ES"/>
          </w:rPr>
          <w:t>24</w:t>
        </w:r>
        <w:r w:rsidRPr="0013011C">
          <w:rPr>
            <w:rFonts w:ascii="Soberana Sans Light" w:hAnsi="Soberana Sans Light"/>
          </w:rPr>
          <w:fldChar w:fldCharType="end"/>
        </w:r>
      </w:sdtContent>
    </w:sdt>
  </w:p>
  <w:p w:rsidR="00EF08B9" w:rsidRDefault="00EF08B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B9" w:rsidRPr="008E3652" w:rsidRDefault="00EF08B9"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51A2D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E70878" w:rsidRPr="00E70878">
          <w:rPr>
            <w:rFonts w:ascii="Soberana Sans Light" w:hAnsi="Soberana Sans Light"/>
            <w:noProof/>
            <w:lang w:val="es-ES"/>
          </w:rPr>
          <w:t>25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349" w:rsidRDefault="00482349" w:rsidP="00EA5418">
      <w:pPr>
        <w:spacing w:after="0" w:line="240" w:lineRule="auto"/>
      </w:pPr>
      <w:r>
        <w:separator/>
      </w:r>
    </w:p>
  </w:footnote>
  <w:footnote w:type="continuationSeparator" w:id="0">
    <w:p w:rsidR="00482349" w:rsidRDefault="00482349"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B9" w:rsidRDefault="00EF08B9">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8B9" w:rsidRDefault="00EF08B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F08B9" w:rsidRDefault="00EF08B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EF08B9" w:rsidRPr="00275FC6" w:rsidRDefault="00EF08B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8B9" w:rsidRDefault="00EF08B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EF08B9" w:rsidRDefault="00EF08B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EF08B9" w:rsidRPr="00275FC6" w:rsidRDefault="00EF08B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EF08B9" w:rsidRDefault="00EF08B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F08B9" w:rsidRDefault="00EF08B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EF08B9" w:rsidRPr="00275FC6" w:rsidRDefault="00EF08B9"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EF08B9" w:rsidRDefault="00EF08B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EF08B9" w:rsidRDefault="00EF08B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EF08B9" w:rsidRPr="00275FC6" w:rsidRDefault="00EF08B9"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44F9E7"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B9" w:rsidRPr="0013011C" w:rsidRDefault="00EF08B9"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1B9DFF"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7BF4BF8"/>
    <w:multiLevelType w:val="hybridMultilevel"/>
    <w:tmpl w:val="46EAE25C"/>
    <w:lvl w:ilvl="0" w:tplc="89948DA0">
      <w:start w:val="1"/>
      <w:numFmt w:val="decimal"/>
      <w:lvlText w:val="%1."/>
      <w:lvlJc w:val="left"/>
      <w:pPr>
        <w:ind w:left="936"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15:restartNumberingAfterBreak="0">
    <w:nsid w:val="08D202B9"/>
    <w:multiLevelType w:val="hybridMultilevel"/>
    <w:tmpl w:val="D5A6C760"/>
    <w:lvl w:ilvl="0" w:tplc="EFF64538">
      <w:start w:val="6"/>
      <w:numFmt w:val="bullet"/>
      <w:lvlText w:val=""/>
      <w:lvlJc w:val="left"/>
      <w:pPr>
        <w:ind w:left="1080" w:hanging="360"/>
      </w:pPr>
      <w:rPr>
        <w:rFonts w:ascii="Soberana Sans Light" w:eastAsia="Times New Roman" w:hAnsi="Soberana Sans Light"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B8815D9"/>
    <w:multiLevelType w:val="hybridMultilevel"/>
    <w:tmpl w:val="3C8080D0"/>
    <w:lvl w:ilvl="0" w:tplc="5B0E98EC">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0CC344B0"/>
    <w:multiLevelType w:val="hybridMultilevel"/>
    <w:tmpl w:val="C6EAAF16"/>
    <w:lvl w:ilvl="0" w:tplc="6CB4C63E">
      <w:start w:val="5"/>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90752EF"/>
    <w:multiLevelType w:val="hybridMultilevel"/>
    <w:tmpl w:val="D8BA0FA2"/>
    <w:lvl w:ilvl="0" w:tplc="645C922C">
      <w:start w:val="5"/>
      <w:numFmt w:val="decimal"/>
      <w:lvlText w:val="%1."/>
      <w:lvlJc w:val="left"/>
      <w:pPr>
        <w:ind w:left="64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FC2584"/>
    <w:multiLevelType w:val="hybridMultilevel"/>
    <w:tmpl w:val="1520E4C6"/>
    <w:lvl w:ilvl="0" w:tplc="AE8238A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20005EEF"/>
    <w:multiLevelType w:val="hybridMultilevel"/>
    <w:tmpl w:val="ED3A4EB4"/>
    <w:lvl w:ilvl="0" w:tplc="A0CA13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26523DD"/>
    <w:multiLevelType w:val="hybridMultilevel"/>
    <w:tmpl w:val="DB48E28E"/>
    <w:lvl w:ilvl="0" w:tplc="CECAA426">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984C68"/>
    <w:multiLevelType w:val="hybridMultilevel"/>
    <w:tmpl w:val="DA9E7F0C"/>
    <w:lvl w:ilvl="0" w:tplc="D116BB2A">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2" w15:restartNumberingAfterBreak="0">
    <w:nsid w:val="37A73884"/>
    <w:multiLevelType w:val="hybridMultilevel"/>
    <w:tmpl w:val="CF9C48BA"/>
    <w:lvl w:ilvl="0" w:tplc="90E2DC10">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3D22761D"/>
    <w:multiLevelType w:val="hybridMultilevel"/>
    <w:tmpl w:val="03042646"/>
    <w:lvl w:ilvl="0" w:tplc="89948DA0">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3FCB0500"/>
    <w:multiLevelType w:val="hybridMultilevel"/>
    <w:tmpl w:val="8DEE6FE2"/>
    <w:lvl w:ilvl="0" w:tplc="959E534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6" w15:restartNumberingAfterBreak="0">
    <w:nsid w:val="42F86A81"/>
    <w:multiLevelType w:val="hybridMultilevel"/>
    <w:tmpl w:val="E714716A"/>
    <w:lvl w:ilvl="0" w:tplc="7DDA9D6C">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4DAC729C"/>
    <w:multiLevelType w:val="hybridMultilevel"/>
    <w:tmpl w:val="FE6E65AC"/>
    <w:lvl w:ilvl="0" w:tplc="418E76B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8" w15:restartNumberingAfterBreak="0">
    <w:nsid w:val="5F0101EB"/>
    <w:multiLevelType w:val="hybridMultilevel"/>
    <w:tmpl w:val="AFD2A9F6"/>
    <w:lvl w:ilvl="0" w:tplc="89948DA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6A71440D"/>
    <w:multiLevelType w:val="hybridMultilevel"/>
    <w:tmpl w:val="6ADC19AC"/>
    <w:lvl w:ilvl="0" w:tplc="D41E3A9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0" w15:restartNumberingAfterBreak="0">
    <w:nsid w:val="7E6F4D1C"/>
    <w:multiLevelType w:val="hybridMultilevel"/>
    <w:tmpl w:val="5A7A6C3A"/>
    <w:lvl w:ilvl="0" w:tplc="E60887EE">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num w:numId="1">
    <w:abstractNumId w:val="0"/>
  </w:num>
  <w:num w:numId="2">
    <w:abstractNumId w:val="5"/>
  </w:num>
  <w:num w:numId="3">
    <w:abstractNumId w:val="13"/>
  </w:num>
  <w:num w:numId="4">
    <w:abstractNumId w:val="10"/>
  </w:num>
  <w:num w:numId="5">
    <w:abstractNumId w:val="7"/>
  </w:num>
  <w:num w:numId="6">
    <w:abstractNumId w:val="19"/>
  </w:num>
  <w:num w:numId="7">
    <w:abstractNumId w:val="17"/>
  </w:num>
  <w:num w:numId="8">
    <w:abstractNumId w:val="20"/>
  </w:num>
  <w:num w:numId="9">
    <w:abstractNumId w:val="15"/>
  </w:num>
  <w:num w:numId="10">
    <w:abstractNumId w:val="3"/>
  </w:num>
  <w:num w:numId="11">
    <w:abstractNumId w:val="18"/>
  </w:num>
  <w:num w:numId="12">
    <w:abstractNumId w:val="16"/>
  </w:num>
  <w:num w:numId="13">
    <w:abstractNumId w:val="11"/>
  </w:num>
  <w:num w:numId="14">
    <w:abstractNumId w:val="9"/>
  </w:num>
  <w:num w:numId="15">
    <w:abstractNumId w:val="8"/>
  </w:num>
  <w:num w:numId="16">
    <w:abstractNumId w:val="2"/>
  </w:num>
  <w:num w:numId="17">
    <w:abstractNumId w:val="12"/>
  </w:num>
  <w:num w:numId="18">
    <w:abstractNumId w:val="4"/>
  </w:num>
  <w:num w:numId="19">
    <w:abstractNumId w:val="1"/>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40466"/>
    <w:rsid w:val="00045A10"/>
    <w:rsid w:val="000843C6"/>
    <w:rsid w:val="0008724F"/>
    <w:rsid w:val="0009411B"/>
    <w:rsid w:val="000C4846"/>
    <w:rsid w:val="000E22CC"/>
    <w:rsid w:val="0013011C"/>
    <w:rsid w:val="00153CC0"/>
    <w:rsid w:val="00165BB4"/>
    <w:rsid w:val="00185B23"/>
    <w:rsid w:val="001A7D8D"/>
    <w:rsid w:val="001B1B72"/>
    <w:rsid w:val="001C6FD8"/>
    <w:rsid w:val="001E7072"/>
    <w:rsid w:val="00204C86"/>
    <w:rsid w:val="00224722"/>
    <w:rsid w:val="00252B0A"/>
    <w:rsid w:val="00264426"/>
    <w:rsid w:val="00290C1E"/>
    <w:rsid w:val="00293D86"/>
    <w:rsid w:val="002A70B3"/>
    <w:rsid w:val="002C138C"/>
    <w:rsid w:val="002C5826"/>
    <w:rsid w:val="002E386D"/>
    <w:rsid w:val="002F445C"/>
    <w:rsid w:val="002F4C88"/>
    <w:rsid w:val="0034676F"/>
    <w:rsid w:val="00346BB9"/>
    <w:rsid w:val="00372783"/>
    <w:rsid w:val="00372F40"/>
    <w:rsid w:val="003811B0"/>
    <w:rsid w:val="00395880"/>
    <w:rsid w:val="00396C2B"/>
    <w:rsid w:val="003A0303"/>
    <w:rsid w:val="003D5DBF"/>
    <w:rsid w:val="003E4679"/>
    <w:rsid w:val="003E7FD0"/>
    <w:rsid w:val="003F0EA4"/>
    <w:rsid w:val="004311BE"/>
    <w:rsid w:val="0044253C"/>
    <w:rsid w:val="004714CF"/>
    <w:rsid w:val="00482349"/>
    <w:rsid w:val="00484C0D"/>
    <w:rsid w:val="0048568B"/>
    <w:rsid w:val="00497D8B"/>
    <w:rsid w:val="004D41B8"/>
    <w:rsid w:val="004F5641"/>
    <w:rsid w:val="00521D5A"/>
    <w:rsid w:val="00522632"/>
    <w:rsid w:val="00522EF3"/>
    <w:rsid w:val="00540418"/>
    <w:rsid w:val="00574266"/>
    <w:rsid w:val="00576362"/>
    <w:rsid w:val="00585484"/>
    <w:rsid w:val="0058780D"/>
    <w:rsid w:val="0059000C"/>
    <w:rsid w:val="0059171D"/>
    <w:rsid w:val="00593904"/>
    <w:rsid w:val="005B0965"/>
    <w:rsid w:val="005C77BD"/>
    <w:rsid w:val="005D3D25"/>
    <w:rsid w:val="00605F31"/>
    <w:rsid w:val="0061362D"/>
    <w:rsid w:val="0063278E"/>
    <w:rsid w:val="00641122"/>
    <w:rsid w:val="006935D1"/>
    <w:rsid w:val="006A5F58"/>
    <w:rsid w:val="006B1FE7"/>
    <w:rsid w:val="006B2F84"/>
    <w:rsid w:val="006B5B41"/>
    <w:rsid w:val="006E77DD"/>
    <w:rsid w:val="006F6E79"/>
    <w:rsid w:val="007113F3"/>
    <w:rsid w:val="0079582C"/>
    <w:rsid w:val="007D0C1C"/>
    <w:rsid w:val="007D6E9A"/>
    <w:rsid w:val="00811DAC"/>
    <w:rsid w:val="00863346"/>
    <w:rsid w:val="0086679D"/>
    <w:rsid w:val="0089054E"/>
    <w:rsid w:val="008A6E4D"/>
    <w:rsid w:val="008A793D"/>
    <w:rsid w:val="008B0017"/>
    <w:rsid w:val="008E3652"/>
    <w:rsid w:val="008F43BD"/>
    <w:rsid w:val="008F6D58"/>
    <w:rsid w:val="00901EB4"/>
    <w:rsid w:val="00911FC4"/>
    <w:rsid w:val="0093492C"/>
    <w:rsid w:val="00957043"/>
    <w:rsid w:val="009A0655"/>
    <w:rsid w:val="009D5D4C"/>
    <w:rsid w:val="009E0C2C"/>
    <w:rsid w:val="009F23C4"/>
    <w:rsid w:val="009F2E87"/>
    <w:rsid w:val="00A173BD"/>
    <w:rsid w:val="00A363B6"/>
    <w:rsid w:val="00A46B4A"/>
    <w:rsid w:val="00A46BF5"/>
    <w:rsid w:val="00A57EC0"/>
    <w:rsid w:val="00A673F4"/>
    <w:rsid w:val="00AA238D"/>
    <w:rsid w:val="00AB1AC8"/>
    <w:rsid w:val="00AE6120"/>
    <w:rsid w:val="00AF574D"/>
    <w:rsid w:val="00B0510F"/>
    <w:rsid w:val="00B054E5"/>
    <w:rsid w:val="00B12089"/>
    <w:rsid w:val="00B146E2"/>
    <w:rsid w:val="00B33304"/>
    <w:rsid w:val="00B43B7C"/>
    <w:rsid w:val="00B62E98"/>
    <w:rsid w:val="00B67532"/>
    <w:rsid w:val="00B849EE"/>
    <w:rsid w:val="00B84D02"/>
    <w:rsid w:val="00BA2940"/>
    <w:rsid w:val="00BA2EEF"/>
    <w:rsid w:val="00BA6374"/>
    <w:rsid w:val="00BB2D42"/>
    <w:rsid w:val="00BC72CB"/>
    <w:rsid w:val="00C16E53"/>
    <w:rsid w:val="00C376EB"/>
    <w:rsid w:val="00C431B4"/>
    <w:rsid w:val="00C4559E"/>
    <w:rsid w:val="00C568CC"/>
    <w:rsid w:val="00C63A0B"/>
    <w:rsid w:val="00C80BD4"/>
    <w:rsid w:val="00C86C59"/>
    <w:rsid w:val="00C91C5A"/>
    <w:rsid w:val="00CA760B"/>
    <w:rsid w:val="00CB0008"/>
    <w:rsid w:val="00CB299D"/>
    <w:rsid w:val="00CC6B94"/>
    <w:rsid w:val="00CD6D9A"/>
    <w:rsid w:val="00D00E92"/>
    <w:rsid w:val="00D055EC"/>
    <w:rsid w:val="00D17A36"/>
    <w:rsid w:val="00D30CF0"/>
    <w:rsid w:val="00D3447D"/>
    <w:rsid w:val="00D44728"/>
    <w:rsid w:val="00D44EB6"/>
    <w:rsid w:val="00D51975"/>
    <w:rsid w:val="00D562FF"/>
    <w:rsid w:val="00D92E6C"/>
    <w:rsid w:val="00D933F7"/>
    <w:rsid w:val="00DA0F15"/>
    <w:rsid w:val="00DA508B"/>
    <w:rsid w:val="00DF56C9"/>
    <w:rsid w:val="00E13B23"/>
    <w:rsid w:val="00E20BAD"/>
    <w:rsid w:val="00E30318"/>
    <w:rsid w:val="00E32708"/>
    <w:rsid w:val="00E70878"/>
    <w:rsid w:val="00E80608"/>
    <w:rsid w:val="00E94B92"/>
    <w:rsid w:val="00EA5119"/>
    <w:rsid w:val="00EA5418"/>
    <w:rsid w:val="00EB0F27"/>
    <w:rsid w:val="00EE46FB"/>
    <w:rsid w:val="00EF08B9"/>
    <w:rsid w:val="00EF179A"/>
    <w:rsid w:val="00F119AA"/>
    <w:rsid w:val="00F14899"/>
    <w:rsid w:val="00F17C0D"/>
    <w:rsid w:val="00F72632"/>
    <w:rsid w:val="00F74137"/>
    <w:rsid w:val="00F755D0"/>
    <w:rsid w:val="00F82D11"/>
    <w:rsid w:val="00F86D4D"/>
    <w:rsid w:val="00F90746"/>
    <w:rsid w:val="00FB1010"/>
    <w:rsid w:val="00FB56B7"/>
    <w:rsid w:val="00FB6645"/>
    <w:rsid w:val="00FD5A63"/>
    <w:rsid w:val="00FF23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FBB927-85BC-45ED-8E1E-1C0028D2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11554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package" Target="embeddings/Hoja_de_c_lculo_de_Microsoft_Excel10.xlsx"/><Relationship Id="rId3" Type="http://schemas.openxmlformats.org/officeDocument/2006/relationships/styles" Target="styles.xml"/><Relationship Id="rId21" Type="http://schemas.openxmlformats.org/officeDocument/2006/relationships/package" Target="embeddings/Hoja_de_c_lculo_de_Microsoft_Excel7.xlsx"/><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image" Target="media/image9.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package" Target="embeddings/Hoja_de_c_lculo_de_Microsoft_Excel9.xlsx"/><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package" Target="embeddings/Hoja_de_c_lculo_de_Microsoft_Excel11.xlsx"/><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0.emf"/><Relationship Id="rId30" Type="http://schemas.openxmlformats.org/officeDocument/2006/relationships/package" Target="embeddings/Hoja_de_c_lculo_de_Microsoft_Excel12.xlsx"/><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7C0A3-54F1-4E83-8911-493687086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3955</Words>
  <Characters>21753</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Danae</cp:lastModifiedBy>
  <cp:revision>2</cp:revision>
  <cp:lastPrinted>2015-10-09T18:57:00Z</cp:lastPrinted>
  <dcterms:created xsi:type="dcterms:W3CDTF">2015-10-09T18:58:00Z</dcterms:created>
  <dcterms:modified xsi:type="dcterms:W3CDTF">2015-10-09T18:58:00Z</dcterms:modified>
</cp:coreProperties>
</file>