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ED694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E4790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16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16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2015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2015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ED6940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2,453,920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94770C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8,061,507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ED6940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E22915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163,607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94770C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94770C" w:rsidRPr="00B6097C" w:rsidRDefault="0094770C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94770C" w:rsidRPr="00B6097C" w:rsidRDefault="00ED6940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2,453,920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94770C" w:rsidRPr="00B6097C" w:rsidRDefault="0094770C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8,061,507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94770C" w:rsidRPr="00B6097C" w:rsidRDefault="0094770C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94770C" w:rsidRPr="00B6097C" w:rsidRDefault="0094770C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94770C" w:rsidRPr="00B6097C" w:rsidRDefault="0094770C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94770C" w:rsidRPr="00B6097C" w:rsidRDefault="0094770C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315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315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ED6940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E22915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163,607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1F2318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1F231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1F2318" w:rsidRPr="00B6097C" w:rsidRDefault="001F231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1F2318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F2318" w:rsidRPr="00B6097C" w:rsidRDefault="001F231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1F2318" w:rsidRPr="00B6097C" w:rsidRDefault="001F231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1F2318" w:rsidRPr="00B6097C" w:rsidRDefault="001F231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1F2318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1F2318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Del="00D04C9A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E4E5A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Del="00D04C9A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ED6940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2,456,920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94770C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8,064,507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ED6940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E22915" w:rsidP="00AF3CC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163,607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Del="009B6C1F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ED6940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5,868,898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94770C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4,672,949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Del="00244277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94770C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94770C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17,689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ED6940" w:rsidP="00ED694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E22915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163,607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ED6940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94770C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</w:t>
            </w:r>
            <w:r w:rsidR="0094770C">
              <w:rPr>
                <w:rFonts w:eastAsia="Calibri"/>
                <w:sz w:val="10"/>
                <w:szCs w:val="10"/>
                <w:lang w:val="es-MX" w:eastAsia="en-US"/>
              </w:rPr>
              <w:t>690,638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ED6940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8,343,257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Default="0094770C" w:rsidP="0094770C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12,755,145</w:t>
            </w:r>
          </w:p>
          <w:p w:rsidR="00E22915" w:rsidRDefault="00E22915" w:rsidP="0094770C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E22915" w:rsidRDefault="00E22915" w:rsidP="0094770C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E22915" w:rsidRPr="00B6097C" w:rsidRDefault="00E22915" w:rsidP="0094770C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FC0EAE" w:rsidP="00F757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</w:t>
            </w:r>
            <w:r w:rsidR="00F75712">
              <w:rPr>
                <w:rFonts w:eastAsia="Calibri"/>
                <w:sz w:val="10"/>
                <w:szCs w:val="10"/>
                <w:lang w:val="es-MX" w:eastAsia="en-US"/>
              </w:rPr>
              <w:t>215,865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FF7C54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12,591,538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F7571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FF7C54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3,867,333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FC0EAE" w:rsidP="00FC0EA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F75712">
              <w:rPr>
                <w:rFonts w:eastAsia="Calibri"/>
                <w:sz w:val="10"/>
                <w:szCs w:val="10"/>
                <w:lang w:val="es-MX" w:eastAsia="en-US"/>
              </w:rPr>
              <w:t>29,528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78,556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F75712" w:rsidP="00FF7C54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4,986,311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F7571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6,215,865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FF7C54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12,591,538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F7571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8,343,257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FF7C54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12,755,145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B73156" w:rsidRDefault="00B73156" w:rsidP="00B73156">
      <w:pPr>
        <w:pStyle w:val="Texto"/>
        <w:rPr>
          <w:b/>
        </w:rPr>
        <w:sectPr w:rsidR="00B73156" w:rsidSect="00AE05B7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F757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F75712">
              <w:rPr>
                <w:b/>
                <w:sz w:val="10"/>
                <w:szCs w:val="10"/>
              </w:rPr>
              <w:t>31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FA4BF7">
              <w:rPr>
                <w:b/>
                <w:sz w:val="10"/>
                <w:szCs w:val="10"/>
              </w:rPr>
              <w:t>dic</w:t>
            </w:r>
            <w:r w:rsidR="007F429E">
              <w:rPr>
                <w:b/>
                <w:sz w:val="10"/>
                <w:szCs w:val="10"/>
              </w:rPr>
              <w:t xml:space="preserve">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7F429E">
              <w:rPr>
                <w:b/>
                <w:sz w:val="10"/>
                <w:szCs w:val="10"/>
              </w:rPr>
              <w:t>16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EC7D5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EC7D5D">
              <w:rPr>
                <w:b/>
                <w:sz w:val="10"/>
                <w:szCs w:val="10"/>
              </w:rPr>
              <w:t>5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4F3657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163,607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993814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993814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F7571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2,127,392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4F3657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163,607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993814" w:rsidP="004F365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993814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F7571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2,127,392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B007B7" w:rsidRDefault="00B73156" w:rsidP="00B73156">
      <w:pPr>
        <w:pStyle w:val="Texto"/>
        <w:spacing w:line="200" w:lineRule="exact"/>
        <w:rPr>
          <w:szCs w:val="12"/>
        </w:rPr>
      </w:pPr>
    </w:p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B73156" w:rsidRDefault="00B73156" w:rsidP="00B73156">
      <w:pPr>
        <w:pStyle w:val="Texto"/>
        <w:rPr>
          <w:b/>
        </w:rPr>
        <w:sectPr w:rsidR="00B73156" w:rsidSect="00AE05B7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814B9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A4BF7">
              <w:rPr>
                <w:b/>
                <w:sz w:val="12"/>
                <w:szCs w:val="12"/>
              </w:rPr>
              <w:t>dic</w:t>
            </w:r>
            <w:r w:rsidR="002557B3">
              <w:rPr>
                <w:b/>
                <w:sz w:val="12"/>
                <w:szCs w:val="12"/>
              </w:rPr>
              <w:t xml:space="preserve">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AE05B7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814B9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FA4BF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dic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iembre d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 20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662A66">
        <w:trPr>
          <w:trHeight w:val="24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6458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26,275,055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30,124,680</w:t>
            </w:r>
          </w:p>
        </w:tc>
      </w:tr>
      <w:tr w:rsidR="00816458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24,175,055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</w:tr>
      <w:tr w:rsidR="00816458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4,918,302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6458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26,275,055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30,124,680</w:t>
            </w:r>
          </w:p>
        </w:tc>
      </w:tr>
      <w:tr w:rsidR="00816458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24,175,055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</w:tr>
      <w:tr w:rsidR="00816458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4,918,302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3,867,333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C2FAB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24,175,055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1C539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24,175,055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25,206,378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4B2646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9E4790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816458" w:rsidP="004B2646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CE336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 </w:t>
            </w:r>
            <w:r w:rsidR="004C679B">
              <w:rPr>
                <w:b/>
                <w:bCs/>
                <w:sz w:val="10"/>
                <w:szCs w:val="10"/>
                <w:lang w:val="es-MX"/>
              </w:rPr>
              <w:t>dic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 xml:space="preserve">iembre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 20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>16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73731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52,800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4B2646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49,714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4B2646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49,714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4B2646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49,714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4B2646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73731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24,122,255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1,034,409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25,156,664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25,156,664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662A66" w:rsidP="003B163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3B163D">
              <w:rPr>
                <w:sz w:val="11"/>
                <w:szCs w:val="11"/>
                <w:lang w:val="es-MX"/>
              </w:rPr>
              <w:t>5</w:t>
            </w:r>
            <w:r>
              <w:rPr>
                <w:sz w:val="11"/>
                <w:szCs w:val="11"/>
                <w:lang w:val="es-MX"/>
              </w:rPr>
              <w:t>,</w:t>
            </w:r>
            <w:r w:rsidR="003B163D">
              <w:rPr>
                <w:sz w:val="11"/>
                <w:szCs w:val="11"/>
                <w:lang w:val="es-MX"/>
              </w:rPr>
              <w:t>156,664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3731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313" w:rsidRPr="00247CAA" w:rsidRDefault="0073731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37313" w:rsidRPr="00247CAA" w:rsidRDefault="0073731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313" w:rsidRPr="00247CAA" w:rsidRDefault="0073731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13" w:rsidRPr="006751B0" w:rsidRDefault="0073731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24,122,255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13" w:rsidRPr="006751B0" w:rsidRDefault="003B163D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1,034,409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13" w:rsidRPr="006751B0" w:rsidRDefault="0073731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</w:t>
            </w:r>
            <w:r w:rsidR="003B163D">
              <w:rPr>
                <w:sz w:val="12"/>
                <w:szCs w:val="12"/>
                <w:lang w:val="es-MX"/>
              </w:rPr>
              <w:t>5,156,664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13" w:rsidRPr="006751B0" w:rsidRDefault="00662A66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3B163D">
              <w:rPr>
                <w:sz w:val="11"/>
                <w:szCs w:val="11"/>
                <w:lang w:val="es-MX"/>
              </w:rPr>
              <w:t>5,156,664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13" w:rsidRPr="006751B0" w:rsidRDefault="00662A66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3B163D">
              <w:rPr>
                <w:sz w:val="11"/>
                <w:szCs w:val="11"/>
                <w:lang w:val="es-MX"/>
              </w:rPr>
              <w:t>5,156,664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13" w:rsidRPr="006751B0" w:rsidRDefault="003B163D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E44B1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24,175,055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1,031,323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25,206,378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4C679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25,206,378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25,206,378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3B163D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E44B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44B1" w:rsidRPr="00247CAA" w:rsidRDefault="00AE44B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AE44B1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24,175,055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3B163D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1,031,323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3B163D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25,206,378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3B163D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25,206,378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3B163D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25,206,378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4B1" w:rsidRPr="006751B0" w:rsidRDefault="003B163D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2,100,00</w:t>
            </w:r>
            <w:r w:rsidR="00C171C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2,818,302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A113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4,918,3</w:t>
            </w:r>
            <w:r w:rsidR="00C171C3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4,918,302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4,918,302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11317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317" w:rsidRPr="00247CAA" w:rsidRDefault="00A11317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17" w:rsidRPr="006751B0" w:rsidRDefault="00A113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17" w:rsidRPr="006751B0" w:rsidRDefault="00A113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2,818,302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17" w:rsidRPr="006751B0" w:rsidRDefault="00A113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4,918,302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17" w:rsidRPr="006751B0" w:rsidRDefault="00A113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4,918,302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17" w:rsidRPr="006751B0" w:rsidRDefault="00A113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4,918,302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17" w:rsidRPr="006751B0" w:rsidRDefault="00A1131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113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26,275,055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F1141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3,849,625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F1141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30,124,680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F1141" w:rsidP="0045498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30,124,680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F1141" w:rsidP="0045498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30,124,680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F1141" w:rsidP="007022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247CAA" w:rsidRDefault="00247CAA" w:rsidP="00B73156">
      <w:pPr>
        <w:pStyle w:val="Texto"/>
        <w:spacing w:after="0"/>
        <w:ind w:left="1627" w:hanging="1339"/>
        <w:rPr>
          <w:b/>
          <w:lang w:val="es-MX"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7267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81C1D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7773AE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7773AE">
              <w:rPr>
                <w:b/>
                <w:bCs/>
                <w:sz w:val="11"/>
                <w:szCs w:val="11"/>
                <w:lang w:val="es-MX"/>
              </w:rPr>
              <w:t>16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656F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656F" w:rsidRPr="0028605F" w:rsidRDefault="003A656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3A656F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869EA">
              <w:rPr>
                <w:b/>
                <w:sz w:val="11"/>
                <w:szCs w:val="11"/>
                <w:lang w:val="es-MX"/>
              </w:rPr>
              <w:t>24,175,055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BA1CCA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1,031,323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BA1CCA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BA1CCA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BA1CCA" w:rsidP="009E47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5C0A89" w:rsidRDefault="00BA1CCA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760D04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4,236,798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-252,668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84B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60D0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224,190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-16,716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207,474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207,474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9E47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207,474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60D0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3,681,721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-246,833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3,434,888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3,434,888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3,434,888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E9569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60D04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275,299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99,811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285,110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285,110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285,110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4" w:rsidRPr="005C0A89" w:rsidRDefault="00760D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60D0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04" w:rsidRPr="005C0A89" w:rsidRDefault="00760D04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4" w:rsidRPr="005C0A89" w:rsidRDefault="00760D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60D0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D04" w:rsidRPr="0028605F" w:rsidRDefault="00760D0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55,588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1,070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56,658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56,658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56,658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D04" w:rsidRPr="0028605F" w:rsidRDefault="00760D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CA" w:rsidRPr="005C0A89" w:rsidRDefault="00BA1CCA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A1CCA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CA" w:rsidRPr="005C0A89" w:rsidRDefault="00BA1CCA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E345F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2,070,500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-808,231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1,262,269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1,262,269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1,262,269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E345F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-65,124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27,876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27,876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27,876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5F" w:rsidRPr="005C0A89" w:rsidRDefault="006E345F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E345F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6E34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-4,845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24,155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24,155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14,779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5F" w:rsidRPr="005C0A89" w:rsidRDefault="006E345F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E345F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84B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E345F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6E34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-25,038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5F" w:rsidRPr="005C0A89" w:rsidRDefault="006E345F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E345F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1,431,500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-887,535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543,965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543,965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543,965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5F" w:rsidRPr="005C0A89" w:rsidRDefault="006E345F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E345F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211,036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391,036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391,036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385,402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E345F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-586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79,414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79,414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E345F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8,430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112,430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112,430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5F" w:rsidRPr="005C0A89" w:rsidRDefault="006E345F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E345F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45F" w:rsidRPr="0028605F" w:rsidRDefault="006E345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-44,569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B84B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78,431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78,431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345F" w:rsidRPr="0028605F" w:rsidRDefault="006E345F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5F" w:rsidRPr="005C0A89" w:rsidRDefault="006E345F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541C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16,946,957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C847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1,262,845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18,209,802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924C7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18,209,802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18,209,802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395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5541C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13,501,833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874,963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14,376,796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14,376,796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14,376,796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CB" w:rsidRPr="005C0A89" w:rsidRDefault="005541CB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541C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CB" w:rsidRPr="005C0A89" w:rsidRDefault="005541CB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541C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-253,066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687,934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687,934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687,934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5541C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-10,129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57,371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5541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57,371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CB" w:rsidRPr="005C0A89" w:rsidRDefault="005541CB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541C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A869E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1,767,424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714,244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2,481,668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2,481,668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2,481,668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CB" w:rsidRPr="005C0A89" w:rsidRDefault="005541CB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541C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24,999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24,999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5541C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-19,394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CB" w:rsidRPr="005C0A89" w:rsidRDefault="005541CB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541C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CB" w:rsidRPr="005C0A89" w:rsidRDefault="005541CB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541C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41CB" w:rsidRPr="0028605F" w:rsidRDefault="005541C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592,200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-13,772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578,428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578,428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578,428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41CB" w:rsidRPr="0028605F" w:rsidRDefault="005541C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04AE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04AE" w:rsidRPr="0028605F" w:rsidRDefault="00B604A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04AE" w:rsidRPr="0028605F" w:rsidRDefault="00B604A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BC5C2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620,800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0D5A3B" w:rsidP="00B84B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528,864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0D5A3B" w:rsidP="006E6F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1,149,664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0D5A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1,149,66</w:t>
            </w:r>
            <w:r w:rsidR="000D5A3B">
              <w:rPr>
                <w:sz w:val="11"/>
                <w:szCs w:val="11"/>
                <w:lang w:val="es-MX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0D5A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1,149,66</w:t>
            </w:r>
            <w:r w:rsidR="000D5A3B">
              <w:rPr>
                <w:sz w:val="11"/>
                <w:szCs w:val="11"/>
                <w:lang w:val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CA" w:rsidRPr="005C0A89" w:rsidRDefault="00BA1CCA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D5A3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D5A3B" w:rsidRPr="0028605F" w:rsidRDefault="000D5A3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3B" w:rsidRPr="0028605F" w:rsidRDefault="000D5A3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192,800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734,404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927,204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F7035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927,204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927,204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D5A3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D5A3B" w:rsidRPr="0028605F" w:rsidRDefault="000D5A3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3B" w:rsidRPr="0028605F" w:rsidRDefault="000D5A3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D5A3B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D5A3B" w:rsidRPr="0028605F" w:rsidRDefault="000D5A3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3B" w:rsidRPr="0028605F" w:rsidRDefault="000D5A3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6E6F44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-165,720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212,280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F7035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212,280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212,280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A3B" w:rsidRPr="0028605F" w:rsidRDefault="000D5A3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CA" w:rsidRPr="005C0A89" w:rsidRDefault="00BA1CCA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0D5A3B" w:rsidP="000D5A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-39,820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0D5A3B" w:rsidP="00FF12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</w:t>
            </w:r>
            <w:r w:rsidR="00FF129B">
              <w:rPr>
                <w:sz w:val="11"/>
                <w:szCs w:val="11"/>
                <w:lang w:val="es-MX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0D5A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</w:t>
            </w:r>
            <w:r w:rsidR="000D5A3B">
              <w:rPr>
                <w:sz w:val="11"/>
                <w:szCs w:val="11"/>
                <w:lang w:val="es-MX"/>
              </w:rPr>
              <w:t>180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CA" w:rsidRPr="000D5A3B" w:rsidRDefault="000D5A3B" w:rsidP="000D5A3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A3B">
              <w:rPr>
                <w:rFonts w:ascii="Arial" w:hAnsi="Arial" w:cs="Arial"/>
                <w:sz w:val="11"/>
                <w:szCs w:val="11"/>
                <w:lang w:val="es-MX"/>
              </w:rPr>
              <w:t>10,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0D5A3B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A3B"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CA" w:rsidRPr="005C0A89" w:rsidRDefault="00BA1CCA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A1CCA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CCA" w:rsidRPr="0028605F" w:rsidRDefault="00BA1CC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CA" w:rsidRPr="005C0A89" w:rsidRDefault="00BA1CCA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1CCA" w:rsidRPr="0028605F" w:rsidRDefault="00BA1CCA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BC5C2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300,513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600,513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600,513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6534D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600,513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DB" w:rsidRPr="005C0A89" w:rsidRDefault="006534DB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300,513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600,513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600,513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600,513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6539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D52B28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52B28">
              <w:rPr>
                <w:b/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D52B28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52B28">
              <w:rPr>
                <w:b/>
                <w:sz w:val="11"/>
                <w:szCs w:val="11"/>
                <w:lang w:val="es-MX"/>
              </w:rPr>
              <w:t>2,818,302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D52B28" w:rsidRDefault="006534DB" w:rsidP="00C6662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52B28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D52B28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D52B28" w:rsidRDefault="006534DB" w:rsidP="00BD625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D52B28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1,069,781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C847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3,169,781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4D42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3,169,781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4D42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3,169,781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1,439,167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1,439,167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1,439,167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1,439,167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660,833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1,069,781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1,730,614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D62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1,730,614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1,730,614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4D42C5">
            <w:pPr>
              <w:pStyle w:val="Texto"/>
              <w:tabs>
                <w:tab w:val="left" w:pos="617"/>
                <w:tab w:val="right" w:pos="706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D62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D62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BD62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1,727,061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2832F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2832F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26,275,055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3,849,625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57317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B9640B" w:rsidRDefault="006534DB" w:rsidP="00013F5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534DB" w:rsidRPr="00B9640B" w:rsidRDefault="006534D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534D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DB" w:rsidRPr="0028605F" w:rsidRDefault="006534DB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B964E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C47377">
              <w:rPr>
                <w:b/>
                <w:bCs/>
                <w:sz w:val="12"/>
                <w:szCs w:val="12"/>
                <w:lang w:val="es-MX" w:eastAsia="es-MX"/>
              </w:rPr>
              <w:t>dici</w:t>
            </w:r>
            <w:r w:rsidR="00E43E79">
              <w:rPr>
                <w:b/>
                <w:bCs/>
                <w:sz w:val="12"/>
                <w:szCs w:val="12"/>
                <w:lang w:val="es-MX" w:eastAsia="es-MX"/>
              </w:rPr>
              <w:t>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E43E79">
              <w:rPr>
                <w:b/>
                <w:bCs/>
                <w:sz w:val="12"/>
                <w:szCs w:val="12"/>
                <w:lang w:val="es-MX" w:eastAsia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36606" w:rsidRPr="006751B0" w:rsidTr="00BC5C2F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606" w:rsidRPr="006751B0" w:rsidRDefault="00C36606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36606" w:rsidRPr="006751B0" w:rsidRDefault="00C36606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C849EA" w:rsidRDefault="00C36606" w:rsidP="00C849E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849EA">
              <w:rPr>
                <w:rFonts w:ascii="Arial" w:hAnsi="Arial" w:cs="Arial"/>
                <w:b/>
                <w:bCs/>
                <w:sz w:val="11"/>
                <w:szCs w:val="11"/>
              </w:rPr>
              <w:t>24,175,055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C849EA" w:rsidRDefault="00C36606" w:rsidP="00C849E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1,031,323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606" w:rsidRDefault="00C36606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C36606" w:rsidRDefault="00C36606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C36606" w:rsidRPr="00A869EA" w:rsidRDefault="00C36606" w:rsidP="00C3660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25,206,378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BA1CCA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BA1CCA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606" w:rsidRDefault="00C36606" w:rsidP="004B26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C36606" w:rsidRDefault="00C36606" w:rsidP="004B26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C36606" w:rsidRPr="005C0A89" w:rsidRDefault="00C36606" w:rsidP="004B264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C36606" w:rsidRPr="006751B0" w:rsidTr="00BC5C2F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606" w:rsidRPr="006751B0" w:rsidRDefault="00C36606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C849EA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849EA">
              <w:rPr>
                <w:rFonts w:ascii="Arial" w:hAnsi="Arial" w:cs="Arial"/>
                <w:b/>
                <w:bCs/>
                <w:sz w:val="11"/>
                <w:szCs w:val="11"/>
              </w:rPr>
              <w:t>24,175,055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C849EA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1,031,323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606" w:rsidRDefault="00C36606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</w:t>
            </w:r>
          </w:p>
          <w:p w:rsidR="00C36606" w:rsidRDefault="00C36606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C36606" w:rsidRPr="00A869EA" w:rsidRDefault="00C36606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25,206,378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BA1CCA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06" w:rsidRPr="00BA1CCA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606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C36606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C36606" w:rsidRPr="005C0A89" w:rsidRDefault="00C36606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E2A10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A10" w:rsidRPr="006751B0" w:rsidRDefault="007E2A10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7E2A10" w:rsidRPr="006751B0" w:rsidRDefault="007E2A10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7E2A10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C849EA">
              <w:rPr>
                <w:b/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7E2A10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C849EA">
              <w:rPr>
                <w:b/>
                <w:sz w:val="11"/>
                <w:szCs w:val="11"/>
                <w:lang w:val="es-MX"/>
              </w:rPr>
              <w:t>2,818,302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7E2A10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C849EA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7E2A10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C849EA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7E2A10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C849EA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7E2A10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7E2A10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A10" w:rsidRPr="006751B0" w:rsidRDefault="007E2A10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28605F" w:rsidRDefault="007E2A10" w:rsidP="00C849E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28605F" w:rsidRDefault="007E2A10" w:rsidP="00C849E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2,818,302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28605F" w:rsidRDefault="007E2A10" w:rsidP="00C849E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28605F" w:rsidRDefault="007E2A10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28605F" w:rsidRDefault="007E2A10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28605F" w:rsidRDefault="007E2A10" w:rsidP="00C849E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769C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9C5" w:rsidRPr="006751B0" w:rsidRDefault="002769C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9C5" w:rsidRPr="0028605F" w:rsidRDefault="002769C5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26,275,055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9C5" w:rsidRPr="0028605F" w:rsidRDefault="00C36606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3,849,625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9C5" w:rsidRPr="0057317F" w:rsidRDefault="00C36606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9C5" w:rsidRPr="0028605F" w:rsidRDefault="00C36606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9C5" w:rsidRPr="00B9640B" w:rsidRDefault="00C36606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9C5" w:rsidRPr="00B9640B" w:rsidRDefault="00C36606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B73156" w:rsidRPr="00C211AA" w:rsidRDefault="00B73156" w:rsidP="00DF5A84">
      <w:pPr>
        <w:pStyle w:val="Texto"/>
        <w:rPr>
          <w:b/>
          <w:sz w:val="14"/>
          <w:szCs w:val="14"/>
          <w:lang w:val="es-MX"/>
        </w:rPr>
      </w:pPr>
      <w:r>
        <w:rPr>
          <w:lang w:val="es-MX"/>
        </w:rPr>
        <w:br w:type="page"/>
      </w:r>
      <w:r w:rsidRPr="00C211AA">
        <w:rPr>
          <w:b/>
          <w:sz w:val="14"/>
          <w:szCs w:val="14"/>
          <w:lang w:val="es-MX"/>
        </w:rPr>
        <w:lastRenderedPageBreak/>
        <w:t>Formato 6 c)</w:t>
      </w:r>
      <w:r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96358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F71421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53170A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F71421">
              <w:rPr>
                <w:b/>
                <w:bCs/>
                <w:sz w:val="11"/>
                <w:szCs w:val="11"/>
                <w:lang w:val="es-MX"/>
              </w:rPr>
              <w:t>16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96358A" w:rsidRPr="006751B0" w:rsidTr="00BC5C2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358A" w:rsidRPr="00DF5A84" w:rsidRDefault="0096358A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58A" w:rsidRPr="00231852" w:rsidRDefault="0096358A" w:rsidP="00512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31852">
              <w:rPr>
                <w:rFonts w:ascii="Arial" w:hAnsi="Arial" w:cs="Arial"/>
                <w:b/>
                <w:bCs/>
                <w:sz w:val="11"/>
                <w:szCs w:val="11"/>
              </w:rPr>
              <w:t>24,175,055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58A" w:rsidRPr="00C849E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1,031,323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58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96358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96358A" w:rsidRPr="00A869E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25,206,378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58A" w:rsidRPr="00BA1CC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58A" w:rsidRPr="00BA1CC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358A" w:rsidRPr="00C849E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96358A" w:rsidRPr="006751B0" w:rsidTr="00BC5C2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8A" w:rsidRPr="00DF5A84" w:rsidRDefault="0096358A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231852" w:rsidRDefault="0096358A" w:rsidP="00512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31852">
              <w:rPr>
                <w:rFonts w:ascii="Arial" w:hAnsi="Arial" w:cs="Arial"/>
                <w:b/>
                <w:bCs/>
                <w:sz w:val="11"/>
                <w:szCs w:val="11"/>
              </w:rPr>
              <w:t>24,175,055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C849E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1,031,323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8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96358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96358A" w:rsidRPr="00A869E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25,206,378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BA1CC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BA1CC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C849E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</w:tr>
      <w:tr w:rsidR="0096358A" w:rsidRPr="006751B0" w:rsidTr="00BC5C2F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58A" w:rsidRPr="00DF5A84" w:rsidRDefault="0096358A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8A" w:rsidRPr="00DF5A84" w:rsidRDefault="0096358A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DF5A84" w:rsidRDefault="0096358A" w:rsidP="00512A1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24,175,055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C849E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1,031,323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8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96358A" w:rsidRPr="00A869EA" w:rsidRDefault="0096358A" w:rsidP="00BC5C2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25,206,378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BA1CC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BA1CC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A1CCA">
              <w:rPr>
                <w:rFonts w:ascii="Arial" w:hAnsi="Arial" w:cs="Arial"/>
                <w:b/>
                <w:sz w:val="11"/>
                <w:szCs w:val="11"/>
                <w:lang w:val="es-MX"/>
              </w:rPr>
              <w:t>25,206,378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58A" w:rsidRPr="00C849EA" w:rsidRDefault="0096358A" w:rsidP="00BC5C2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2,818,302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71421" w:rsidRPr="006751B0" w:rsidTr="009E4790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2,818,302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231852">
              <w:rPr>
                <w:b/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31852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8605F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8605F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2,818,302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8605F" w:rsidRDefault="00F7142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8605F" w:rsidRDefault="00F7142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4,918,302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8605F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4,490,337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421" w:rsidRPr="0028605F" w:rsidRDefault="00F71421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96358A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8A" w:rsidRPr="00DF5A84" w:rsidRDefault="0096358A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6358A" w:rsidRPr="0028605F" w:rsidRDefault="0096358A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26,275,055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6358A" w:rsidRPr="0028605F" w:rsidRDefault="0096358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3,849,625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6358A" w:rsidRPr="0057317F" w:rsidRDefault="0096358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6358A" w:rsidRPr="0028605F" w:rsidRDefault="0096358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6358A" w:rsidRPr="00B9640B" w:rsidRDefault="0096358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30,124,680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6358A" w:rsidRPr="0028605F" w:rsidRDefault="0096358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D34B04" w:rsidRDefault="00D34B04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D34B04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34B04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02847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34B04" w:rsidRPr="006751B0" w:rsidTr="009E479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4B04" w:rsidRPr="006751B0" w:rsidRDefault="00D34B04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231852" w:rsidRDefault="00D34B04" w:rsidP="00231852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31852">
              <w:rPr>
                <w:rFonts w:ascii="Arial" w:hAnsi="Arial" w:cs="Arial"/>
                <w:b/>
                <w:sz w:val="11"/>
                <w:szCs w:val="11"/>
                <w:lang w:val="es-MX"/>
              </w:rPr>
              <w:t>4,236,798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231852" w:rsidRDefault="00D34B04" w:rsidP="00231852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-252,668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4B264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4B264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B04" w:rsidRPr="00231852" w:rsidRDefault="00D34B04" w:rsidP="00231852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</w:tr>
      <w:tr w:rsidR="00D34B04" w:rsidRPr="006751B0" w:rsidTr="009E479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B04" w:rsidRPr="006751B0" w:rsidRDefault="00D34B04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23185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4,236,798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D34B0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-252,668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23185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4B04" w:rsidRPr="005C0A89" w:rsidRDefault="00D34B04" w:rsidP="0023185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3,984,130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B04" w:rsidRPr="005C0A89" w:rsidRDefault="00D34B04" w:rsidP="0023185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2847" w:rsidRPr="006751B0" w:rsidTr="004B264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2847" w:rsidRPr="006751B0" w:rsidRDefault="00302847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847" w:rsidRP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302847">
              <w:rPr>
                <w:rFonts w:ascii="Arial" w:hAnsi="Arial" w:cs="Arial"/>
                <w:b/>
                <w:sz w:val="11"/>
                <w:szCs w:val="11"/>
                <w:lang w:val="es-MX"/>
              </w:rPr>
              <w:t>4,236,798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847" w:rsidRP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302847"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847" w:rsidRP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302847">
              <w:rPr>
                <w:rFonts w:ascii="Arial" w:hAnsi="Arial" w:cs="Arial"/>
                <w:b/>
                <w:sz w:val="11"/>
                <w:szCs w:val="11"/>
              </w:rPr>
              <w:t>4,236,798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847" w:rsidRP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302847">
              <w:rPr>
                <w:rFonts w:ascii="Arial" w:hAnsi="Arial" w:cs="Arial"/>
                <w:b/>
                <w:sz w:val="11"/>
                <w:szCs w:val="11"/>
              </w:rPr>
              <w:t>3,828,375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2847" w:rsidRP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302847">
              <w:rPr>
                <w:rFonts w:ascii="Arial" w:hAnsi="Arial" w:cs="Arial"/>
                <w:b/>
                <w:sz w:val="11"/>
                <w:szCs w:val="11"/>
              </w:rPr>
              <w:t>3,828,375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302847" w:rsidRPr="00302847" w:rsidRDefault="00302847" w:rsidP="00302847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302847">
              <w:rPr>
                <w:rFonts w:ascii="Arial" w:hAnsi="Arial" w:cs="Arial"/>
                <w:b/>
                <w:sz w:val="11"/>
                <w:szCs w:val="11"/>
              </w:rPr>
              <w:t>408,423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Pr="006751B0" w:rsidRDefault="00B73156" w:rsidP="00873DDA">
      <w:pPr>
        <w:pStyle w:val="Texto"/>
        <w:rPr>
          <w:lang w:val="es-MX"/>
        </w:rPr>
      </w:pPr>
    </w:p>
    <w:sectPr w:rsidR="00B73156" w:rsidRPr="006751B0" w:rsidSect="001E1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1C" w:rsidRDefault="000F481C" w:rsidP="00B73156">
      <w:r>
        <w:separator/>
      </w:r>
    </w:p>
  </w:endnote>
  <w:endnote w:type="continuationSeparator" w:id="1">
    <w:p w:rsidR="000F481C" w:rsidRDefault="000F481C" w:rsidP="00B7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F" w:rsidRDefault="00BC5C2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F" w:rsidRDefault="00BC5C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1C" w:rsidRDefault="000F481C" w:rsidP="00B73156">
      <w:r>
        <w:separator/>
      </w:r>
    </w:p>
  </w:footnote>
  <w:footnote w:type="continuationSeparator" w:id="1">
    <w:p w:rsidR="000F481C" w:rsidRDefault="000F481C" w:rsidP="00B7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F" w:rsidRPr="00D041E0" w:rsidRDefault="00BC5C2F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C5C2F" w:rsidRPr="008A4FDD" w:rsidRDefault="00BC5C2F" w:rsidP="00AE05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F" w:rsidRPr="00D041E0" w:rsidRDefault="00BC5C2F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C5C2F" w:rsidRPr="009E4DB1" w:rsidRDefault="00BC5C2F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F" w:rsidRPr="007F429E" w:rsidRDefault="00BC5C2F" w:rsidP="007F429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F" w:rsidRPr="00D041E0" w:rsidRDefault="00BC5C2F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C5C2F" w:rsidRPr="00D041E0" w:rsidRDefault="00BC5C2F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C5C2F" w:rsidRPr="008A4FDD" w:rsidRDefault="00BC5C2F" w:rsidP="00AE05B7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F" w:rsidRPr="00FF6F8E" w:rsidRDefault="00BC5C2F" w:rsidP="00AE05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156"/>
    <w:rsid w:val="00013F54"/>
    <w:rsid w:val="000324A8"/>
    <w:rsid w:val="00035735"/>
    <w:rsid w:val="00051E49"/>
    <w:rsid w:val="00095BBF"/>
    <w:rsid w:val="000A38E1"/>
    <w:rsid w:val="000B0DD7"/>
    <w:rsid w:val="000B464C"/>
    <w:rsid w:val="000C61FF"/>
    <w:rsid w:val="000D5A3B"/>
    <w:rsid w:val="000F481C"/>
    <w:rsid w:val="00170EB7"/>
    <w:rsid w:val="001A31C0"/>
    <w:rsid w:val="001C2FAB"/>
    <w:rsid w:val="001C539E"/>
    <w:rsid w:val="001E1B33"/>
    <w:rsid w:val="001F2318"/>
    <w:rsid w:val="00203A3C"/>
    <w:rsid w:val="00211435"/>
    <w:rsid w:val="002162B2"/>
    <w:rsid w:val="00216571"/>
    <w:rsid w:val="00231852"/>
    <w:rsid w:val="00247CAA"/>
    <w:rsid w:val="002557B3"/>
    <w:rsid w:val="002643BD"/>
    <w:rsid w:val="00274014"/>
    <w:rsid w:val="00275878"/>
    <w:rsid w:val="002769C5"/>
    <w:rsid w:val="00277313"/>
    <w:rsid w:val="002832F8"/>
    <w:rsid w:val="00296705"/>
    <w:rsid w:val="002B2A11"/>
    <w:rsid w:val="002D089C"/>
    <w:rsid w:val="002E4E5A"/>
    <w:rsid w:val="00302847"/>
    <w:rsid w:val="00351AA7"/>
    <w:rsid w:val="00374D58"/>
    <w:rsid w:val="003911DE"/>
    <w:rsid w:val="003957F6"/>
    <w:rsid w:val="003A3D59"/>
    <w:rsid w:val="003A656F"/>
    <w:rsid w:val="003B163D"/>
    <w:rsid w:val="003B1C51"/>
    <w:rsid w:val="003B6C89"/>
    <w:rsid w:val="003D5223"/>
    <w:rsid w:val="003E5AF1"/>
    <w:rsid w:val="003F34AE"/>
    <w:rsid w:val="00403CA0"/>
    <w:rsid w:val="00454987"/>
    <w:rsid w:val="004B2646"/>
    <w:rsid w:val="004C679B"/>
    <w:rsid w:val="004D21DE"/>
    <w:rsid w:val="004D42C5"/>
    <w:rsid w:val="004F32AF"/>
    <w:rsid w:val="004F3657"/>
    <w:rsid w:val="00504EE0"/>
    <w:rsid w:val="00512A13"/>
    <w:rsid w:val="005145BB"/>
    <w:rsid w:val="005156F9"/>
    <w:rsid w:val="00527715"/>
    <w:rsid w:val="00530812"/>
    <w:rsid w:val="0053170A"/>
    <w:rsid w:val="00540CA2"/>
    <w:rsid w:val="00540D60"/>
    <w:rsid w:val="005541CB"/>
    <w:rsid w:val="0057317F"/>
    <w:rsid w:val="005C0A89"/>
    <w:rsid w:val="00643F01"/>
    <w:rsid w:val="006534DB"/>
    <w:rsid w:val="006539EF"/>
    <w:rsid w:val="00662A66"/>
    <w:rsid w:val="00680BBF"/>
    <w:rsid w:val="00681911"/>
    <w:rsid w:val="00684C07"/>
    <w:rsid w:val="00693446"/>
    <w:rsid w:val="006A01A7"/>
    <w:rsid w:val="006D1A6C"/>
    <w:rsid w:val="006E345F"/>
    <w:rsid w:val="006E6F44"/>
    <w:rsid w:val="007022A1"/>
    <w:rsid w:val="007267B6"/>
    <w:rsid w:val="00737313"/>
    <w:rsid w:val="00760D04"/>
    <w:rsid w:val="007748BC"/>
    <w:rsid w:val="007773AE"/>
    <w:rsid w:val="007B07CF"/>
    <w:rsid w:val="007D6EDC"/>
    <w:rsid w:val="007E2A10"/>
    <w:rsid w:val="007F429E"/>
    <w:rsid w:val="007F6860"/>
    <w:rsid w:val="00814B96"/>
    <w:rsid w:val="00816458"/>
    <w:rsid w:val="0082324F"/>
    <w:rsid w:val="00826B24"/>
    <w:rsid w:val="008317EF"/>
    <w:rsid w:val="00873DDA"/>
    <w:rsid w:val="00886A29"/>
    <w:rsid w:val="00892425"/>
    <w:rsid w:val="008F0406"/>
    <w:rsid w:val="008F09F8"/>
    <w:rsid w:val="008F2AAD"/>
    <w:rsid w:val="00913C16"/>
    <w:rsid w:val="0091724C"/>
    <w:rsid w:val="0092265D"/>
    <w:rsid w:val="00924364"/>
    <w:rsid w:val="00924C71"/>
    <w:rsid w:val="00927633"/>
    <w:rsid w:val="0094770C"/>
    <w:rsid w:val="009568EA"/>
    <w:rsid w:val="0096358A"/>
    <w:rsid w:val="00982C83"/>
    <w:rsid w:val="00983AD7"/>
    <w:rsid w:val="00987906"/>
    <w:rsid w:val="00993814"/>
    <w:rsid w:val="009D3A68"/>
    <w:rsid w:val="009E272D"/>
    <w:rsid w:val="009E4790"/>
    <w:rsid w:val="00A11317"/>
    <w:rsid w:val="00A20AA0"/>
    <w:rsid w:val="00A4441D"/>
    <w:rsid w:val="00A81C1D"/>
    <w:rsid w:val="00A869EA"/>
    <w:rsid w:val="00AE05B7"/>
    <w:rsid w:val="00AE44B1"/>
    <w:rsid w:val="00AF3B33"/>
    <w:rsid w:val="00AF3CCE"/>
    <w:rsid w:val="00AF52CE"/>
    <w:rsid w:val="00AF744D"/>
    <w:rsid w:val="00B0417E"/>
    <w:rsid w:val="00B3257B"/>
    <w:rsid w:val="00B4607E"/>
    <w:rsid w:val="00B470C6"/>
    <w:rsid w:val="00B604AE"/>
    <w:rsid w:val="00B73156"/>
    <w:rsid w:val="00B74592"/>
    <w:rsid w:val="00B84A9B"/>
    <w:rsid w:val="00B84B79"/>
    <w:rsid w:val="00B94D33"/>
    <w:rsid w:val="00B95EE4"/>
    <w:rsid w:val="00B9640B"/>
    <w:rsid w:val="00B964EE"/>
    <w:rsid w:val="00BA1CCA"/>
    <w:rsid w:val="00BA2A27"/>
    <w:rsid w:val="00BC5C2F"/>
    <w:rsid w:val="00BC6A2A"/>
    <w:rsid w:val="00BD6256"/>
    <w:rsid w:val="00C171C3"/>
    <w:rsid w:val="00C211AA"/>
    <w:rsid w:val="00C3383F"/>
    <w:rsid w:val="00C36606"/>
    <w:rsid w:val="00C42159"/>
    <w:rsid w:val="00C47377"/>
    <w:rsid w:val="00C6662A"/>
    <w:rsid w:val="00C84751"/>
    <w:rsid w:val="00C849EA"/>
    <w:rsid w:val="00C84B4F"/>
    <w:rsid w:val="00C8514D"/>
    <w:rsid w:val="00C969E2"/>
    <w:rsid w:val="00CC0CE4"/>
    <w:rsid w:val="00CC5BCC"/>
    <w:rsid w:val="00CE1B53"/>
    <w:rsid w:val="00CE336E"/>
    <w:rsid w:val="00CF1141"/>
    <w:rsid w:val="00CF4323"/>
    <w:rsid w:val="00D3374F"/>
    <w:rsid w:val="00D34B04"/>
    <w:rsid w:val="00D441B0"/>
    <w:rsid w:val="00D52B28"/>
    <w:rsid w:val="00DA2D1A"/>
    <w:rsid w:val="00DA41AC"/>
    <w:rsid w:val="00DB101F"/>
    <w:rsid w:val="00DD28D2"/>
    <w:rsid w:val="00DF5A84"/>
    <w:rsid w:val="00E22915"/>
    <w:rsid w:val="00E369B9"/>
    <w:rsid w:val="00E43E79"/>
    <w:rsid w:val="00E55224"/>
    <w:rsid w:val="00E95693"/>
    <w:rsid w:val="00EC7D5D"/>
    <w:rsid w:val="00ED0BB9"/>
    <w:rsid w:val="00ED6940"/>
    <w:rsid w:val="00ED6C60"/>
    <w:rsid w:val="00EE1529"/>
    <w:rsid w:val="00EF43B0"/>
    <w:rsid w:val="00F00B31"/>
    <w:rsid w:val="00F440AB"/>
    <w:rsid w:val="00F7035A"/>
    <w:rsid w:val="00F71421"/>
    <w:rsid w:val="00F75712"/>
    <w:rsid w:val="00FA41EE"/>
    <w:rsid w:val="00FA4BF7"/>
    <w:rsid w:val="00FC0EAE"/>
    <w:rsid w:val="00FF129B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cs="Times New Roman"/>
      <w:b/>
      <w:bCs/>
      <w:lang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A14B-CCFA-4A05-AF66-8E2AE887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</Pages>
  <Words>5726</Words>
  <Characters>31495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HpSlimLine</cp:lastModifiedBy>
  <cp:revision>144</cp:revision>
  <cp:lastPrinted>2017-01-05T20:51:00Z</cp:lastPrinted>
  <dcterms:created xsi:type="dcterms:W3CDTF">2016-11-29T17:53:00Z</dcterms:created>
  <dcterms:modified xsi:type="dcterms:W3CDTF">2017-01-05T20:52:00Z</dcterms:modified>
</cp:coreProperties>
</file>