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18" w:rsidRDefault="0070081C" w:rsidP="00372F40">
      <w:pPr>
        <w:jc w:val="center"/>
      </w:pPr>
      <w:r>
        <w:rPr>
          <w:sz w:val="28"/>
          <w:szCs w:val="28"/>
        </w:rPr>
        <w:t xml:space="preserve">        </w:t>
      </w:r>
      <w:r w:rsidR="00576CA7" w:rsidRPr="009C167A">
        <w:rPr>
          <w:sz w:val="28"/>
          <w:szCs w:val="28"/>
        </w:rP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75pt;height:465pt" o:ole="">
            <v:imagedata r:id="rId8" o:title=""/>
          </v:shape>
          <o:OLEObject Type="Embed" ProgID="Excel.Sheet.12" ShapeID="_x0000_i1025" DrawAspect="Content" ObjectID="_1545472226" r:id="rId9"/>
        </w:object>
      </w:r>
    </w:p>
    <w:bookmarkStart w:id="0" w:name="_MON_1470805999"/>
    <w:bookmarkEnd w:id="0"/>
    <w:p w:rsidR="00EA5418" w:rsidRDefault="00B118D1" w:rsidP="0044253C">
      <w:pPr>
        <w:jc w:val="center"/>
      </w:pPr>
      <w:r>
        <w:object w:dxaOrig="25153" w:dyaOrig="18931">
          <v:shape id="_x0000_i1026" type="#_x0000_t75" style="width:9in;height:465pt" o:ole="">
            <v:imagedata r:id="rId10" o:title=""/>
          </v:shape>
          <o:OLEObject Type="Embed" ProgID="Excel.Sheet.12" ShapeID="_x0000_i1026" DrawAspect="Content" ObjectID="_1545472227" r:id="rId11"/>
        </w:object>
      </w:r>
    </w:p>
    <w:p w:rsidR="00385ABC" w:rsidRDefault="009F5831" w:rsidP="00385ABC">
      <w:pPr>
        <w:tabs>
          <w:tab w:val="left" w:pos="4678"/>
        </w:tabs>
        <w:spacing w:after="0" w:line="240" w:lineRule="auto"/>
        <w:ind w:left="142" w:right="74" w:hanging="284"/>
        <w:jc w:val="center"/>
        <w:rPr>
          <w:b/>
        </w:rPr>
      </w:pPr>
      <w:bookmarkStart w:id="1" w:name="_MON_1470806992"/>
      <w:bookmarkStart w:id="2" w:name="_MON_1470807348"/>
      <w:bookmarkEnd w:id="1"/>
      <w:bookmarkEnd w:id="2"/>
      <w:r w:rsidRPr="009F5831">
        <w:rPr>
          <w:noProof/>
          <w:lang w:eastAsia="es-MX"/>
        </w:rPr>
        <w:lastRenderedPageBreak/>
        <w:pict>
          <v:shape id="_x0000_s1071" type="#_x0000_t75" style="position:absolute;left:0;text-align:left;margin-left:14.2pt;margin-top:15.2pt;width:698.55pt;height:455.05pt;z-index:251669504">
            <v:imagedata r:id="rId12" o:title=""/>
            <w10:wrap type="square" side="left"/>
          </v:shape>
          <o:OLEObject Type="Embed" ProgID="Excel.Sheet.12" ShapeID="_x0000_s1071" DrawAspect="Content" ObjectID="_1545472232" r:id="rId13"/>
        </w:pict>
      </w:r>
    </w:p>
    <w:p w:rsidR="00A87497" w:rsidRDefault="006B59AF" w:rsidP="00637F6C">
      <w:pPr>
        <w:ind w:left="142" w:right="72" w:hanging="284"/>
        <w:jc w:val="right"/>
        <w:rPr>
          <w:b/>
        </w:rPr>
      </w:pPr>
      <w:r>
        <w:object w:dxaOrig="18370" w:dyaOrig="12404">
          <v:shape id="_x0000_i1027" type="#_x0000_t75" style="width:675.75pt;height:429.75pt" o:ole="">
            <v:imagedata r:id="rId14" o:title=""/>
          </v:shape>
          <o:OLEObject Type="Embed" ProgID="Excel.Sheet.12" ShapeID="_x0000_i1027" DrawAspect="Content" ObjectID="_1545472228" r:id="rId15"/>
        </w:object>
      </w:r>
    </w:p>
    <w:p w:rsidR="00A87497" w:rsidRPr="000836A7" w:rsidRDefault="00E81910" w:rsidP="008E3652">
      <w:pPr>
        <w:jc w:val="center"/>
        <w:rPr>
          <w:b/>
        </w:rPr>
      </w:pPr>
      <w:r>
        <w:object w:dxaOrig="17805" w:dyaOrig="12251">
          <v:shape id="_x0000_i1028" type="#_x0000_t75" style="width:633pt;height:409.5pt" o:ole="">
            <v:imagedata r:id="rId16" o:title=""/>
          </v:shape>
          <o:OLEObject Type="Embed" ProgID="Excel.Sheet.12" ShapeID="_x0000_i1028" DrawAspect="Content" ObjectID="_1545472229" r:id="rId17"/>
        </w:object>
      </w:r>
    </w:p>
    <w:bookmarkStart w:id="3" w:name="_MON_1470809138"/>
    <w:bookmarkStart w:id="4" w:name="_MON_1470814596"/>
    <w:bookmarkEnd w:id="3"/>
    <w:bookmarkEnd w:id="4"/>
    <w:p w:rsidR="00E32708" w:rsidRDefault="00E81910" w:rsidP="00E32708">
      <w:pPr>
        <w:tabs>
          <w:tab w:val="left" w:pos="2430"/>
        </w:tabs>
        <w:jc w:val="center"/>
      </w:pPr>
      <w:r>
        <w:object w:dxaOrig="18229" w:dyaOrig="11202">
          <v:shape id="_x0000_i1029" type="#_x0000_t75" style="width:652.5pt;height:410.25pt" o:ole="">
            <v:imagedata r:id="rId18" o:title=""/>
          </v:shape>
          <o:OLEObject Type="Embed" ProgID="Excel.Sheet.12" ShapeID="_x0000_i1029" DrawAspect="Content" ObjectID="_1545472230" r:id="rId19"/>
        </w:object>
      </w:r>
    </w:p>
    <w:p w:rsidR="0068020F" w:rsidRDefault="0068020F" w:rsidP="00E32708">
      <w:pPr>
        <w:tabs>
          <w:tab w:val="left" w:pos="2430"/>
        </w:tabs>
        <w:jc w:val="center"/>
      </w:pPr>
    </w:p>
    <w:p w:rsidR="0068020F" w:rsidRDefault="0068020F" w:rsidP="00E32708">
      <w:pPr>
        <w:tabs>
          <w:tab w:val="left" w:pos="2430"/>
        </w:tabs>
        <w:jc w:val="center"/>
      </w:pPr>
    </w:p>
    <w:p w:rsidR="0068020F" w:rsidRPr="00540418" w:rsidRDefault="00F4399C" w:rsidP="00FE0BE3">
      <w:pPr>
        <w:jc w:val="center"/>
        <w:rPr>
          <w:rFonts w:ascii="Soberana Sans Light" w:hAnsi="Soberana Sans Light"/>
        </w:rPr>
      </w:pPr>
      <w:r>
        <w:object w:dxaOrig="25922" w:dyaOrig="16771">
          <v:shape id="_x0000_i1030" type="#_x0000_t75" style="width:694.5pt;height:461.25pt" o:ole="">
            <v:imagedata r:id="rId20" o:title=""/>
          </v:shape>
          <o:OLEObject Type="Embed" ProgID="Excel.Sheet.12" ShapeID="_x0000_i1030" DrawAspect="Content" ObjectID="_1545472231" r:id="rId21"/>
        </w:object>
      </w:r>
      <w:r w:rsidR="0068020F" w:rsidRPr="00593BC0">
        <w:rPr>
          <w:rFonts w:ascii="Soberana Sans Light" w:hAnsi="Soberana Sans Light"/>
        </w:rPr>
        <w:t xml:space="preserve"> </w:t>
      </w:r>
      <w:r w:rsidR="0068020F" w:rsidRPr="00540418">
        <w:rPr>
          <w:rFonts w:ascii="Soberana Sans Light" w:hAnsi="Soberana Sans Light"/>
        </w:rPr>
        <w:t>Informe de Pasivos Contingentes</w:t>
      </w:r>
    </w:p>
    <w:p w:rsidR="0068020F" w:rsidRPr="00540418" w:rsidRDefault="0068020F" w:rsidP="0068020F">
      <w:pPr>
        <w:rPr>
          <w:rFonts w:ascii="Soberana Sans Light" w:hAnsi="Soberana Sans Light"/>
        </w:rPr>
      </w:pPr>
    </w:p>
    <w:p w:rsidR="0068020F" w:rsidRPr="00540418" w:rsidRDefault="0068020F" w:rsidP="0068020F">
      <w:pPr>
        <w:rPr>
          <w:rFonts w:ascii="Soberana Sans Light" w:hAnsi="Soberana Sans Light"/>
        </w:rPr>
      </w:pPr>
    </w:p>
    <w:p w:rsidR="0068020F" w:rsidRDefault="0068020F" w:rsidP="0068020F">
      <w:pPr>
        <w:rPr>
          <w:rFonts w:ascii="Soberana Sans Light" w:hAnsi="Soberana Sans Light"/>
        </w:rPr>
      </w:pPr>
      <w:r>
        <w:rPr>
          <w:rFonts w:ascii="Soberana Sans Light" w:hAnsi="Soberana Sans Light"/>
        </w:rPr>
        <w:t xml:space="preserve">Se presenta la cuenta contable correspondiente al Fondo de Contingencia por el importe de </w:t>
      </w:r>
      <w:r w:rsidR="00446740" w:rsidRPr="00317CEF">
        <w:rPr>
          <w:rFonts w:ascii="Soberana Sans Light" w:hAnsi="Soberana Sans Light"/>
        </w:rPr>
        <w:t>$</w:t>
      </w:r>
      <w:r w:rsidR="003C35F1" w:rsidRPr="00317CEF">
        <w:rPr>
          <w:rFonts w:ascii="Soberana Sans Light" w:hAnsi="Soberana Sans Light"/>
        </w:rPr>
        <w:t>9</w:t>
      </w:r>
      <w:r w:rsidR="00656928">
        <w:rPr>
          <w:rFonts w:ascii="Soberana Sans Light" w:hAnsi="Soberana Sans Light"/>
        </w:rPr>
        <w:t>37</w:t>
      </w:r>
      <w:r w:rsidR="003C35F1" w:rsidRPr="00317CEF">
        <w:rPr>
          <w:rFonts w:ascii="Soberana Sans Light" w:hAnsi="Soberana Sans Light"/>
        </w:rPr>
        <w:t>,</w:t>
      </w:r>
      <w:r w:rsidR="00656928">
        <w:rPr>
          <w:rFonts w:ascii="Soberana Sans Light" w:hAnsi="Soberana Sans Light"/>
        </w:rPr>
        <w:t>463</w:t>
      </w:r>
      <w:r>
        <w:rPr>
          <w:rFonts w:ascii="Soberana Sans Light" w:hAnsi="Soberana Sans Light"/>
        </w:rPr>
        <w:t xml:space="preserve"> que corresponde al descuento porcentual que se aplica a los créditos otorgados para la creación del Fondo y pueda ser afectado por la incobrabilidad de algún crédito.</w:t>
      </w: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tbl>
      <w:tblPr>
        <w:tblW w:w="12043" w:type="dxa"/>
        <w:tblInd w:w="58" w:type="dxa"/>
        <w:tblCellMar>
          <w:left w:w="70" w:type="dxa"/>
          <w:right w:w="70" w:type="dxa"/>
        </w:tblCellMar>
        <w:tblLook w:val="04A0"/>
      </w:tblPr>
      <w:tblGrid>
        <w:gridCol w:w="4800"/>
        <w:gridCol w:w="360"/>
        <w:gridCol w:w="440"/>
        <w:gridCol w:w="480"/>
        <w:gridCol w:w="920"/>
        <w:gridCol w:w="5043"/>
      </w:tblGrid>
      <w:tr w:rsidR="0068020F" w:rsidRPr="00C74E12" w:rsidTr="007756BE">
        <w:trPr>
          <w:trHeight w:val="300"/>
        </w:trPr>
        <w:tc>
          <w:tcPr>
            <w:tcW w:w="4800" w:type="dxa"/>
            <w:tcBorders>
              <w:top w:val="single" w:sz="4" w:space="0" w:color="auto"/>
              <w:left w:val="nil"/>
              <w:bottom w:val="nil"/>
              <w:right w:val="nil"/>
            </w:tcBorders>
            <w:shd w:val="clear" w:color="000000" w:fill="FFFFFF"/>
            <w:noWrap/>
            <w:vAlign w:val="bottom"/>
            <w:hideMark/>
          </w:tcPr>
          <w:p w:rsidR="0068020F" w:rsidRPr="00C74E12" w:rsidRDefault="0068020F" w:rsidP="00867C57">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Silvestre Velázquez Guevara</w:t>
            </w:r>
          </w:p>
        </w:tc>
        <w:tc>
          <w:tcPr>
            <w:tcW w:w="36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68020F" w:rsidRPr="00C74E12" w:rsidRDefault="0068020F" w:rsidP="00867C57">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043" w:type="dxa"/>
            <w:tcBorders>
              <w:top w:val="single" w:sz="4" w:space="0" w:color="auto"/>
              <w:left w:val="nil"/>
              <w:bottom w:val="nil"/>
              <w:right w:val="nil"/>
            </w:tcBorders>
            <w:shd w:val="clear" w:color="000000" w:fill="FFFFFF"/>
            <w:noWrap/>
            <w:vAlign w:val="bottom"/>
            <w:hideMark/>
          </w:tcPr>
          <w:p w:rsidR="0068020F" w:rsidRPr="00C74E12" w:rsidRDefault="0068020F" w:rsidP="007756BE">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xml:space="preserve">Lic. </w:t>
            </w:r>
            <w:r w:rsidR="007756BE">
              <w:rPr>
                <w:rFonts w:ascii="Courier New" w:eastAsia="Times New Roman" w:hAnsi="Courier New" w:cs="Courier New"/>
                <w:color w:val="000000"/>
                <w:sz w:val="18"/>
                <w:szCs w:val="18"/>
                <w:lang w:eastAsia="es-MX"/>
              </w:rPr>
              <w:t>Claudia Pérez Minor</w:t>
            </w:r>
          </w:p>
        </w:tc>
      </w:tr>
      <w:tr w:rsidR="0068020F" w:rsidRPr="00C74E12" w:rsidTr="007756BE">
        <w:trPr>
          <w:trHeight w:val="300"/>
        </w:trPr>
        <w:tc>
          <w:tcPr>
            <w:tcW w:w="4800" w:type="dxa"/>
            <w:tcBorders>
              <w:top w:val="nil"/>
              <w:left w:val="nil"/>
              <w:bottom w:val="nil"/>
              <w:right w:val="nil"/>
            </w:tcBorders>
            <w:shd w:val="clear" w:color="000000" w:fill="FFFFFF"/>
            <w:hideMark/>
          </w:tcPr>
          <w:p w:rsidR="0068020F" w:rsidRPr="00C74E12" w:rsidRDefault="0068020F" w:rsidP="00867C57">
            <w:pPr>
              <w:spacing w:after="0" w:line="240" w:lineRule="auto"/>
              <w:jc w:val="center"/>
              <w:rPr>
                <w:rFonts w:ascii="Courier New" w:eastAsia="Times New Roman" w:hAnsi="Courier New" w:cs="Courier New"/>
                <w:sz w:val="18"/>
                <w:szCs w:val="18"/>
                <w:lang w:eastAsia="es-MX"/>
              </w:rPr>
            </w:pPr>
            <w:r w:rsidRPr="00C74E12">
              <w:rPr>
                <w:rFonts w:ascii="Courier New" w:eastAsia="Times New Roman" w:hAnsi="Courier New" w:cs="Courier New"/>
                <w:sz w:val="18"/>
                <w:szCs w:val="18"/>
                <w:lang w:eastAsia="es-MX"/>
              </w:rPr>
              <w:t>Gerente General</w:t>
            </w:r>
          </w:p>
        </w:tc>
        <w:tc>
          <w:tcPr>
            <w:tcW w:w="36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68020F" w:rsidRPr="00C74E12" w:rsidRDefault="0068020F" w:rsidP="00867C57">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043" w:type="dxa"/>
            <w:tcBorders>
              <w:top w:val="nil"/>
              <w:left w:val="nil"/>
              <w:bottom w:val="nil"/>
              <w:right w:val="nil"/>
            </w:tcBorders>
            <w:shd w:val="clear" w:color="000000" w:fill="FFFFFF"/>
            <w:hideMark/>
          </w:tcPr>
          <w:p w:rsidR="0068020F" w:rsidRPr="00C74E12" w:rsidRDefault="007756BE" w:rsidP="00867C57">
            <w:pPr>
              <w:spacing w:after="0" w:line="240" w:lineRule="auto"/>
              <w:jc w:val="center"/>
              <w:rPr>
                <w:rFonts w:ascii="Courier New" w:eastAsia="Times New Roman" w:hAnsi="Courier New" w:cs="Courier New"/>
                <w:sz w:val="18"/>
                <w:szCs w:val="18"/>
                <w:lang w:eastAsia="es-MX"/>
              </w:rPr>
            </w:pPr>
            <w:r>
              <w:rPr>
                <w:rFonts w:ascii="Courier New" w:eastAsia="Times New Roman" w:hAnsi="Courier New" w:cs="Courier New"/>
                <w:sz w:val="18"/>
                <w:szCs w:val="18"/>
                <w:lang w:eastAsia="es-MX"/>
              </w:rPr>
              <w:t>Encargada</w:t>
            </w:r>
            <w:r w:rsidR="0068020F" w:rsidRPr="00C74E12">
              <w:rPr>
                <w:rFonts w:ascii="Courier New" w:eastAsia="Times New Roman" w:hAnsi="Courier New" w:cs="Courier New"/>
                <w:sz w:val="18"/>
                <w:szCs w:val="18"/>
                <w:lang w:eastAsia="es-MX"/>
              </w:rPr>
              <w:t xml:space="preserve"> del Departamento de Administración</w:t>
            </w:r>
          </w:p>
        </w:tc>
      </w:tr>
    </w:tbl>
    <w:p w:rsidR="0068020F" w:rsidRDefault="0068020F" w:rsidP="0068020F">
      <w:pPr>
        <w:rPr>
          <w:rFonts w:ascii="Soberana Sans Light" w:hAnsi="Soberana Sans Light"/>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3C35F1" w:rsidRDefault="003C35F1" w:rsidP="0068020F">
      <w:pPr>
        <w:pStyle w:val="Texto"/>
        <w:spacing w:after="0" w:line="240" w:lineRule="exact"/>
        <w:jc w:val="center"/>
        <w:rPr>
          <w:rFonts w:ascii="Soberana Sans Light" w:hAnsi="Soberana Sans Light"/>
          <w:b/>
          <w:sz w:val="22"/>
          <w:szCs w:val="22"/>
        </w:rPr>
      </w:pPr>
    </w:p>
    <w:p w:rsidR="003C35F1" w:rsidRDefault="003C35F1" w:rsidP="0068020F">
      <w:pPr>
        <w:pStyle w:val="Texto"/>
        <w:spacing w:after="0" w:line="240" w:lineRule="exact"/>
        <w:jc w:val="center"/>
        <w:rPr>
          <w:rFonts w:ascii="Soberana Sans Light" w:hAnsi="Soberana Sans Light"/>
          <w:b/>
          <w:sz w:val="22"/>
          <w:szCs w:val="22"/>
        </w:rPr>
      </w:pPr>
    </w:p>
    <w:p w:rsidR="003C35F1" w:rsidRDefault="003C35F1"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68020F" w:rsidRDefault="0068020F" w:rsidP="0068020F">
      <w:pPr>
        <w:pStyle w:val="Texto"/>
        <w:spacing w:after="0" w:line="240" w:lineRule="exact"/>
        <w:jc w:val="center"/>
        <w:rPr>
          <w:rFonts w:ascii="Soberana Sans Light" w:hAnsi="Soberana Sans Light"/>
          <w:b/>
          <w:sz w:val="22"/>
          <w:szCs w:val="22"/>
        </w:rPr>
      </w:pPr>
    </w:p>
    <w:p w:rsidR="0068020F" w:rsidRPr="00540418" w:rsidRDefault="0068020F" w:rsidP="0068020F">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68020F" w:rsidRPr="00540418" w:rsidRDefault="0068020F" w:rsidP="0068020F">
      <w:pPr>
        <w:pStyle w:val="Texto"/>
        <w:spacing w:after="0" w:line="240" w:lineRule="exact"/>
        <w:rPr>
          <w:rFonts w:ascii="Soberana Sans Light" w:hAnsi="Soberana Sans Light"/>
          <w:b/>
          <w:sz w:val="22"/>
          <w:szCs w:val="22"/>
          <w:lang w:val="es-MX"/>
        </w:rPr>
      </w:pPr>
    </w:p>
    <w:p w:rsidR="0068020F" w:rsidRPr="00540418" w:rsidRDefault="0068020F" w:rsidP="0068020F">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68020F" w:rsidRPr="00540418" w:rsidRDefault="0068020F" w:rsidP="0068020F">
      <w:pPr>
        <w:pStyle w:val="Texto"/>
        <w:spacing w:after="0" w:line="240" w:lineRule="exact"/>
        <w:rPr>
          <w:rFonts w:ascii="Soberana Sans Light" w:hAnsi="Soberana Sans Light"/>
          <w:b/>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con Banamex</w:t>
      </w:r>
      <w:r>
        <w:rPr>
          <w:lang w:val="es-MX"/>
        </w:rPr>
        <w:t xml:space="preserve">. </w:t>
      </w:r>
    </w:p>
    <w:p w:rsidR="0068020F" w:rsidRDefault="0068020F" w:rsidP="0068020F">
      <w:pPr>
        <w:pStyle w:val="ROMANOS"/>
        <w:spacing w:after="0" w:line="240" w:lineRule="exact"/>
        <w:ind w:left="648" w:firstLine="0"/>
        <w:rPr>
          <w:lang w:val="es-MX"/>
        </w:rPr>
      </w:pPr>
      <w:r>
        <w:rPr>
          <w:lang w:val="es-MX"/>
        </w:rPr>
        <w:t>14383-7</w:t>
      </w:r>
      <w:r>
        <w:rPr>
          <w:lang w:val="es-MX"/>
        </w:rPr>
        <w:tab/>
      </w:r>
      <w:r>
        <w:rPr>
          <w:lang w:val="es-MX"/>
        </w:rPr>
        <w:tab/>
        <w:t>Cuenta Principal</w:t>
      </w:r>
      <w:r>
        <w:rPr>
          <w:lang w:val="es-MX"/>
        </w:rPr>
        <w:tab/>
      </w:r>
      <w:r>
        <w:rPr>
          <w:lang w:val="es-MX"/>
        </w:rPr>
        <w:tab/>
      </w:r>
      <w:r>
        <w:rPr>
          <w:lang w:val="es-MX"/>
        </w:rPr>
        <w:tab/>
      </w:r>
      <w:r w:rsidR="001907B3">
        <w:rPr>
          <w:lang w:val="es-MX"/>
        </w:rPr>
        <w:tab/>
        <w:t xml:space="preserve">  </w:t>
      </w:r>
      <w:r w:rsidR="00774B51">
        <w:rPr>
          <w:lang w:val="es-MX"/>
        </w:rPr>
        <w:t xml:space="preserve"> </w:t>
      </w:r>
      <w:r w:rsidR="001907B3">
        <w:rPr>
          <w:lang w:val="es-MX"/>
        </w:rPr>
        <w:t xml:space="preserve"> </w:t>
      </w:r>
      <w:r w:rsidR="003C35F1">
        <w:rPr>
          <w:lang w:val="es-MX"/>
        </w:rPr>
        <w:t>2</w:t>
      </w:r>
      <w:r w:rsidR="00F76840">
        <w:rPr>
          <w:lang w:val="es-MX"/>
        </w:rPr>
        <w:t>’</w:t>
      </w:r>
      <w:r w:rsidR="003C35F1">
        <w:rPr>
          <w:lang w:val="es-MX"/>
        </w:rPr>
        <w:t>3</w:t>
      </w:r>
      <w:r w:rsidR="00D209A7">
        <w:rPr>
          <w:lang w:val="es-MX"/>
        </w:rPr>
        <w:t>23</w:t>
      </w:r>
      <w:r w:rsidR="00C574B8">
        <w:rPr>
          <w:lang w:val="es-MX"/>
        </w:rPr>
        <w:t>,</w:t>
      </w:r>
      <w:r w:rsidR="00D209A7">
        <w:rPr>
          <w:lang w:val="es-MX"/>
        </w:rPr>
        <w:t>799</w:t>
      </w:r>
    </w:p>
    <w:p w:rsidR="003C35F1" w:rsidRDefault="0068020F" w:rsidP="0068020F">
      <w:pPr>
        <w:pStyle w:val="ROMANOS"/>
        <w:spacing w:after="0" w:line="240" w:lineRule="exact"/>
        <w:ind w:left="648" w:firstLine="0"/>
        <w:rPr>
          <w:lang w:val="es-MX"/>
        </w:rPr>
      </w:pPr>
      <w:r>
        <w:rPr>
          <w:lang w:val="es-MX"/>
        </w:rPr>
        <w:t>502427-5</w:t>
      </w:r>
      <w:r>
        <w:rPr>
          <w:lang w:val="es-MX"/>
        </w:rPr>
        <w:tab/>
      </w:r>
      <w:r>
        <w:rPr>
          <w:lang w:val="es-MX"/>
        </w:rPr>
        <w:tab/>
        <w:t>Cuenta Inafectable 10%</w:t>
      </w:r>
      <w:r>
        <w:rPr>
          <w:lang w:val="es-MX"/>
        </w:rPr>
        <w:tab/>
      </w:r>
      <w:r>
        <w:rPr>
          <w:lang w:val="es-MX"/>
        </w:rPr>
        <w:tab/>
      </w:r>
      <w:r w:rsidR="001907B3">
        <w:rPr>
          <w:lang w:val="es-MX"/>
        </w:rPr>
        <w:tab/>
      </w:r>
      <w:r w:rsidR="00F80381">
        <w:rPr>
          <w:lang w:val="es-MX"/>
        </w:rPr>
        <w:t xml:space="preserve"> </w:t>
      </w:r>
      <w:r w:rsidR="003C35F1">
        <w:rPr>
          <w:lang w:val="es-MX"/>
        </w:rPr>
        <w:t xml:space="preserve"> </w:t>
      </w:r>
      <w:r w:rsidR="00774B51">
        <w:rPr>
          <w:lang w:val="es-MX"/>
        </w:rPr>
        <w:t xml:space="preserve"> </w:t>
      </w:r>
      <w:r w:rsidR="00C574B8">
        <w:rPr>
          <w:lang w:val="es-MX"/>
        </w:rPr>
        <w:t xml:space="preserve"> </w:t>
      </w:r>
      <w:r w:rsidR="00527F5E">
        <w:rPr>
          <w:lang w:val="es-MX"/>
        </w:rPr>
        <w:t>4</w:t>
      </w:r>
      <w:r w:rsidR="00F76840">
        <w:rPr>
          <w:lang w:val="es-MX"/>
        </w:rPr>
        <w:t>’</w:t>
      </w:r>
      <w:r w:rsidR="00D209A7">
        <w:rPr>
          <w:lang w:val="es-MX"/>
        </w:rPr>
        <w:t>112,902</w:t>
      </w:r>
    </w:p>
    <w:p w:rsidR="0068020F" w:rsidRDefault="0068020F" w:rsidP="0068020F">
      <w:pPr>
        <w:pStyle w:val="ROMANOS"/>
        <w:spacing w:after="0" w:line="240" w:lineRule="exact"/>
        <w:ind w:left="648" w:firstLine="0"/>
        <w:rPr>
          <w:lang w:val="es-MX"/>
        </w:rPr>
      </w:pPr>
      <w:r>
        <w:rPr>
          <w:lang w:val="es-MX"/>
        </w:rPr>
        <w:t>502432-</w:t>
      </w:r>
      <w:r w:rsidR="001907B3">
        <w:rPr>
          <w:lang w:val="es-MX"/>
        </w:rPr>
        <w:t>1</w:t>
      </w:r>
      <w:r w:rsidR="001907B3">
        <w:rPr>
          <w:lang w:val="es-MX"/>
        </w:rPr>
        <w:tab/>
      </w:r>
      <w:r w:rsidR="001907B3">
        <w:rPr>
          <w:lang w:val="es-MX"/>
        </w:rPr>
        <w:tab/>
        <w:t>Cuenta Fondo de Contingencia</w:t>
      </w:r>
      <w:r w:rsidR="001907B3">
        <w:rPr>
          <w:lang w:val="es-MX"/>
        </w:rPr>
        <w:tab/>
      </w:r>
      <w:r w:rsidR="001907B3">
        <w:rPr>
          <w:lang w:val="es-MX"/>
        </w:rPr>
        <w:tab/>
        <w:t xml:space="preserve">   </w:t>
      </w:r>
      <w:r w:rsidR="00774B51">
        <w:rPr>
          <w:lang w:val="es-MX"/>
        </w:rPr>
        <w:t xml:space="preserve"> </w:t>
      </w:r>
      <w:r w:rsidR="001907B3">
        <w:rPr>
          <w:lang w:val="es-MX"/>
        </w:rPr>
        <w:t xml:space="preserve"> </w:t>
      </w:r>
      <w:r w:rsidR="003C35F1">
        <w:rPr>
          <w:lang w:val="es-MX"/>
        </w:rPr>
        <w:t xml:space="preserve">  </w:t>
      </w:r>
      <w:r w:rsidR="00527F5E">
        <w:rPr>
          <w:lang w:val="es-MX"/>
        </w:rPr>
        <w:t>9</w:t>
      </w:r>
      <w:r w:rsidR="00C574B8">
        <w:rPr>
          <w:lang w:val="es-MX"/>
        </w:rPr>
        <w:t>3</w:t>
      </w:r>
      <w:r w:rsidR="00D209A7">
        <w:rPr>
          <w:lang w:val="es-MX"/>
        </w:rPr>
        <w:t>7</w:t>
      </w:r>
      <w:r w:rsidR="00527F5E">
        <w:rPr>
          <w:lang w:val="es-MX"/>
        </w:rPr>
        <w:t>,</w:t>
      </w:r>
      <w:r w:rsidR="00D209A7">
        <w:rPr>
          <w:lang w:val="es-MX"/>
        </w:rPr>
        <w:t>463</w:t>
      </w:r>
    </w:p>
    <w:p w:rsidR="00C574B8" w:rsidRDefault="00C574B8" w:rsidP="0068020F">
      <w:pPr>
        <w:pStyle w:val="ROMANOS"/>
        <w:spacing w:after="0" w:line="240" w:lineRule="exact"/>
        <w:ind w:left="648" w:firstLine="0"/>
        <w:rPr>
          <w:lang w:val="es-MX"/>
        </w:rPr>
      </w:pPr>
      <w:r>
        <w:rPr>
          <w:lang w:val="es-MX"/>
        </w:rPr>
        <w:t>010</w:t>
      </w:r>
      <w:r w:rsidR="006B1629">
        <w:rPr>
          <w:lang w:val="es-MX"/>
        </w:rPr>
        <w:t>8431833</w:t>
      </w:r>
      <w:r w:rsidR="006B1629">
        <w:rPr>
          <w:lang w:val="es-MX"/>
        </w:rPr>
        <w:tab/>
        <w:t>Cuenta principal</w:t>
      </w:r>
      <w:r w:rsidR="006B1629">
        <w:rPr>
          <w:lang w:val="es-MX"/>
        </w:rPr>
        <w:tab/>
      </w:r>
      <w:r w:rsidR="006B1629">
        <w:rPr>
          <w:lang w:val="es-MX"/>
        </w:rPr>
        <w:tab/>
      </w:r>
      <w:r w:rsidR="006B1629">
        <w:rPr>
          <w:lang w:val="es-MX"/>
        </w:rPr>
        <w:tab/>
      </w:r>
      <w:r w:rsidR="006B1629">
        <w:rPr>
          <w:lang w:val="es-MX"/>
        </w:rPr>
        <w:tab/>
        <w:t xml:space="preserve">   2</w:t>
      </w:r>
      <w:r w:rsidR="00774B51">
        <w:rPr>
          <w:lang w:val="es-MX"/>
        </w:rPr>
        <w:t xml:space="preserve">, </w:t>
      </w:r>
      <w:r w:rsidR="006B1629">
        <w:rPr>
          <w:lang w:val="es-MX"/>
        </w:rPr>
        <w:t>167</w:t>
      </w:r>
      <w:r w:rsidR="00774B51">
        <w:rPr>
          <w:lang w:val="es-MX"/>
        </w:rPr>
        <w:t>,</w:t>
      </w:r>
      <w:r w:rsidR="006B1629">
        <w:rPr>
          <w:lang w:val="es-MX"/>
        </w:rPr>
        <w:t>287</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Derechos a recibir Efectivo y Equivalentes y Bienes o Servicios a Recibir</w:t>
      </w:r>
    </w:p>
    <w:p w:rsidR="0068020F" w:rsidRDefault="0068020F" w:rsidP="0068020F">
      <w:pPr>
        <w:pStyle w:val="ROMANOS"/>
        <w:spacing w:after="0" w:line="240" w:lineRule="exact"/>
        <w:ind w:left="648" w:firstLine="0"/>
        <w:rPr>
          <w:lang w:val="es-MX"/>
        </w:rPr>
      </w:pPr>
      <w:r w:rsidRPr="00F036E8">
        <w:rPr>
          <w:lang w:val="es-MX"/>
        </w:rPr>
        <w:t>En este concepto se refleja el importe de la cartera, correspondientes a los siguientes sectores</w:t>
      </w:r>
      <w:r>
        <w:rPr>
          <w:lang w:val="es-MX"/>
        </w:rPr>
        <w:t>:</w:t>
      </w:r>
      <w:r w:rsidRPr="00F036E8">
        <w:rPr>
          <w:lang w:val="es-MX"/>
        </w:rPr>
        <w:t xml:space="preserve"> </w:t>
      </w:r>
    </w:p>
    <w:p w:rsidR="0068020F" w:rsidRPr="00774B51" w:rsidRDefault="00AF57B4" w:rsidP="0068020F">
      <w:pPr>
        <w:pStyle w:val="ROMANOS"/>
        <w:spacing w:after="0" w:line="240" w:lineRule="exact"/>
        <w:ind w:left="648" w:firstLine="0"/>
        <w:rPr>
          <w:lang w:val="es-MX"/>
        </w:rPr>
      </w:pPr>
      <w:r>
        <w:rPr>
          <w:lang w:val="es-MX"/>
        </w:rPr>
        <w:t>Agrícola</w:t>
      </w:r>
      <w:r>
        <w:rPr>
          <w:lang w:val="es-MX"/>
        </w:rPr>
        <w:tab/>
      </w:r>
      <w:r>
        <w:rPr>
          <w:lang w:val="es-MX"/>
        </w:rPr>
        <w:tab/>
      </w:r>
      <w:r>
        <w:rPr>
          <w:lang w:val="es-MX"/>
        </w:rPr>
        <w:tab/>
      </w:r>
      <w:r w:rsidRPr="00774B51">
        <w:rPr>
          <w:lang w:val="es-MX"/>
        </w:rPr>
        <w:t>10,</w:t>
      </w:r>
      <w:r w:rsidR="00774B51">
        <w:rPr>
          <w:lang w:val="es-MX"/>
        </w:rPr>
        <w:t>141</w:t>
      </w:r>
      <w:r w:rsidR="0068020F" w:rsidRPr="00774B51">
        <w:rPr>
          <w:lang w:val="es-MX"/>
        </w:rPr>
        <w:t>,</w:t>
      </w:r>
      <w:r w:rsidR="00774B51">
        <w:rPr>
          <w:lang w:val="es-MX"/>
        </w:rPr>
        <w:t>665</w:t>
      </w:r>
    </w:p>
    <w:p w:rsidR="0068020F" w:rsidRPr="00774B51" w:rsidRDefault="0068020F" w:rsidP="0068020F">
      <w:pPr>
        <w:pStyle w:val="ROMANOS"/>
        <w:spacing w:after="0" w:line="240" w:lineRule="exact"/>
        <w:ind w:left="648" w:firstLine="0"/>
        <w:rPr>
          <w:lang w:val="es-MX"/>
        </w:rPr>
      </w:pPr>
      <w:r w:rsidRPr="00774B51">
        <w:rPr>
          <w:lang w:val="es-MX"/>
        </w:rPr>
        <w:t>Comercial</w:t>
      </w:r>
      <w:r w:rsidRPr="00774B51">
        <w:rPr>
          <w:lang w:val="es-MX"/>
        </w:rPr>
        <w:tab/>
      </w:r>
      <w:r w:rsidRPr="00774B51">
        <w:rPr>
          <w:lang w:val="es-MX"/>
        </w:rPr>
        <w:tab/>
      </w:r>
      <w:r w:rsidR="00DF20F4">
        <w:rPr>
          <w:lang w:val="es-MX"/>
        </w:rPr>
        <w:t xml:space="preserve"> </w:t>
      </w:r>
      <w:r w:rsidRPr="00774B51">
        <w:rPr>
          <w:lang w:val="es-MX"/>
        </w:rPr>
        <w:t xml:space="preserve"> </w:t>
      </w:r>
      <w:r w:rsidR="003C35F1" w:rsidRPr="00774B51">
        <w:rPr>
          <w:lang w:val="es-MX"/>
        </w:rPr>
        <w:t>2</w:t>
      </w:r>
      <w:r w:rsidR="00AF57B4" w:rsidRPr="00774B51">
        <w:rPr>
          <w:lang w:val="es-MX"/>
        </w:rPr>
        <w:t>,</w:t>
      </w:r>
      <w:r w:rsidR="00C574B8" w:rsidRPr="00774B51">
        <w:rPr>
          <w:lang w:val="es-MX"/>
        </w:rPr>
        <w:t>5</w:t>
      </w:r>
      <w:r w:rsidR="00774B51">
        <w:rPr>
          <w:lang w:val="es-MX"/>
        </w:rPr>
        <w:t>39</w:t>
      </w:r>
      <w:r w:rsidR="00527F5E" w:rsidRPr="00774B51">
        <w:rPr>
          <w:lang w:val="es-MX"/>
        </w:rPr>
        <w:t>,</w:t>
      </w:r>
      <w:r w:rsidR="00774B51">
        <w:rPr>
          <w:lang w:val="es-MX"/>
        </w:rPr>
        <w:t>033</w:t>
      </w:r>
    </w:p>
    <w:p w:rsidR="0068020F" w:rsidRPr="00774B51" w:rsidRDefault="0068020F" w:rsidP="0068020F">
      <w:pPr>
        <w:pStyle w:val="ROMANOS"/>
        <w:spacing w:after="0" w:line="240" w:lineRule="exact"/>
        <w:ind w:left="648" w:firstLine="0"/>
        <w:rPr>
          <w:lang w:val="es-MX"/>
        </w:rPr>
      </w:pPr>
      <w:r w:rsidRPr="00774B51">
        <w:rPr>
          <w:lang w:val="es-MX"/>
        </w:rPr>
        <w:t>Ganadero</w:t>
      </w:r>
      <w:r w:rsidRPr="00774B51">
        <w:rPr>
          <w:lang w:val="es-MX"/>
        </w:rPr>
        <w:tab/>
      </w:r>
      <w:r w:rsidRPr="00774B51">
        <w:rPr>
          <w:lang w:val="es-MX"/>
        </w:rPr>
        <w:tab/>
      </w:r>
      <w:r w:rsidR="00DF20F4">
        <w:rPr>
          <w:lang w:val="es-MX"/>
        </w:rPr>
        <w:t xml:space="preserve"> </w:t>
      </w:r>
      <w:r w:rsidRPr="00774B51">
        <w:rPr>
          <w:lang w:val="es-MX"/>
        </w:rPr>
        <w:t xml:space="preserve"> </w:t>
      </w:r>
      <w:r w:rsidR="00C574B8" w:rsidRPr="00774B51">
        <w:rPr>
          <w:lang w:val="es-MX"/>
        </w:rPr>
        <w:t>4</w:t>
      </w:r>
      <w:r w:rsidR="00AF57B4" w:rsidRPr="00774B51">
        <w:rPr>
          <w:lang w:val="es-MX"/>
        </w:rPr>
        <w:t>,</w:t>
      </w:r>
      <w:r w:rsidR="00774B51">
        <w:rPr>
          <w:lang w:val="es-MX"/>
        </w:rPr>
        <w:t>651</w:t>
      </w:r>
      <w:r w:rsidR="005A45B4" w:rsidRPr="00774B51">
        <w:rPr>
          <w:lang w:val="es-MX"/>
        </w:rPr>
        <w:t>,</w:t>
      </w:r>
      <w:r w:rsidR="00774B51">
        <w:rPr>
          <w:lang w:val="es-MX"/>
        </w:rPr>
        <w:t>508</w:t>
      </w:r>
    </w:p>
    <w:p w:rsidR="0068020F" w:rsidRPr="00774B51" w:rsidRDefault="00AF57B4" w:rsidP="0068020F">
      <w:pPr>
        <w:pStyle w:val="ROMANOS"/>
        <w:spacing w:after="0" w:line="240" w:lineRule="exact"/>
        <w:ind w:left="648" w:firstLine="0"/>
        <w:rPr>
          <w:lang w:val="es-MX"/>
        </w:rPr>
      </w:pPr>
      <w:r w:rsidRPr="00774B51">
        <w:rPr>
          <w:lang w:val="es-MX"/>
        </w:rPr>
        <w:t>Industrial</w:t>
      </w:r>
      <w:r w:rsidRPr="00774B51">
        <w:rPr>
          <w:lang w:val="es-MX"/>
        </w:rPr>
        <w:tab/>
      </w:r>
      <w:r w:rsidRPr="00774B51">
        <w:rPr>
          <w:lang w:val="es-MX"/>
        </w:rPr>
        <w:tab/>
      </w:r>
      <w:r w:rsidRPr="00774B51">
        <w:rPr>
          <w:lang w:val="es-MX"/>
        </w:rPr>
        <w:tab/>
        <w:t xml:space="preserve"> </w:t>
      </w:r>
      <w:r w:rsidR="00DF20F4">
        <w:rPr>
          <w:lang w:val="es-MX"/>
        </w:rPr>
        <w:t xml:space="preserve"> </w:t>
      </w:r>
      <w:r w:rsidRPr="00774B51">
        <w:rPr>
          <w:lang w:val="es-MX"/>
        </w:rPr>
        <w:t>3,</w:t>
      </w:r>
      <w:r w:rsidR="00774B51">
        <w:rPr>
          <w:lang w:val="es-MX"/>
        </w:rPr>
        <w:t>391</w:t>
      </w:r>
      <w:r w:rsidR="005A45B4" w:rsidRPr="00774B51">
        <w:rPr>
          <w:lang w:val="es-MX"/>
        </w:rPr>
        <w:t>,</w:t>
      </w:r>
      <w:r w:rsidR="00774B51">
        <w:rPr>
          <w:lang w:val="es-MX"/>
        </w:rPr>
        <w:t>008</w:t>
      </w:r>
    </w:p>
    <w:p w:rsidR="0068020F" w:rsidRDefault="0068020F" w:rsidP="0068020F">
      <w:pPr>
        <w:pStyle w:val="ROMANOS"/>
        <w:spacing w:after="0" w:line="240" w:lineRule="exact"/>
        <w:ind w:left="648" w:firstLine="0"/>
        <w:rPr>
          <w:lang w:val="es-MX"/>
        </w:rPr>
      </w:pPr>
      <w:r w:rsidRPr="00774B51">
        <w:rPr>
          <w:lang w:val="es-MX"/>
        </w:rPr>
        <w:t>Ser</w:t>
      </w:r>
      <w:r w:rsidR="005A45B4" w:rsidRPr="00774B51">
        <w:rPr>
          <w:lang w:val="es-MX"/>
        </w:rPr>
        <w:t>vicios</w:t>
      </w:r>
      <w:r w:rsidR="005A45B4" w:rsidRPr="00774B51">
        <w:rPr>
          <w:lang w:val="es-MX"/>
        </w:rPr>
        <w:tab/>
      </w:r>
      <w:r w:rsidR="005A45B4" w:rsidRPr="00774B51">
        <w:rPr>
          <w:lang w:val="es-MX"/>
        </w:rPr>
        <w:tab/>
      </w:r>
      <w:r w:rsidR="005A45B4" w:rsidRPr="00774B51">
        <w:rPr>
          <w:lang w:val="es-MX"/>
        </w:rPr>
        <w:tab/>
      </w:r>
      <w:r w:rsidR="00AF57B4" w:rsidRPr="00774B51">
        <w:rPr>
          <w:lang w:val="es-MX"/>
        </w:rPr>
        <w:t xml:space="preserve"> </w:t>
      </w:r>
      <w:r w:rsidR="00DF20F4">
        <w:rPr>
          <w:lang w:val="es-MX"/>
        </w:rPr>
        <w:t xml:space="preserve"> </w:t>
      </w:r>
      <w:r w:rsidR="00AF57B4" w:rsidRPr="00774B51">
        <w:rPr>
          <w:lang w:val="es-MX"/>
        </w:rPr>
        <w:t>2,</w:t>
      </w:r>
      <w:r w:rsidR="00774B51">
        <w:rPr>
          <w:lang w:val="es-MX"/>
        </w:rPr>
        <w:t>403</w:t>
      </w:r>
      <w:r w:rsidR="005A45B4" w:rsidRPr="00774B51">
        <w:rPr>
          <w:lang w:val="es-MX"/>
        </w:rPr>
        <w:t>,</w:t>
      </w:r>
      <w:r w:rsidR="00774B51">
        <w:rPr>
          <w:lang w:val="es-MX"/>
        </w:rPr>
        <w:t>5</w:t>
      </w:r>
      <w:r w:rsidR="00C574B8" w:rsidRPr="00774B51">
        <w:rPr>
          <w:lang w:val="es-MX"/>
        </w:rPr>
        <w:t>78</w:t>
      </w:r>
    </w:p>
    <w:p w:rsidR="0068020F" w:rsidRPr="00540418" w:rsidRDefault="0068020F" w:rsidP="0068020F">
      <w:pPr>
        <w:pStyle w:val="ROMANOS"/>
        <w:spacing w:after="0" w:line="240" w:lineRule="exact"/>
        <w:rPr>
          <w:rFonts w:ascii="Soberana Sans Light" w:hAnsi="Soberana Sans Light"/>
          <w:b/>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F33ABB"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La cartera del Fideicomiso se le da un seguimiento para su recuperación</w:t>
      </w:r>
      <w:r w:rsidR="0004281D">
        <w:rPr>
          <w:rFonts w:ascii="Soberana Sans Light" w:hAnsi="Soberana Sans Light"/>
          <w:sz w:val="22"/>
          <w:szCs w:val="22"/>
          <w:lang w:val="es-MX"/>
        </w:rPr>
        <w:t xml:space="preserve"> y no cuenta con juicios con la antigüedad señalada</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w:t>
      </w:r>
      <w:r w:rsidRPr="00540418">
        <w:rPr>
          <w:rFonts w:ascii="Soberana Sans Light" w:hAnsi="Soberana Sans Light"/>
          <w:sz w:val="22"/>
          <w:szCs w:val="22"/>
          <w:lang w:val="es-MX"/>
        </w:rPr>
        <w:lastRenderedPageBreak/>
        <w:t>por su vencimiento en días a 90, 180, menor o igual a 365 y mayor a 365. Adicionalmente, se informará de las características cualitativas relevantes que le afecten a estas cuentas.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sidR="0004281D">
        <w:rPr>
          <w:rFonts w:ascii="Soberana Sans Light" w:hAnsi="Soberana Sans Light"/>
          <w:sz w:val="22"/>
          <w:szCs w:val="22"/>
          <w:lang w:val="es-MX"/>
        </w:rPr>
        <w:t>No aplica para el Fideicomiso, no se reciben bienes  o servicios ni tampoco cuentas por cobrar</w:t>
      </w:r>
    </w:p>
    <w:p w:rsidR="0068020F" w:rsidRDefault="0068020F" w:rsidP="0068020F">
      <w:pPr>
        <w:pStyle w:val="ROMANOS"/>
        <w:spacing w:after="0" w:line="240" w:lineRule="exact"/>
        <w:rPr>
          <w:rFonts w:ascii="Soberana Sans Light" w:hAnsi="Soberana Sans Light"/>
          <w:b/>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68020F" w:rsidRPr="00540418"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2F1EF4" w:rsidRPr="00540418">
        <w:rPr>
          <w:rFonts w:ascii="Soberana Sans Light" w:hAnsi="Soberana Sans Light"/>
          <w:sz w:val="22"/>
          <w:szCs w:val="22"/>
          <w:lang w:val="es-MX"/>
        </w:rPr>
        <w:t>valuaciones aplicadas</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68020F" w:rsidRDefault="0068020F" w:rsidP="0068020F">
      <w:pPr>
        <w:pStyle w:val="ROMANOS"/>
        <w:spacing w:after="0" w:line="240" w:lineRule="exact"/>
        <w:rPr>
          <w:rFonts w:ascii="Soberana Sans Light" w:hAnsi="Soberana Sans Light"/>
          <w:sz w:val="22"/>
          <w:szCs w:val="22"/>
          <w:lang w:val="es-MX"/>
        </w:rPr>
      </w:pPr>
    </w:p>
    <w:p w:rsidR="0068020F" w:rsidRDefault="0004281D"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 para el Fideicomiso no cuenta con bienes disponibles para su transformación o consumo de inventarios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68020F" w:rsidRDefault="0068020F" w:rsidP="0068020F">
      <w:pPr>
        <w:pStyle w:val="ROMANOS"/>
        <w:spacing w:after="0" w:line="240" w:lineRule="exact"/>
        <w:ind w:left="288" w:firstLine="0"/>
        <w:rPr>
          <w:rFonts w:ascii="Soberana Sans Light" w:hAnsi="Soberana Sans Light"/>
          <w:sz w:val="22"/>
          <w:szCs w:val="22"/>
          <w:lang w:val="es-MX"/>
        </w:rPr>
      </w:pPr>
    </w:p>
    <w:p w:rsidR="0068020F" w:rsidRDefault="0004281D" w:rsidP="0068020F">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almacén</w:t>
      </w:r>
    </w:p>
    <w:p w:rsidR="0068020F" w:rsidRPr="00540418" w:rsidRDefault="0068020F" w:rsidP="0068020F">
      <w:pPr>
        <w:pStyle w:val="ROMANOS"/>
        <w:spacing w:after="0" w:line="240" w:lineRule="exact"/>
        <w:ind w:left="288" w:firstLine="0"/>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04281D" w:rsidP="0068020F">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inversiones financieras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04281D" w:rsidRDefault="0004281D" w:rsidP="0004281D">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inversiones financieras</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r>
      <w:r w:rsidR="00593D69">
        <w:rPr>
          <w:rFonts w:ascii="Soberana Sans Light" w:hAnsi="Soberana Sans Light"/>
          <w:sz w:val="22"/>
          <w:szCs w:val="22"/>
          <w:lang w:val="es-MX"/>
        </w:rPr>
        <w:tab/>
      </w:r>
      <w:r w:rsidR="002F1EF4">
        <w:rPr>
          <w:rFonts w:ascii="Soberana Sans Light" w:hAnsi="Soberana Sans Light"/>
          <w:sz w:val="22"/>
          <w:szCs w:val="22"/>
          <w:lang w:val="es-MX"/>
        </w:rPr>
        <w:t xml:space="preserve"> </w:t>
      </w:r>
      <w:r w:rsidR="00593D69">
        <w:rPr>
          <w:rFonts w:ascii="Soberana Sans Light" w:hAnsi="Soberana Sans Light"/>
          <w:sz w:val="22"/>
          <w:szCs w:val="22"/>
          <w:lang w:val="es-MX"/>
        </w:rPr>
        <w:t xml:space="preserve"> </w:t>
      </w:r>
      <w:r>
        <w:rPr>
          <w:rFonts w:ascii="Soberana Sans Light" w:hAnsi="Soberana Sans Light"/>
          <w:sz w:val="22"/>
          <w:szCs w:val="22"/>
          <w:lang w:val="es-MX"/>
        </w:rPr>
        <w:t>3,29</w:t>
      </w:r>
      <w:r w:rsidR="002F1EF4">
        <w:rPr>
          <w:rFonts w:ascii="Soberana Sans Light" w:hAnsi="Soberana Sans Light"/>
          <w:sz w:val="22"/>
          <w:szCs w:val="22"/>
          <w:lang w:val="es-MX"/>
        </w:rPr>
        <w:t>8</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Cómputo</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593D69">
        <w:rPr>
          <w:rFonts w:ascii="Soberana Sans Light" w:hAnsi="Soberana Sans Light"/>
          <w:sz w:val="22"/>
          <w:szCs w:val="22"/>
          <w:lang w:val="es-MX"/>
        </w:rPr>
        <w:tab/>
        <w:t xml:space="preserve">  </w:t>
      </w:r>
      <w:r>
        <w:rPr>
          <w:rFonts w:ascii="Soberana Sans Light" w:hAnsi="Soberana Sans Light"/>
          <w:sz w:val="22"/>
          <w:szCs w:val="22"/>
          <w:lang w:val="es-MX"/>
        </w:rPr>
        <w:t>2</w:t>
      </w:r>
      <w:r w:rsidR="002F1EF4">
        <w:rPr>
          <w:rFonts w:ascii="Soberana Sans Light" w:hAnsi="Soberana Sans Light"/>
          <w:sz w:val="22"/>
          <w:szCs w:val="22"/>
          <w:lang w:val="es-MX"/>
        </w:rPr>
        <w:t>0</w:t>
      </w:r>
      <w:r>
        <w:rPr>
          <w:rFonts w:ascii="Soberana Sans Light" w:hAnsi="Soberana Sans Light"/>
          <w:sz w:val="22"/>
          <w:szCs w:val="22"/>
          <w:lang w:val="es-MX"/>
        </w:rPr>
        <w:t>,3</w:t>
      </w:r>
      <w:r w:rsidR="002F1EF4">
        <w:rPr>
          <w:rFonts w:ascii="Soberana Sans Light" w:hAnsi="Soberana Sans Light"/>
          <w:sz w:val="22"/>
          <w:szCs w:val="22"/>
          <w:lang w:val="es-MX"/>
        </w:rPr>
        <w:t>47</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Co</w:t>
      </w:r>
      <w:r w:rsidR="00593D69">
        <w:rPr>
          <w:rFonts w:ascii="Soberana Sans Light" w:hAnsi="Soberana Sans Light"/>
          <w:sz w:val="22"/>
          <w:szCs w:val="22"/>
          <w:lang w:val="es-MX"/>
        </w:rPr>
        <w:t>municación y Telecomunicaciones</w:t>
      </w:r>
      <w:r w:rsidR="00593D69">
        <w:rPr>
          <w:rFonts w:ascii="Soberana Sans Light" w:hAnsi="Soberana Sans Light"/>
          <w:sz w:val="22"/>
          <w:szCs w:val="22"/>
          <w:lang w:val="es-MX"/>
        </w:rPr>
        <w:tab/>
      </w:r>
      <w:r w:rsidR="00593D69">
        <w:rPr>
          <w:rFonts w:ascii="Soberana Sans Light" w:hAnsi="Soberana Sans Light"/>
          <w:sz w:val="22"/>
          <w:szCs w:val="22"/>
          <w:lang w:val="es-MX"/>
        </w:rPr>
        <w:tab/>
        <w:t xml:space="preserve"> </w:t>
      </w:r>
      <w:r w:rsidR="002D482B">
        <w:rPr>
          <w:rFonts w:ascii="Soberana Sans Light" w:hAnsi="Soberana Sans Light"/>
          <w:sz w:val="22"/>
          <w:szCs w:val="22"/>
          <w:lang w:val="es-MX"/>
        </w:rPr>
        <w:t xml:space="preserve"> </w:t>
      </w:r>
      <w:r>
        <w:rPr>
          <w:rFonts w:ascii="Soberana Sans Light" w:hAnsi="Soberana Sans Light"/>
          <w:sz w:val="22"/>
          <w:szCs w:val="22"/>
          <w:lang w:val="es-MX"/>
        </w:rPr>
        <w:t>8,809</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Oficina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593D69">
        <w:rPr>
          <w:rFonts w:ascii="Soberana Sans Light" w:hAnsi="Soberana Sans Light"/>
          <w:sz w:val="22"/>
          <w:szCs w:val="22"/>
          <w:lang w:val="es-MX"/>
        </w:rPr>
        <w:tab/>
      </w:r>
      <w:r w:rsidR="002F1EF4">
        <w:rPr>
          <w:rFonts w:ascii="Soberana Sans Light" w:hAnsi="Soberana Sans Light"/>
          <w:sz w:val="22"/>
          <w:szCs w:val="22"/>
          <w:lang w:val="es-MX"/>
        </w:rPr>
        <w:t xml:space="preserve"> 49,951</w:t>
      </w:r>
      <w:r>
        <w:rPr>
          <w:rFonts w:ascii="Soberana Sans Light" w:hAnsi="Soberana Sans Light"/>
          <w:sz w:val="22"/>
          <w:szCs w:val="22"/>
          <w:lang w:val="es-MX"/>
        </w:rPr>
        <w:tab/>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04281D"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bienes intangibles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68020F"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B730F3">
        <w:rPr>
          <w:rFonts w:ascii="Soberana Sans Light" w:hAnsi="Soberana Sans Light"/>
          <w:sz w:val="22"/>
          <w:szCs w:val="22"/>
          <w:lang w:val="es-MX"/>
        </w:rPr>
        <w:t>En el</w:t>
      </w:r>
      <w:r>
        <w:rPr>
          <w:rFonts w:ascii="Soberana Sans Light" w:hAnsi="Soberana Sans Light"/>
          <w:sz w:val="22"/>
          <w:szCs w:val="22"/>
          <w:lang w:val="es-MX"/>
        </w:rPr>
        <w:t xml:space="preserve"> Fideicomiso</w:t>
      </w:r>
      <w:r w:rsidR="00B730F3">
        <w:rPr>
          <w:rFonts w:ascii="Soberana Sans Light" w:hAnsi="Soberana Sans Light"/>
          <w:sz w:val="22"/>
          <w:szCs w:val="22"/>
          <w:lang w:val="es-MX"/>
        </w:rPr>
        <w:t xml:space="preserve"> no se ha realizado la estimación de las cuentas incobrables estimación de inventarios y deterioros de activos biológicos no aplica.</w:t>
      </w:r>
    </w:p>
    <w:p w:rsidR="0068020F"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w:t>
      </w:r>
      <w:r w:rsidR="00B730F3">
        <w:rPr>
          <w:rFonts w:ascii="Soberana Sans Light" w:hAnsi="Soberana Sans Light"/>
          <w:sz w:val="22"/>
          <w:szCs w:val="22"/>
          <w:lang w:val="es-MX"/>
        </w:rPr>
        <w:t xml:space="preserve"> para el Fideicomiso no cuenta con otros activos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B730F3">
        <w:rPr>
          <w:rFonts w:ascii="Soberana Sans Light" w:hAnsi="Soberana Sans Light"/>
          <w:sz w:val="22"/>
          <w:szCs w:val="22"/>
          <w:lang w:val="es-MX"/>
        </w:rPr>
        <w:t xml:space="preserve"> para el Fideicomiso no cuenta con cuentas y documentos por pagar </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3529F0"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68020F">
        <w:rPr>
          <w:rFonts w:ascii="Soberana Sans Light" w:hAnsi="Soberana Sans Light"/>
          <w:sz w:val="22"/>
          <w:szCs w:val="22"/>
          <w:lang w:val="es-MX"/>
        </w:rPr>
        <w:t xml:space="preserve"> </w:t>
      </w:r>
      <w:r w:rsidR="00E15F75">
        <w:rPr>
          <w:rFonts w:ascii="Soberana Sans Light" w:hAnsi="Soberana Sans Light"/>
          <w:sz w:val="22"/>
          <w:szCs w:val="22"/>
          <w:lang w:val="es-MX"/>
        </w:rPr>
        <w:t>505,727</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Recuperaciones Pendientes por Aplicar</w:t>
      </w:r>
      <w:r w:rsidR="003529F0">
        <w:rPr>
          <w:rFonts w:ascii="Soberana Sans Light" w:hAnsi="Soberana Sans Light"/>
          <w:sz w:val="22"/>
          <w:szCs w:val="22"/>
          <w:lang w:val="es-MX"/>
        </w:rPr>
        <w:tab/>
      </w:r>
      <w:r w:rsidR="003529F0">
        <w:rPr>
          <w:rFonts w:ascii="Soberana Sans Light" w:hAnsi="Soberana Sans Light"/>
          <w:sz w:val="22"/>
          <w:szCs w:val="22"/>
          <w:lang w:val="es-MX"/>
        </w:rPr>
        <w:tab/>
      </w:r>
      <w:r>
        <w:rPr>
          <w:rFonts w:ascii="Soberana Sans Light" w:hAnsi="Soberana Sans Light"/>
          <w:sz w:val="22"/>
          <w:szCs w:val="22"/>
          <w:lang w:val="es-MX"/>
        </w:rPr>
        <w:t xml:space="preserve"> </w:t>
      </w:r>
      <w:r w:rsidR="00FE3892">
        <w:rPr>
          <w:rFonts w:ascii="Soberana Sans Light" w:hAnsi="Soberana Sans Light"/>
          <w:sz w:val="22"/>
          <w:szCs w:val="22"/>
          <w:lang w:val="es-MX"/>
        </w:rPr>
        <w:t>153</w:t>
      </w:r>
      <w:r w:rsidR="003529F0">
        <w:rPr>
          <w:rFonts w:ascii="Soberana Sans Light" w:hAnsi="Soberana Sans Light"/>
          <w:sz w:val="22"/>
          <w:szCs w:val="22"/>
          <w:lang w:val="es-MX"/>
        </w:rPr>
        <w:t>,</w:t>
      </w:r>
      <w:r w:rsidR="00E15F75">
        <w:rPr>
          <w:rFonts w:ascii="Soberana Sans Light" w:hAnsi="Soberana Sans Light"/>
          <w:sz w:val="22"/>
          <w:szCs w:val="22"/>
          <w:lang w:val="es-MX"/>
        </w:rPr>
        <w:t>0</w:t>
      </w:r>
      <w:r w:rsidR="001431C6">
        <w:rPr>
          <w:rFonts w:ascii="Soberana Sans Light" w:hAnsi="Soberana Sans Light"/>
          <w:sz w:val="22"/>
          <w:szCs w:val="22"/>
          <w:lang w:val="es-MX"/>
        </w:rPr>
        <w:t>00</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B730F3">
        <w:rPr>
          <w:rFonts w:ascii="Soberana Sans Light" w:hAnsi="Soberana Sans Light"/>
          <w:sz w:val="22"/>
          <w:szCs w:val="22"/>
          <w:lang w:val="es-MX"/>
        </w:rPr>
        <w:t xml:space="preserve"> para el Fideicomiso </w:t>
      </w:r>
      <w:r w:rsidR="004D0A16">
        <w:rPr>
          <w:rFonts w:ascii="Soberana Sans Light" w:hAnsi="Soberana Sans Light"/>
          <w:sz w:val="22"/>
          <w:szCs w:val="22"/>
          <w:lang w:val="es-MX"/>
        </w:rPr>
        <w:t>no cuenta con características que impacten financieramente</w:t>
      </w: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Pr="00540418" w:rsidRDefault="00306DBC"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1008" w:firstLine="0"/>
        <w:rPr>
          <w:rFonts w:ascii="Soberana Sans Light" w:hAnsi="Soberana Sans Light"/>
          <w:sz w:val="22"/>
          <w:szCs w:val="22"/>
          <w:lang w:val="es-MX"/>
        </w:rPr>
      </w:pPr>
    </w:p>
    <w:p w:rsidR="0068020F" w:rsidRPr="00540418"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68020F" w:rsidRPr="00540418" w:rsidRDefault="0068020F" w:rsidP="0068020F">
      <w:pPr>
        <w:pStyle w:val="INCISO"/>
        <w:spacing w:after="0" w:line="240" w:lineRule="exact"/>
        <w:ind w:left="360"/>
        <w:rPr>
          <w:rFonts w:ascii="Soberana Sans Light" w:hAnsi="Soberana Sans Light"/>
          <w:b/>
          <w:smallCaps/>
          <w:sz w:val="22"/>
          <w:szCs w:val="22"/>
        </w:rPr>
      </w:pPr>
    </w:p>
    <w:p w:rsidR="0068020F" w:rsidRPr="00540418"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68020F"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r w:rsidR="00306DBC">
        <w:rPr>
          <w:rFonts w:ascii="Soberana Sans Light" w:hAnsi="Soberana Sans Light"/>
          <w:sz w:val="22"/>
          <w:szCs w:val="22"/>
          <w:lang w:val="es-MX"/>
        </w:rPr>
        <w:t xml:space="preserve"> no cuenta con rubros de impuestos</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 a productos de tipo corriente y ingresos financieros por $</w:t>
      </w:r>
      <w:r w:rsidR="003C35F1">
        <w:rPr>
          <w:rFonts w:ascii="Soberana Sans Light" w:hAnsi="Soberana Sans Light"/>
          <w:sz w:val="22"/>
          <w:szCs w:val="22"/>
          <w:lang w:val="es-MX"/>
        </w:rPr>
        <w:t>864,288</w:t>
      </w:r>
    </w:p>
    <w:p w:rsidR="0068020F"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68020F" w:rsidRPr="00540418"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68020F" w:rsidRDefault="0068020F" w:rsidP="0068020F">
      <w:pPr>
        <w:pStyle w:val="ROMANOS"/>
        <w:spacing w:after="0" w:line="240" w:lineRule="exact"/>
        <w:ind w:left="100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FE3892" w:rsidRDefault="00FE3892" w:rsidP="0068020F">
      <w:pPr>
        <w:pStyle w:val="ROMANOS"/>
        <w:spacing w:after="0" w:line="240" w:lineRule="exact"/>
        <w:ind w:left="648" w:firstLine="0"/>
        <w:rPr>
          <w:rFonts w:ascii="Soberana Sans Light" w:hAnsi="Soberana Sans Light"/>
          <w:sz w:val="22"/>
          <w:szCs w:val="22"/>
          <w:lang w:val="es-MX"/>
        </w:rPr>
      </w:pPr>
    </w:p>
    <w:p w:rsidR="003C35F1" w:rsidRPr="00540418" w:rsidRDefault="003C35F1"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3C35F1" w:rsidRPr="00540418" w:rsidRDefault="003C35F1" w:rsidP="0068020F">
      <w:pPr>
        <w:pStyle w:val="INCISO"/>
        <w:spacing w:after="0" w:line="240" w:lineRule="exact"/>
        <w:ind w:left="360"/>
        <w:rPr>
          <w:rFonts w:ascii="Soberana Sans Light" w:hAnsi="Soberana Sans Light"/>
          <w:b/>
          <w:smallCaps/>
          <w:sz w:val="22"/>
          <w:szCs w:val="22"/>
        </w:rPr>
      </w:pPr>
    </w:p>
    <w:p w:rsidR="0068020F" w:rsidRDefault="0068020F" w:rsidP="0068020F">
      <w:pPr>
        <w:pStyle w:val="ROMANOS"/>
        <w:numPr>
          <w:ilvl w:val="0"/>
          <w:numId w:val="1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68020F" w:rsidRDefault="0068020F" w:rsidP="0068020F">
      <w:pPr>
        <w:pStyle w:val="ROMANOS"/>
        <w:spacing w:after="0" w:line="240" w:lineRule="exact"/>
        <w:ind w:left="723" w:firstLine="0"/>
        <w:rPr>
          <w:rFonts w:ascii="Soberana Sans Light" w:hAnsi="Soberana Sans Light"/>
          <w:sz w:val="22"/>
          <w:szCs w:val="22"/>
          <w:lang w:val="es-MX"/>
        </w:rPr>
      </w:pPr>
    </w:p>
    <w:p w:rsidR="0068020F" w:rsidRDefault="0068020F" w:rsidP="0068020F">
      <w:pPr>
        <w:pStyle w:val="ROMANOS"/>
        <w:numPr>
          <w:ilvl w:val="0"/>
          <w:numId w:val="1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293B3B" w:rsidRDefault="00293B3B" w:rsidP="00293B3B">
      <w:pPr>
        <w:pStyle w:val="ROMANOS"/>
        <w:spacing w:after="0" w:line="240" w:lineRule="exact"/>
        <w:ind w:left="723" w:firstLine="0"/>
        <w:rPr>
          <w:rFonts w:ascii="Soberana Sans Light" w:hAnsi="Soberana Sans Light"/>
          <w:sz w:val="22"/>
          <w:szCs w:val="22"/>
          <w:lang w:val="es-MX"/>
        </w:rPr>
      </w:pPr>
    </w:p>
    <w:p w:rsidR="00293B3B" w:rsidRDefault="00293B3B" w:rsidP="00293B3B">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del ejercicio se integra por el resultado del ejercicio 201</w:t>
      </w:r>
      <w:r w:rsidR="00F80381">
        <w:rPr>
          <w:rFonts w:ascii="Soberana Sans Light" w:hAnsi="Soberana Sans Light"/>
          <w:sz w:val="22"/>
          <w:szCs w:val="22"/>
          <w:lang w:val="es-MX"/>
        </w:rPr>
        <w:t>6</w:t>
      </w:r>
      <w:r>
        <w:rPr>
          <w:rFonts w:ascii="Soberana Sans Light" w:hAnsi="Soberana Sans Light"/>
          <w:sz w:val="22"/>
          <w:szCs w:val="22"/>
          <w:lang w:val="es-MX"/>
        </w:rPr>
        <w:t>.</w:t>
      </w:r>
    </w:p>
    <w:p w:rsidR="0068020F" w:rsidRDefault="0068020F" w:rsidP="0068020F">
      <w:pPr>
        <w:pStyle w:val="ROMANOS"/>
        <w:spacing w:after="0" w:line="240" w:lineRule="exact"/>
        <w:ind w:left="723" w:firstLine="0"/>
        <w:rPr>
          <w:rFonts w:ascii="Soberana Sans Light" w:hAnsi="Soberana Sans Light"/>
          <w:sz w:val="22"/>
          <w:szCs w:val="22"/>
          <w:lang w:val="es-MX"/>
        </w:rPr>
      </w:pPr>
    </w:p>
    <w:p w:rsidR="00867C57" w:rsidRDefault="00867C57" w:rsidP="0068020F">
      <w:pPr>
        <w:pStyle w:val="ROMANOS"/>
        <w:spacing w:after="0" w:line="240" w:lineRule="exact"/>
        <w:ind w:left="723" w:firstLine="0"/>
        <w:rPr>
          <w:rFonts w:ascii="Soberana Sans Light" w:hAnsi="Soberana Sans Light"/>
          <w:sz w:val="22"/>
          <w:szCs w:val="22"/>
          <w:lang w:val="es-MX"/>
        </w:rPr>
      </w:pPr>
    </w:p>
    <w:p w:rsidR="0068020F" w:rsidRPr="00540418"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68020F" w:rsidRPr="00540418" w:rsidRDefault="0068020F" w:rsidP="0068020F">
      <w:pPr>
        <w:pStyle w:val="INCISO"/>
        <w:spacing w:after="0" w:line="240" w:lineRule="exact"/>
        <w:ind w:left="360"/>
        <w:rPr>
          <w:rFonts w:ascii="Soberana Sans Light" w:hAnsi="Soberana Sans Light"/>
          <w:b/>
          <w:smallCaps/>
          <w:sz w:val="22"/>
          <w:szCs w:val="22"/>
        </w:rPr>
      </w:pPr>
    </w:p>
    <w:p w:rsidR="0068020F" w:rsidRPr="00540418"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68020F" w:rsidRDefault="0068020F" w:rsidP="0068020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306DBC" w:rsidRDefault="00306DBC" w:rsidP="00306DBC">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68020F" w:rsidRPr="007A629C"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68020F" w:rsidRPr="008816C0" w:rsidRDefault="0068020F" w:rsidP="00B027A8">
            <w:pPr>
              <w:pStyle w:val="Texto"/>
              <w:spacing w:after="0" w:line="240" w:lineRule="exact"/>
              <w:ind w:firstLine="0"/>
              <w:jc w:val="center"/>
              <w:rPr>
                <w:rFonts w:ascii="Soberana Sans Light" w:hAnsi="Soberana Sans Light"/>
                <w:sz w:val="22"/>
                <w:szCs w:val="22"/>
                <w:lang w:val="es-MX"/>
              </w:rPr>
            </w:pPr>
            <w:r w:rsidRPr="008816C0">
              <w:rPr>
                <w:rFonts w:ascii="Soberana Sans Light" w:hAnsi="Soberana Sans Light"/>
                <w:sz w:val="22"/>
                <w:szCs w:val="22"/>
                <w:lang w:val="es-MX"/>
              </w:rPr>
              <w:t>201</w:t>
            </w:r>
            <w:r w:rsidR="00B027A8">
              <w:rPr>
                <w:rFonts w:ascii="Soberana Sans Light" w:hAnsi="Soberana Sans Light"/>
                <w:sz w:val="22"/>
                <w:szCs w:val="22"/>
                <w:lang w:val="es-MX"/>
              </w:rPr>
              <w:t>5</w:t>
            </w:r>
          </w:p>
        </w:tc>
        <w:tc>
          <w:tcPr>
            <w:tcW w:w="1031" w:type="dxa"/>
            <w:tcBorders>
              <w:top w:val="single" w:sz="6" w:space="0" w:color="auto"/>
              <w:left w:val="single" w:sz="6" w:space="0" w:color="auto"/>
              <w:bottom w:val="single" w:sz="6" w:space="0" w:color="auto"/>
              <w:right w:val="single" w:sz="6" w:space="0" w:color="auto"/>
            </w:tcBorders>
          </w:tcPr>
          <w:p w:rsidR="0068020F" w:rsidRPr="008816C0" w:rsidRDefault="00AD0E55" w:rsidP="008816C0">
            <w:pPr>
              <w:pStyle w:val="Texto"/>
              <w:spacing w:after="0" w:line="240" w:lineRule="exact"/>
              <w:ind w:firstLine="0"/>
              <w:jc w:val="center"/>
              <w:rPr>
                <w:rFonts w:ascii="Soberana Sans Light" w:hAnsi="Soberana Sans Light"/>
                <w:sz w:val="22"/>
                <w:szCs w:val="22"/>
                <w:lang w:val="es-MX"/>
              </w:rPr>
            </w:pPr>
            <w:r w:rsidRPr="008816C0">
              <w:rPr>
                <w:rFonts w:ascii="Soberana Sans Light" w:hAnsi="Soberana Sans Light"/>
                <w:sz w:val="22"/>
                <w:szCs w:val="22"/>
                <w:lang w:val="es-MX"/>
              </w:rPr>
              <w:t>201</w:t>
            </w:r>
            <w:r w:rsidR="008816C0" w:rsidRPr="008816C0">
              <w:rPr>
                <w:rFonts w:ascii="Soberana Sans Light" w:hAnsi="Soberana Sans Light"/>
                <w:sz w:val="22"/>
                <w:szCs w:val="22"/>
                <w:lang w:val="es-MX"/>
              </w:rPr>
              <w:t>6</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68020F" w:rsidRPr="009420CE" w:rsidRDefault="009823F4" w:rsidP="007A629C">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5’240,136</w:t>
            </w:r>
          </w:p>
        </w:tc>
        <w:tc>
          <w:tcPr>
            <w:tcW w:w="1031" w:type="dxa"/>
            <w:tcBorders>
              <w:top w:val="single" w:sz="6" w:space="0" w:color="auto"/>
              <w:left w:val="single" w:sz="6" w:space="0" w:color="auto"/>
              <w:bottom w:val="single" w:sz="6" w:space="0" w:color="auto"/>
              <w:right w:val="single" w:sz="6" w:space="0" w:color="auto"/>
            </w:tcBorders>
          </w:tcPr>
          <w:p w:rsidR="0068020F" w:rsidRPr="007A084B" w:rsidRDefault="0077522C" w:rsidP="00FE3892">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9’</w:t>
            </w:r>
            <w:r w:rsidR="00FE3892">
              <w:rPr>
                <w:rFonts w:ascii="Soberana Sans Light" w:hAnsi="Soberana Sans Light"/>
                <w:szCs w:val="18"/>
                <w:lang w:val="es-MX"/>
              </w:rPr>
              <w:t>541</w:t>
            </w:r>
            <w:r>
              <w:rPr>
                <w:rFonts w:ascii="Soberana Sans Light" w:hAnsi="Soberana Sans Light"/>
                <w:szCs w:val="18"/>
                <w:lang w:val="es-MX"/>
              </w:rPr>
              <w:t>,</w:t>
            </w:r>
            <w:r w:rsidR="00FE3892">
              <w:rPr>
                <w:rFonts w:ascii="Soberana Sans Light" w:hAnsi="Soberana Sans Light"/>
                <w:szCs w:val="18"/>
                <w:lang w:val="es-MX"/>
              </w:rPr>
              <w:t>452</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68020F" w:rsidRPr="009420CE" w:rsidRDefault="009823F4" w:rsidP="00867C57">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5’240,136</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576CA7" w:rsidP="0093524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Cs w:val="18"/>
                <w:lang w:val="es-MX"/>
              </w:rPr>
              <w:t>9’541,452</w:t>
            </w:r>
          </w:p>
        </w:tc>
      </w:tr>
    </w:tbl>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293B3B" w:rsidRDefault="00293B3B" w:rsidP="00293B3B">
      <w:pPr>
        <w:pStyle w:val="ROMANOS"/>
        <w:spacing w:after="0" w:line="240" w:lineRule="exact"/>
        <w:ind w:left="648" w:firstLine="0"/>
        <w:rPr>
          <w:rFonts w:ascii="Soberana Sans Light" w:hAnsi="Soberana Sans Light"/>
          <w:sz w:val="22"/>
          <w:szCs w:val="22"/>
          <w:lang w:val="es-MX"/>
        </w:rPr>
      </w:pPr>
    </w:p>
    <w:p w:rsidR="00293B3B" w:rsidRDefault="00293B3B" w:rsidP="00293B3B">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306DBC">
        <w:rPr>
          <w:rFonts w:ascii="Soberana Sans Light" w:hAnsi="Soberana Sans Light"/>
          <w:sz w:val="22"/>
          <w:szCs w:val="22"/>
          <w:lang w:val="es-MX"/>
        </w:rPr>
        <w:t xml:space="preserve"> para el Fideicomiso no recibe subsidios de capital del sector central</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68020F" w:rsidRPr="00540418" w:rsidRDefault="0068020F" w:rsidP="0068020F">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9823F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9823F4">
              <w:rPr>
                <w:rFonts w:ascii="Soberana Sans Light" w:hAnsi="Soberana Sans Light"/>
                <w:sz w:val="22"/>
                <w:szCs w:val="22"/>
                <w:lang w:val="es-MX"/>
              </w:rPr>
              <w:t>5</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AD0E55"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8816C0">
              <w:rPr>
                <w:rFonts w:ascii="Soberana Sans Light" w:hAnsi="Soberana Sans Light"/>
                <w:sz w:val="22"/>
                <w:szCs w:val="22"/>
                <w:lang w:val="es-MX"/>
              </w:rPr>
              <w:t>6</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8020F" w:rsidRPr="00754ABB" w:rsidRDefault="0068020F" w:rsidP="00867C57">
            <w:pPr>
              <w:pStyle w:val="Texto"/>
              <w:spacing w:after="0" w:line="240" w:lineRule="exact"/>
              <w:ind w:firstLine="0"/>
              <w:jc w:val="center"/>
              <w:rPr>
                <w:rFonts w:ascii="Soberana Sans Light" w:hAnsi="Soberana Sans Light"/>
                <w:sz w:val="22"/>
                <w:szCs w:val="22"/>
                <w:lang w:val="es-MX"/>
              </w:rPr>
            </w:pPr>
            <w:r w:rsidRPr="00754ABB">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754ABB" w:rsidRDefault="0068020F" w:rsidP="00867C57">
            <w:pPr>
              <w:pStyle w:val="Texto"/>
              <w:spacing w:after="0" w:line="240" w:lineRule="exact"/>
              <w:ind w:firstLine="0"/>
              <w:jc w:val="center"/>
              <w:rPr>
                <w:rFonts w:ascii="Soberana Sans Light" w:hAnsi="Soberana Sans Light"/>
                <w:sz w:val="22"/>
                <w:szCs w:val="22"/>
                <w:lang w:val="es-MX"/>
              </w:rPr>
            </w:pPr>
            <w:r w:rsidRPr="00754ABB">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754ABB"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754ABB"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306DBC" w:rsidRDefault="00306DBC" w:rsidP="0068020F">
      <w:pPr>
        <w:pStyle w:val="Texto"/>
        <w:spacing w:after="0" w:line="240" w:lineRule="exact"/>
        <w:ind w:left="708" w:firstLine="0"/>
        <w:rPr>
          <w:rFonts w:ascii="Soberana Sans Light" w:hAnsi="Soberana Sans Light"/>
          <w:sz w:val="22"/>
          <w:szCs w:val="22"/>
          <w:lang w:val="es-MX"/>
        </w:rPr>
      </w:pPr>
    </w:p>
    <w:p w:rsidR="00306DBC" w:rsidRDefault="00306DBC" w:rsidP="0068020F">
      <w:pPr>
        <w:pStyle w:val="Texto"/>
        <w:spacing w:after="0" w:line="240" w:lineRule="exact"/>
        <w:ind w:left="70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operaciones de ahorro y desahorro extraordinarios.</w:t>
      </w:r>
    </w:p>
    <w:p w:rsidR="0068020F" w:rsidRDefault="0068020F" w:rsidP="0068020F">
      <w:pPr>
        <w:pStyle w:val="Texto"/>
        <w:spacing w:after="0" w:line="240" w:lineRule="exact"/>
        <w:ind w:left="708" w:firstLine="0"/>
        <w:rPr>
          <w:rFonts w:ascii="Soberana Sans Light" w:hAnsi="Soberana Sans Light"/>
          <w:sz w:val="22"/>
          <w:szCs w:val="22"/>
          <w:lang w:val="es-MX"/>
        </w:rPr>
      </w:pPr>
    </w:p>
    <w:p w:rsidR="0068020F" w:rsidRPr="00540418" w:rsidRDefault="0068020F" w:rsidP="0068020F">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68020F" w:rsidRPr="00540418" w:rsidRDefault="0068020F" w:rsidP="0068020F">
      <w:pPr>
        <w:pStyle w:val="Texto"/>
        <w:spacing w:after="0" w:line="240" w:lineRule="exact"/>
        <w:jc w:val="center"/>
        <w:rPr>
          <w:rFonts w:ascii="Soberana Sans Light" w:hAnsi="Soberana Sans Light"/>
          <w:b/>
          <w:smallCaps/>
          <w:sz w:val="22"/>
          <w:szCs w:val="22"/>
          <w:lang w:val="es-MX"/>
        </w:rPr>
      </w:pPr>
    </w:p>
    <w:p w:rsidR="0077522C" w:rsidRDefault="0077522C" w:rsidP="0068020F">
      <w:pPr>
        <w:pStyle w:val="Texto"/>
        <w:spacing w:after="0" w:line="240" w:lineRule="exact"/>
        <w:rPr>
          <w:rFonts w:ascii="Soberana Sans Light" w:hAnsi="Soberana Sans Light"/>
          <w:sz w:val="22"/>
          <w:szCs w:val="22"/>
          <w:lang w:val="es-MX"/>
        </w:rPr>
      </w:pPr>
    </w:p>
    <w:p w:rsidR="0077522C" w:rsidRDefault="0077522C" w:rsidP="0068020F">
      <w:pPr>
        <w:pStyle w:val="Texto"/>
        <w:spacing w:after="0" w:line="240" w:lineRule="exact"/>
        <w:rPr>
          <w:rFonts w:ascii="Soberana Sans Light" w:hAnsi="Soberana Sans Light"/>
          <w:sz w:val="22"/>
          <w:szCs w:val="22"/>
          <w:lang w:val="es-MX"/>
        </w:rPr>
      </w:pPr>
    </w:p>
    <w:p w:rsidR="0068020F" w:rsidRDefault="009F5831" w:rsidP="0068020F">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pict>
          <v:shape id="_x0000_s1085" type="#_x0000_t75" style="position:absolute;left:0;text-align:left;margin-left:89.25pt;margin-top:2.85pt;width:485.75pt;height:396.35pt;z-index:251671552">
            <v:imagedata r:id="rId22" o:title=""/>
            <w10:wrap type="topAndBottom"/>
          </v:shape>
          <o:OLEObject Type="Embed" ProgID="Excel.Sheet.12" ShapeID="_x0000_s1085" DrawAspect="Content" ObjectID="_1545472233" r:id="rId23"/>
        </w:pict>
      </w:r>
      <w:r w:rsidR="0068020F"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C6521E" w:rsidRDefault="009F5831" w:rsidP="0068020F">
      <w:pPr>
        <w:pStyle w:val="Texto"/>
        <w:spacing w:after="0" w:line="240" w:lineRule="exact"/>
        <w:jc w:val="center"/>
        <w:rPr>
          <w:rFonts w:ascii="Soberana Sans Light" w:hAnsi="Soberana Sans Light"/>
          <w:b/>
          <w:smallCaps/>
          <w:sz w:val="22"/>
          <w:szCs w:val="22"/>
          <w:lang w:val="es-MX"/>
        </w:rPr>
      </w:pPr>
      <w:r w:rsidRPr="009F5831">
        <w:rPr>
          <w:noProof/>
        </w:rPr>
        <w:lastRenderedPageBreak/>
        <w:pict>
          <v:shape id="_x0000_s1086" type="#_x0000_t75" style="position:absolute;left:0;text-align:left;margin-left:95.65pt;margin-top:0;width:517.8pt;height:463.95pt;z-index:251672576">
            <v:imagedata r:id="rId24" o:title=""/>
            <w10:wrap type="topAndBottom"/>
          </v:shape>
          <o:OLEObject Type="Embed" ProgID="Excel.Sheet.12" ShapeID="_x0000_s1086" DrawAspect="Content" ObjectID="_1545472234" r:id="rId25"/>
        </w:pict>
      </w: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68020F" w:rsidRDefault="0068020F" w:rsidP="0068020F">
      <w:pPr>
        <w:pStyle w:val="Texto"/>
        <w:spacing w:after="0" w:line="240" w:lineRule="exact"/>
        <w:ind w:firstLine="0"/>
        <w:jc w:val="center"/>
        <w:rPr>
          <w:rFonts w:ascii="Soberana Sans Light" w:hAnsi="Soberana Sans Light"/>
          <w:b/>
          <w:sz w:val="22"/>
          <w:szCs w:val="22"/>
          <w:lang w:val="es-MX"/>
        </w:rPr>
      </w:pPr>
    </w:p>
    <w:p w:rsidR="0068020F" w:rsidRPr="00540418" w:rsidRDefault="0068020F" w:rsidP="0068020F">
      <w:pPr>
        <w:pStyle w:val="Texto"/>
        <w:spacing w:after="0" w:line="240" w:lineRule="exact"/>
        <w:ind w:firstLine="0"/>
        <w:jc w:val="center"/>
        <w:rPr>
          <w:rFonts w:ascii="Soberana Sans Light" w:hAnsi="Soberana Sans Light"/>
          <w:b/>
          <w:sz w:val="22"/>
          <w:szCs w:val="22"/>
          <w:lang w:val="es-MX"/>
        </w:rPr>
      </w:pPr>
    </w:p>
    <w:p w:rsidR="0068020F" w:rsidRDefault="0068020F" w:rsidP="0068020F">
      <w:pPr>
        <w:pStyle w:val="Texto"/>
        <w:spacing w:after="0" w:line="240" w:lineRule="exact"/>
        <w:ind w:firstLine="0"/>
        <w:rPr>
          <w:rFonts w:ascii="Soberana Sans Light" w:hAnsi="Soberana Sans Light"/>
          <w:b/>
          <w:sz w:val="22"/>
          <w:szCs w:val="22"/>
          <w:lang w:val="es-MX"/>
        </w:rPr>
      </w:pPr>
    </w:p>
    <w:p w:rsidR="0068020F" w:rsidRPr="00540418" w:rsidRDefault="0068020F" w:rsidP="0068020F">
      <w:pPr>
        <w:pStyle w:val="Texto"/>
        <w:spacing w:after="0" w:line="240" w:lineRule="exact"/>
        <w:ind w:firstLine="0"/>
        <w:rPr>
          <w:rFonts w:ascii="Soberana Sans Light" w:hAnsi="Soberana Sans Light"/>
          <w:b/>
          <w:sz w:val="22"/>
          <w:szCs w:val="22"/>
          <w:lang w:val="es-MX"/>
        </w:rPr>
      </w:pPr>
    </w:p>
    <w:p w:rsidR="0068020F" w:rsidRPr="00540418" w:rsidRDefault="0068020F" w:rsidP="0068020F">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68020F"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68020F" w:rsidRPr="00540418" w:rsidRDefault="0068020F" w:rsidP="0068020F">
      <w:pPr>
        <w:pStyle w:val="Texto"/>
        <w:spacing w:after="0" w:line="240" w:lineRule="exact"/>
        <w:rPr>
          <w:rFonts w:ascii="Soberana Sans Light" w:hAnsi="Soberana Sans Light"/>
          <w:b/>
          <w:sz w:val="22"/>
          <w:szCs w:val="22"/>
        </w:rPr>
      </w:pPr>
    </w:p>
    <w:p w:rsidR="0068020F" w:rsidRPr="00540418" w:rsidRDefault="0068020F" w:rsidP="0068020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68020F"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68020F" w:rsidRDefault="0068020F" w:rsidP="0068020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68020F" w:rsidRPr="00540418" w:rsidRDefault="0068020F" w:rsidP="0068020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68020F" w:rsidRPr="00540418" w:rsidRDefault="0068020F" w:rsidP="0068020F">
      <w:pPr>
        <w:pStyle w:val="Texto"/>
        <w:spacing w:after="0" w:line="240" w:lineRule="exact"/>
        <w:ind w:left="2160" w:hanging="540"/>
        <w:rPr>
          <w:rFonts w:ascii="Soberana Sans Light" w:hAnsi="Soberana Sans Light"/>
          <w:sz w:val="22"/>
          <w:szCs w:val="22"/>
        </w:rPr>
      </w:pPr>
    </w:p>
    <w:p w:rsidR="0068020F" w:rsidRPr="00540418" w:rsidRDefault="0068020F" w:rsidP="0068020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68020F" w:rsidRPr="00540418" w:rsidRDefault="0068020F" w:rsidP="0068020F">
      <w:pPr>
        <w:pStyle w:val="Texto"/>
        <w:spacing w:after="0" w:line="240" w:lineRule="exact"/>
        <w:ind w:left="2160" w:hanging="54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16C6C" w:rsidRPr="00D646B4" w:rsidRDefault="00616C6C" w:rsidP="00616C6C">
      <w:pPr>
        <w:tabs>
          <w:tab w:val="left" w:pos="284"/>
        </w:tabs>
        <w:ind w:left="284"/>
        <w:jc w:val="both"/>
        <w:rPr>
          <w:rFonts w:ascii="Soberana Sans Light" w:eastAsia="Times New Roman" w:hAnsi="Soberana Sans Light" w:cs="Arial"/>
          <w:lang w:eastAsia="es-ES"/>
        </w:rPr>
      </w:pPr>
      <w:r w:rsidRPr="00D646B4">
        <w:rPr>
          <w:rFonts w:ascii="Soberana Sans Light" w:eastAsia="Times New Roman" w:hAnsi="Soberana Sans Light" w:cs="Arial"/>
          <w:lang w:eastAsia="es-ES"/>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8020F" w:rsidRPr="00540418" w:rsidRDefault="0068020F" w:rsidP="0068020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lastRenderedPageBreak/>
        <w:t>c) NOTAS DE GESTIÓN ADMINISTRATIVA</w:t>
      </w:r>
    </w:p>
    <w:p w:rsidR="0068020F" w:rsidRPr="00540418" w:rsidRDefault="0068020F" w:rsidP="0068020F">
      <w:pPr>
        <w:pStyle w:val="Texto"/>
        <w:spacing w:after="0" w:line="240" w:lineRule="exact"/>
        <w:ind w:firstLine="0"/>
        <w:jc w:val="left"/>
        <w:rPr>
          <w:rFonts w:ascii="Soberana Sans Light" w:hAnsi="Soberana Sans Light"/>
          <w:b/>
          <w:sz w:val="22"/>
          <w:szCs w:val="22"/>
          <w:lang w:val="es-MX"/>
        </w:rPr>
      </w:pPr>
    </w:p>
    <w:p w:rsidR="0068020F" w:rsidRPr="00540418" w:rsidRDefault="0068020F" w:rsidP="0068020F">
      <w:pPr>
        <w:pStyle w:val="Texto"/>
        <w:numPr>
          <w:ilvl w:val="0"/>
          <w:numId w:val="10"/>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68020F"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68020F" w:rsidRDefault="0068020F" w:rsidP="0068020F">
      <w:pPr>
        <w:pStyle w:val="Texto"/>
        <w:spacing w:after="0" w:line="240" w:lineRule="exact"/>
        <w:ind w:left="498" w:firstLine="0"/>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El Fideicomiso para la Atención de los Sectores Marginados tiene como objetivo de otorgar recursos financieros para fortalecer actividades productivas que fomenten el desarrollo económico y social de la entidad. Por lo que a atreves del otorgamiento de créditos se fomenta el autoempleo y empleo en los diversos sectores económicos.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68020F" w:rsidRPr="00540418"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68020F"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68020F" w:rsidRDefault="0068020F" w:rsidP="0068020F">
      <w:pPr>
        <w:pStyle w:val="Texto"/>
        <w:spacing w:after="0" w:line="240" w:lineRule="exact"/>
        <w:ind w:left="498" w:firstLine="0"/>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2"/>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29 de octubre de 1999</w:t>
      </w:r>
    </w:p>
    <w:p w:rsidR="0068020F" w:rsidRPr="00540418" w:rsidRDefault="0068020F" w:rsidP="0068020F">
      <w:pPr>
        <w:pStyle w:val="INCISO"/>
        <w:spacing w:after="0" w:line="240" w:lineRule="exact"/>
        <w:ind w:firstLine="0"/>
        <w:rPr>
          <w:rFonts w:ascii="Soberana Sans Light" w:hAnsi="Soberana Sans Light"/>
          <w:sz w:val="22"/>
          <w:szCs w:val="22"/>
        </w:rPr>
      </w:pPr>
    </w:p>
    <w:p w:rsidR="0068020F" w:rsidRDefault="0068020F" w:rsidP="0068020F">
      <w:pPr>
        <w:pStyle w:val="INCISO"/>
        <w:numPr>
          <w:ilvl w:val="0"/>
          <w:numId w:val="12"/>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lastRenderedPageBreak/>
        <w:t>2015</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6"/>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0E7D72" w:rsidRDefault="000E7D72" w:rsidP="000E7D72">
      <w:pPr>
        <w:pStyle w:val="INCISO"/>
        <w:spacing w:after="0" w:line="240" w:lineRule="exact"/>
        <w:ind w:firstLine="0"/>
        <w:rPr>
          <w:rFonts w:ascii="Soberana Sans Light" w:hAnsi="Soberana Sans Light"/>
          <w:sz w:val="22"/>
          <w:szCs w:val="22"/>
        </w:rPr>
      </w:pP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68020F" w:rsidRPr="00540418" w:rsidRDefault="0068020F" w:rsidP="0068020F">
      <w:pPr>
        <w:pStyle w:val="INCISO"/>
        <w:spacing w:after="0" w:line="240" w:lineRule="exact"/>
        <w:ind w:firstLine="0"/>
        <w:rPr>
          <w:rFonts w:ascii="Soberana Sans Light" w:hAnsi="Soberana Sans Light"/>
          <w:sz w:val="22"/>
          <w:szCs w:val="22"/>
        </w:rPr>
      </w:pPr>
    </w:p>
    <w:p w:rsidR="0068020F" w:rsidRDefault="0068020F" w:rsidP="000E7D72">
      <w:pPr>
        <w:pStyle w:val="INCISO"/>
        <w:numPr>
          <w:ilvl w:val="0"/>
          <w:numId w:val="16"/>
        </w:numPr>
        <w:spacing w:after="0" w:line="240" w:lineRule="exact"/>
        <w:rPr>
          <w:rFonts w:ascii="Soberana Sans Light" w:hAnsi="Soberana Sans Light"/>
          <w:sz w:val="22"/>
          <w:szCs w:val="22"/>
        </w:rPr>
      </w:pPr>
      <w:r w:rsidRPr="00540418">
        <w:rPr>
          <w:rFonts w:ascii="Soberana Sans Light" w:hAnsi="Soberana Sans Light"/>
          <w:sz w:val="22"/>
          <w:szCs w:val="2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E7D72" w:rsidRPr="00540418" w:rsidRDefault="000E7D72" w:rsidP="000E7D72">
      <w:pPr>
        <w:pStyle w:val="INCISO"/>
        <w:spacing w:after="0" w:line="240" w:lineRule="exact"/>
        <w:ind w:firstLine="0"/>
        <w:rPr>
          <w:rFonts w:ascii="Soberana Sans Light" w:hAnsi="Soberana Sans Light"/>
          <w:sz w:val="22"/>
          <w:szCs w:val="22"/>
        </w:rPr>
      </w:pPr>
    </w:p>
    <w:p w:rsidR="0068020F" w:rsidRDefault="000E7D72"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Postulados básicos</w:t>
      </w:r>
    </w:p>
    <w:p w:rsidR="000E7D72" w:rsidRPr="00540418" w:rsidRDefault="000E7D72" w:rsidP="0068020F">
      <w:pPr>
        <w:pStyle w:val="INCISO"/>
        <w:spacing w:after="0" w:line="240" w:lineRule="exact"/>
        <w:rPr>
          <w:rFonts w:ascii="Soberana Sans Light" w:hAnsi="Soberana Sans Light"/>
          <w:sz w:val="22"/>
          <w:szCs w:val="22"/>
        </w:rPr>
      </w:pPr>
    </w:p>
    <w:p w:rsidR="0068020F" w:rsidRPr="00540418" w:rsidRDefault="00506795" w:rsidP="0068020F">
      <w:pPr>
        <w:pStyle w:val="INCISO"/>
        <w:spacing w:after="0" w:line="240" w:lineRule="exact"/>
        <w:rPr>
          <w:rFonts w:ascii="Soberana Sans Light" w:hAnsi="Soberana Sans Light"/>
          <w:sz w:val="22"/>
          <w:szCs w:val="22"/>
        </w:rPr>
      </w:pPr>
      <w:r>
        <w:rPr>
          <w:rFonts w:ascii="Soberana Sans Light" w:hAnsi="Soberana Sans Light"/>
          <w:sz w:val="22"/>
          <w:szCs w:val="22"/>
        </w:rPr>
        <w:t>c</w:t>
      </w:r>
      <w:r w:rsidR="0068020F" w:rsidRPr="00540418">
        <w:rPr>
          <w:rFonts w:ascii="Soberana Sans Light" w:hAnsi="Soberana Sans Light"/>
          <w:sz w:val="22"/>
          <w:szCs w:val="22"/>
        </w:rPr>
        <w:t>)</w:t>
      </w:r>
      <w:r w:rsidR="0068020F" w:rsidRPr="00540418">
        <w:rPr>
          <w:rFonts w:ascii="Soberana Sans Light" w:hAnsi="Soberana Sans Light"/>
          <w:sz w:val="22"/>
          <w:szCs w:val="22"/>
        </w:rPr>
        <w:tab/>
        <w:t>Normatividad supletoria. En caso de emplear varios grupos de normatividades (normatividades supletorias), deberá realizar la justific</w:t>
      </w:r>
      <w:r w:rsidR="0068020F">
        <w:rPr>
          <w:rFonts w:ascii="Soberana Sans Light" w:hAnsi="Soberana Sans Light"/>
          <w:sz w:val="22"/>
          <w:szCs w:val="22"/>
        </w:rPr>
        <w:t>ación razonable correspondiente</w:t>
      </w:r>
      <w:r w:rsidR="0068020F" w:rsidRPr="00540418">
        <w:rPr>
          <w:rFonts w:ascii="Soberana Sans Light" w:hAnsi="Soberana Sans Light"/>
          <w:sz w:val="22"/>
          <w:szCs w:val="22"/>
        </w:rPr>
        <w:t>.</w:t>
      </w:r>
    </w:p>
    <w:p w:rsidR="0068020F" w:rsidRPr="00540418" w:rsidRDefault="00506795" w:rsidP="0068020F">
      <w:pPr>
        <w:pStyle w:val="INCISO"/>
        <w:spacing w:after="0" w:line="240" w:lineRule="exact"/>
        <w:rPr>
          <w:rFonts w:ascii="Soberana Sans Light" w:hAnsi="Soberana Sans Light"/>
          <w:sz w:val="22"/>
          <w:szCs w:val="22"/>
        </w:rPr>
      </w:pPr>
      <w:r>
        <w:rPr>
          <w:rFonts w:ascii="Soberana Sans Light" w:hAnsi="Soberana Sans Light"/>
          <w:sz w:val="22"/>
          <w:szCs w:val="22"/>
        </w:rPr>
        <w:t>d</w:t>
      </w:r>
      <w:r w:rsidR="0068020F" w:rsidRPr="00540418">
        <w:rPr>
          <w:rFonts w:ascii="Soberana Sans Light" w:hAnsi="Soberana Sans Light"/>
          <w:sz w:val="22"/>
          <w:szCs w:val="22"/>
        </w:rPr>
        <w:t>)</w:t>
      </w:r>
      <w:r w:rsidR="0068020F" w:rsidRPr="00540418">
        <w:rPr>
          <w:rFonts w:ascii="Soberana Sans Light" w:hAnsi="Soberana Sans Light"/>
          <w:sz w:val="22"/>
          <w:szCs w:val="22"/>
        </w:rPr>
        <w:tab/>
        <w:t>Para las entidades que por primera vez estén implementando la base devengado de acuerdo a la Ley de Contabilidad, deberán:</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r w:rsidR="000E7D72" w:rsidRPr="00540418">
        <w:rPr>
          <w:rFonts w:ascii="Soberana Sans Light" w:hAnsi="Soberana Sans Light"/>
          <w:sz w:val="22"/>
          <w:szCs w:val="22"/>
        </w:rPr>
        <w:t>devengada</w:t>
      </w:r>
      <w:r w:rsidRPr="00540418">
        <w:rPr>
          <w:rFonts w:ascii="Soberana Sans Light" w:hAnsi="Soberana Sans Light"/>
          <w:sz w:val="22"/>
          <w:szCs w:val="22"/>
        </w:rPr>
        <w:t>.</w:t>
      </w:r>
    </w:p>
    <w:p w:rsidR="0068020F" w:rsidRDefault="0068020F" w:rsidP="0068020F">
      <w:pPr>
        <w:pStyle w:val="Texto"/>
        <w:spacing w:after="0" w:line="240" w:lineRule="exact"/>
        <w:ind w:left="1440" w:hanging="360"/>
        <w:rPr>
          <w:rFonts w:ascii="Soberana Sans Light" w:hAnsi="Soberana Sans Light"/>
          <w:sz w:val="22"/>
          <w:szCs w:val="22"/>
        </w:rPr>
      </w:pPr>
    </w:p>
    <w:p w:rsidR="00506795" w:rsidRDefault="00FE7F33" w:rsidP="0068020F">
      <w:pPr>
        <w:pStyle w:val="Texto"/>
        <w:spacing w:after="0" w:line="240" w:lineRule="exact"/>
        <w:ind w:left="1440" w:hanging="360"/>
        <w:rPr>
          <w:rFonts w:ascii="Soberana Sans Light" w:hAnsi="Soberana Sans Light"/>
          <w:sz w:val="22"/>
          <w:szCs w:val="22"/>
        </w:rPr>
      </w:pPr>
      <w:r>
        <w:rPr>
          <w:rFonts w:ascii="Soberana Sans Light" w:hAnsi="Soberana Sans Light"/>
          <w:sz w:val="22"/>
          <w:szCs w:val="22"/>
        </w:rPr>
        <w:t>No aplica para el Fideicomiso tiene 15 años de estar activo</w:t>
      </w:r>
    </w:p>
    <w:p w:rsidR="0068020F" w:rsidRDefault="0068020F" w:rsidP="0068020F">
      <w:pPr>
        <w:pStyle w:val="Texto"/>
        <w:spacing w:after="0" w:line="240" w:lineRule="exact"/>
        <w:ind w:left="1440" w:hanging="360"/>
        <w:rPr>
          <w:rFonts w:ascii="Soberana Sans Light" w:hAnsi="Soberana Sans Light"/>
          <w:sz w:val="22"/>
          <w:szCs w:val="22"/>
        </w:rPr>
      </w:pPr>
    </w:p>
    <w:p w:rsidR="0068020F" w:rsidRDefault="0068020F"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xml:space="preserve">No </w:t>
      </w:r>
      <w:r w:rsidR="00FE7F33">
        <w:rPr>
          <w:rFonts w:ascii="Soberana Sans Light" w:hAnsi="Soberana Sans Light"/>
          <w:sz w:val="22"/>
          <w:szCs w:val="22"/>
        </w:rPr>
        <w:t>aplica para el Fideicomiso no</w:t>
      </w:r>
      <w:r>
        <w:rPr>
          <w:rFonts w:ascii="Soberana Sans Light" w:hAnsi="Soberana Sans Light"/>
          <w:sz w:val="22"/>
          <w:szCs w:val="22"/>
        </w:rPr>
        <w:t xml:space="preserve"> tiene activos ni pasivos en moneda extranjera.</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 xml:space="preserve">Los activos fijos </w:t>
      </w:r>
      <w:r w:rsidR="00FE7F33">
        <w:rPr>
          <w:rFonts w:ascii="Soberana Sans Light" w:hAnsi="Soberana Sans Light"/>
          <w:sz w:val="22"/>
          <w:szCs w:val="22"/>
        </w:rPr>
        <w:t xml:space="preserve">del Fideicomiso se </w:t>
      </w:r>
      <w:r>
        <w:rPr>
          <w:rFonts w:ascii="Soberana Sans Light" w:hAnsi="Soberana Sans Light"/>
          <w:sz w:val="22"/>
          <w:szCs w:val="22"/>
        </w:rPr>
        <w:t>en</w:t>
      </w:r>
      <w:r w:rsidR="00FE7F33">
        <w:rPr>
          <w:rFonts w:ascii="Soberana Sans Light" w:hAnsi="Soberana Sans Light"/>
          <w:sz w:val="22"/>
          <w:szCs w:val="22"/>
        </w:rPr>
        <w:t>cuentran</w:t>
      </w:r>
      <w:r>
        <w:rPr>
          <w:rFonts w:ascii="Soberana Sans Light" w:hAnsi="Soberana Sans Light"/>
          <w:sz w:val="22"/>
          <w:szCs w:val="22"/>
        </w:rPr>
        <w:t xml:space="preserve"> bajo resguardo del personal que los utiliza y son responsables de su buen uso y conservación</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68020F" w:rsidRPr="00540418" w:rsidRDefault="0068020F" w:rsidP="0068020F">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68020F" w:rsidRPr="00540418" w:rsidRDefault="0068020F" w:rsidP="0068020F">
      <w:pPr>
        <w:pStyle w:val="INCISO"/>
        <w:spacing w:after="0" w:line="240" w:lineRule="exact"/>
        <w:rPr>
          <w:rFonts w:ascii="Soberana Sans Light" w:hAnsi="Soberana Sans Light"/>
          <w:sz w:val="22"/>
          <w:szCs w:val="22"/>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r w:rsidR="00FE7F33">
        <w:rPr>
          <w:rFonts w:ascii="Soberana Sans Light" w:hAnsi="Soberana Sans Light"/>
          <w:sz w:val="22"/>
          <w:szCs w:val="22"/>
        </w:rPr>
        <w:t xml:space="preserve"> no cuenta con mandatos y análogos</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68020F" w:rsidRDefault="0068020F" w:rsidP="0068020F">
      <w:pPr>
        <w:pStyle w:val="INCISO"/>
        <w:spacing w:after="0" w:line="240" w:lineRule="exact"/>
        <w:rPr>
          <w:rFonts w:ascii="Soberana Sans Light" w:hAnsi="Soberana Sans Light"/>
          <w:sz w:val="22"/>
          <w:szCs w:val="22"/>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r w:rsidR="00FE7F33">
        <w:rPr>
          <w:rFonts w:ascii="Soberana Sans Light" w:hAnsi="Soberana Sans Light"/>
          <w:sz w:val="22"/>
          <w:szCs w:val="22"/>
        </w:rPr>
        <w:t xml:space="preserve"> no realiza la actividad de recaudación de impuestos</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68020F" w:rsidRDefault="0068020F" w:rsidP="0068020F">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68020F" w:rsidRDefault="0068020F" w:rsidP="0068020F">
      <w:pPr>
        <w:pStyle w:val="INCISO"/>
        <w:spacing w:after="0" w:line="240" w:lineRule="exact"/>
        <w:rPr>
          <w:rFonts w:ascii="Soberana Sans Light" w:hAnsi="Soberana Sans Light"/>
          <w:sz w:val="22"/>
          <w:szCs w:val="22"/>
          <w:lang w:val="es-MX"/>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Pr>
          <w:rFonts w:ascii="Soberana Sans Light" w:hAnsi="Soberana Sans Light"/>
          <w:sz w:val="22"/>
          <w:szCs w:val="22"/>
        </w:rPr>
        <w:t>No aplica para el Fideicomiso</w:t>
      </w:r>
      <w:r w:rsidR="00FE7F33">
        <w:rPr>
          <w:rFonts w:ascii="Soberana Sans Light" w:hAnsi="Soberana Sans Light"/>
          <w:sz w:val="22"/>
          <w:szCs w:val="22"/>
        </w:rPr>
        <w:t xml:space="preserve"> no tiene deuda alguna</w:t>
      </w:r>
    </w:p>
    <w:p w:rsidR="00FE7F33" w:rsidRDefault="00FE7F33"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68020F"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rPr>
      </w:pPr>
      <w:r>
        <w:rPr>
          <w:rFonts w:ascii="Soberana Sans Light" w:hAnsi="Soberana Sans Light"/>
          <w:sz w:val="22"/>
          <w:szCs w:val="22"/>
        </w:rPr>
        <w:lastRenderedPageBreak/>
        <w:t>No aplica para el Fideicomiso</w:t>
      </w:r>
      <w:r w:rsidR="00FE7F33">
        <w:rPr>
          <w:rFonts w:ascii="Soberana Sans Light" w:hAnsi="Soberana Sans Light"/>
          <w:sz w:val="22"/>
          <w:szCs w:val="22"/>
        </w:rPr>
        <w:t xml:space="preserve"> no cuenta con calificaciones otorgadas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FE7F33" w:rsidRPr="00540418" w:rsidRDefault="00FE7F33" w:rsidP="0068020F">
      <w:pPr>
        <w:pStyle w:val="Texto"/>
        <w:spacing w:after="0" w:line="240" w:lineRule="exact"/>
        <w:rPr>
          <w:rFonts w:ascii="Soberana Sans Light" w:hAnsi="Soberana Sans Light"/>
          <w:sz w:val="22"/>
          <w:szCs w:val="22"/>
        </w:rPr>
      </w:pPr>
    </w:p>
    <w:p w:rsidR="0068020F" w:rsidRDefault="0068020F" w:rsidP="0068020F">
      <w:pPr>
        <w:pStyle w:val="INCISO"/>
        <w:numPr>
          <w:ilvl w:val="0"/>
          <w:numId w:val="17"/>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68020F" w:rsidRPr="00540418" w:rsidRDefault="0068020F" w:rsidP="0068020F">
      <w:pPr>
        <w:pStyle w:val="INCISO"/>
        <w:spacing w:after="0" w:line="240" w:lineRule="exact"/>
        <w:rPr>
          <w:rFonts w:ascii="Soberana Sans Light" w:hAnsi="Soberana Sans Light"/>
          <w:sz w:val="22"/>
          <w:szCs w:val="22"/>
        </w:rPr>
      </w:pPr>
    </w:p>
    <w:p w:rsidR="0068020F" w:rsidRPr="00CA7862" w:rsidRDefault="0068020F" w:rsidP="0068020F">
      <w:pPr>
        <w:pStyle w:val="INCISO"/>
        <w:numPr>
          <w:ilvl w:val="0"/>
          <w:numId w:val="17"/>
        </w:numPr>
        <w:spacing w:after="0" w:line="240" w:lineRule="exact"/>
        <w:rPr>
          <w:rFonts w:ascii="Soberana Sans Light" w:hAnsi="Soberana Sans Light"/>
          <w:color w:val="000000" w:themeColor="text1"/>
          <w:sz w:val="22"/>
          <w:szCs w:val="22"/>
        </w:rPr>
      </w:pPr>
      <w:r w:rsidRPr="00CA7862">
        <w:rPr>
          <w:rFonts w:ascii="Soberana Sans Light" w:hAnsi="Soberana Sans Light"/>
          <w:color w:val="000000" w:themeColor="text1"/>
          <w:sz w:val="22"/>
          <w:szCs w:val="22"/>
        </w:rPr>
        <w:t>Medidas de desempeño financiero, metas y alcance.</w:t>
      </w:r>
    </w:p>
    <w:p w:rsidR="0068020F" w:rsidRPr="00CA7862" w:rsidRDefault="0068020F" w:rsidP="0068020F">
      <w:pPr>
        <w:pStyle w:val="Prrafodelista"/>
        <w:ind w:left="1080"/>
        <w:jc w:val="both"/>
        <w:rPr>
          <w:rFonts w:ascii="Arial" w:hAnsi="Arial" w:cs="Arial"/>
          <w:color w:val="000000" w:themeColor="text1"/>
          <w:sz w:val="20"/>
          <w:szCs w:val="20"/>
        </w:rPr>
      </w:pPr>
      <w:r w:rsidRPr="00CA7862">
        <w:rPr>
          <w:rFonts w:ascii="Arial" w:hAnsi="Arial" w:cs="Arial"/>
          <w:color w:val="000000" w:themeColor="text1"/>
          <w:sz w:val="20"/>
          <w:szCs w:val="20"/>
        </w:rPr>
        <w:t xml:space="preserve">Por instrucciones de la Gerencia General del FIDASEM, de manera permanente se han implementado una serie de acciones para la recuperación de la Cartera Vencida del Fondo, entre otras: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Cobranza Preventiva</w:t>
      </w:r>
      <w:r w:rsidRPr="00CA7862">
        <w:rPr>
          <w:rFonts w:ascii="Arial" w:hAnsi="Arial" w:cs="Arial"/>
          <w:color w:val="000000" w:themeColor="text1"/>
          <w:sz w:val="20"/>
          <w:szCs w:val="20"/>
        </w:rPr>
        <w:t xml:space="preserve">: Se efectúan llamadas telefónicas a los acreditados, previas al vencimiento de sus amortizaciones invitándoles al pago puntual.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Visitas de Comprobación</w:t>
      </w:r>
      <w:r w:rsidRPr="00CA7862">
        <w:rPr>
          <w:rFonts w:ascii="Arial" w:hAnsi="Arial" w:cs="Arial"/>
          <w:color w:val="000000" w:themeColor="text1"/>
          <w:sz w:val="20"/>
          <w:szCs w:val="20"/>
        </w:rPr>
        <w:t>: En las visitas de verificación, comprobación y aplicación de los recursos se valida que el negocio esté al corriente de sus pagos. En caso de atraso, se les invita a regularizar su adeudo.</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Pago Referenciado</w:t>
      </w:r>
      <w:r w:rsidRPr="00CA7862">
        <w:rPr>
          <w:rFonts w:ascii="Arial" w:hAnsi="Arial" w:cs="Arial"/>
          <w:color w:val="000000" w:themeColor="text1"/>
          <w:sz w:val="20"/>
          <w:szCs w:val="20"/>
        </w:rPr>
        <w:t>: Se suscribió un convenio con BBVA Bancomer para que los acreditados realicen sus pagos en las sucursales de esa Institución.</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Notificación de Pago</w:t>
      </w:r>
      <w:r w:rsidRPr="00CA7862">
        <w:rPr>
          <w:rFonts w:ascii="Arial" w:hAnsi="Arial" w:cs="Arial"/>
          <w:color w:val="000000" w:themeColor="text1"/>
          <w:sz w:val="20"/>
          <w:szCs w:val="20"/>
        </w:rPr>
        <w:t xml:space="preserve">: Diariamente se entregan requerimientos de pago en los domicilios de los acreditados.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rPr>
        <w:t>C</w:t>
      </w:r>
      <w:r w:rsidRPr="00CA7862">
        <w:rPr>
          <w:rFonts w:ascii="Arial" w:hAnsi="Arial" w:cs="Arial"/>
          <w:b/>
          <w:color w:val="000000" w:themeColor="text1"/>
          <w:sz w:val="20"/>
          <w:szCs w:val="20"/>
          <w:u w:val="single"/>
        </w:rPr>
        <w:t>orreo Certificado</w:t>
      </w:r>
      <w:r w:rsidRPr="00CA7862">
        <w:rPr>
          <w:rFonts w:ascii="Arial" w:hAnsi="Arial" w:cs="Arial"/>
          <w:color w:val="000000" w:themeColor="text1"/>
          <w:sz w:val="20"/>
          <w:szCs w:val="20"/>
        </w:rPr>
        <w:t>: Previo a una posible demanda por incumplimiento u atraso, se envían requerimientos de pago vía Correo Certificado con Acuse de Recibo.</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rPr>
        <w:t>T</w:t>
      </w:r>
      <w:r w:rsidRPr="00CA7862">
        <w:rPr>
          <w:rFonts w:ascii="Arial" w:hAnsi="Arial" w:cs="Arial"/>
          <w:b/>
          <w:color w:val="000000" w:themeColor="text1"/>
          <w:sz w:val="20"/>
          <w:szCs w:val="20"/>
          <w:u w:val="single"/>
        </w:rPr>
        <w:t>ratamiento de Cartera</w:t>
      </w:r>
      <w:r w:rsidRPr="00CA7862">
        <w:rPr>
          <w:rFonts w:ascii="Arial" w:hAnsi="Arial" w:cs="Arial"/>
          <w:color w:val="000000" w:themeColor="text1"/>
          <w:sz w:val="20"/>
          <w:szCs w:val="20"/>
        </w:rPr>
        <w:t xml:space="preserve">: Existen </w:t>
      </w:r>
      <w:r w:rsidRPr="00CA7862">
        <w:rPr>
          <w:rFonts w:ascii="Arial" w:hAnsi="Arial" w:cs="Arial"/>
          <w:b/>
          <w:color w:val="000000" w:themeColor="text1"/>
          <w:sz w:val="20"/>
          <w:szCs w:val="20"/>
        </w:rPr>
        <w:t xml:space="preserve">374 </w:t>
      </w:r>
      <w:r w:rsidRPr="00CA7862">
        <w:rPr>
          <w:rFonts w:ascii="Arial" w:hAnsi="Arial" w:cs="Arial"/>
          <w:color w:val="000000" w:themeColor="text1"/>
          <w:sz w:val="20"/>
          <w:szCs w:val="20"/>
        </w:rPr>
        <w:t xml:space="preserve">créditos otorgados en los ejercicios </w:t>
      </w:r>
      <w:r w:rsidRPr="00CA7862">
        <w:rPr>
          <w:rFonts w:ascii="Arial" w:hAnsi="Arial" w:cs="Arial"/>
          <w:b/>
          <w:color w:val="000000" w:themeColor="text1"/>
          <w:sz w:val="20"/>
          <w:szCs w:val="20"/>
        </w:rPr>
        <w:t>2000</w:t>
      </w:r>
      <w:r w:rsidRPr="00CA7862">
        <w:rPr>
          <w:rFonts w:ascii="Arial" w:hAnsi="Arial" w:cs="Arial"/>
          <w:color w:val="000000" w:themeColor="text1"/>
          <w:sz w:val="20"/>
          <w:szCs w:val="20"/>
        </w:rPr>
        <w:t xml:space="preserve"> al </w:t>
      </w:r>
      <w:r w:rsidRPr="00CA7862">
        <w:rPr>
          <w:rFonts w:ascii="Arial" w:hAnsi="Arial" w:cs="Arial"/>
          <w:b/>
          <w:color w:val="000000" w:themeColor="text1"/>
          <w:sz w:val="20"/>
          <w:szCs w:val="20"/>
        </w:rPr>
        <w:t>201</w:t>
      </w:r>
      <w:r w:rsidR="00BA1A6A">
        <w:rPr>
          <w:rFonts w:ascii="Arial" w:hAnsi="Arial" w:cs="Arial"/>
          <w:b/>
          <w:color w:val="000000" w:themeColor="text1"/>
          <w:sz w:val="20"/>
          <w:szCs w:val="20"/>
        </w:rPr>
        <w:t>6</w:t>
      </w:r>
      <w:r w:rsidRPr="00CA7862">
        <w:rPr>
          <w:rFonts w:ascii="Arial" w:hAnsi="Arial" w:cs="Arial"/>
          <w:color w:val="000000" w:themeColor="text1"/>
          <w:sz w:val="20"/>
          <w:szCs w:val="20"/>
        </w:rPr>
        <w:t xml:space="preserve"> los cuales presentan situaciones complicadas, los deudores </w:t>
      </w:r>
      <w:r w:rsidRPr="00CA7862">
        <w:rPr>
          <w:rFonts w:ascii="Arial" w:hAnsi="Arial" w:cs="Arial"/>
          <w:b/>
          <w:color w:val="000000" w:themeColor="text1"/>
          <w:sz w:val="20"/>
          <w:szCs w:val="20"/>
        </w:rPr>
        <w:t>NO</w:t>
      </w:r>
      <w:r w:rsidRPr="00CA7862">
        <w:rPr>
          <w:rFonts w:ascii="Arial" w:hAnsi="Arial" w:cs="Arial"/>
          <w:color w:val="000000" w:themeColor="text1"/>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68020F" w:rsidRPr="00540418" w:rsidRDefault="0068020F" w:rsidP="0068020F">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68020F" w:rsidRDefault="0068020F" w:rsidP="0068020F">
      <w:pPr>
        <w:pStyle w:val="Texto"/>
        <w:spacing w:after="0" w:line="240" w:lineRule="exact"/>
        <w:rPr>
          <w:rFonts w:ascii="Soberana Sans Light" w:hAnsi="Soberana Sans Light"/>
          <w:sz w:val="22"/>
          <w:szCs w:val="22"/>
          <w:lang w:val="es-MX"/>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La información se presenta de acuerdo a la normatividad</w:t>
      </w:r>
      <w:r w:rsidR="0024400F">
        <w:rPr>
          <w:rFonts w:ascii="Soberana Sans Light" w:hAnsi="Soberana Sans Light"/>
          <w:sz w:val="22"/>
          <w:szCs w:val="22"/>
          <w:lang w:val="es-MX"/>
        </w:rPr>
        <w:t xml:space="preserve"> establecida.</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68020F" w:rsidRDefault="0068020F" w:rsidP="0068020F">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68020F" w:rsidRDefault="0068020F" w:rsidP="0068020F">
      <w:pPr>
        <w:pStyle w:val="Texto"/>
        <w:spacing w:after="0" w:line="240" w:lineRule="exact"/>
        <w:ind w:left="288" w:firstLine="0"/>
        <w:rPr>
          <w:rFonts w:ascii="Soberana Sans Light" w:hAnsi="Soberana Sans Light"/>
          <w:sz w:val="22"/>
          <w:szCs w:val="22"/>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Los estados Financieros se presentan al comité técnico los primeros dos meses del siguiente año.</w:t>
      </w:r>
    </w:p>
    <w:p w:rsidR="0068020F" w:rsidRPr="00540418" w:rsidRDefault="0068020F" w:rsidP="0068020F">
      <w:pPr>
        <w:pStyle w:val="Texto"/>
        <w:spacing w:after="0" w:line="240" w:lineRule="exact"/>
        <w:ind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68020F" w:rsidRDefault="0068020F" w:rsidP="0068020F">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68020F" w:rsidRDefault="0068020F" w:rsidP="0068020F">
      <w:pPr>
        <w:pStyle w:val="Texto"/>
        <w:spacing w:after="0" w:line="240" w:lineRule="exact"/>
        <w:ind w:left="288" w:firstLine="0"/>
        <w:rPr>
          <w:rFonts w:ascii="Soberana Sans Light" w:hAnsi="Soberana Sans Light"/>
          <w:sz w:val="22"/>
          <w:szCs w:val="22"/>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comité técnico del Fideicomiso es quien faculta al Gerente General sobre la Operación del Fideicomiso</w:t>
      </w:r>
    </w:p>
    <w:p w:rsidR="0068020F" w:rsidRDefault="0068020F" w:rsidP="0068020F">
      <w:pPr>
        <w:pStyle w:val="Texto"/>
        <w:spacing w:after="0" w:line="240" w:lineRule="exact"/>
        <w:rPr>
          <w:rFonts w:ascii="Soberana Sans Light" w:hAnsi="Soberana Sans Light"/>
          <w:sz w:val="22"/>
          <w:szCs w:val="22"/>
        </w:rPr>
      </w:pPr>
    </w:p>
    <w:p w:rsidR="0068020F" w:rsidRPr="00574266" w:rsidRDefault="0068020F" w:rsidP="0068020F">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68020F" w:rsidRPr="00574266" w:rsidRDefault="0068020F" w:rsidP="0068020F">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68020F" w:rsidRDefault="0068020F" w:rsidP="0068020F">
      <w:pPr>
        <w:pStyle w:val="Texto"/>
        <w:spacing w:after="0" w:line="240" w:lineRule="exact"/>
        <w:rPr>
          <w:rFonts w:ascii="Soberana Sans Light" w:hAnsi="Soberana Sans Light"/>
          <w:sz w:val="22"/>
          <w:szCs w:val="22"/>
        </w:rPr>
      </w:pPr>
    </w:p>
    <w:p w:rsidR="00B027A8" w:rsidRPr="00B027A8" w:rsidRDefault="00B027A8" w:rsidP="00B027A8">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192D8C">
        <w:rPr>
          <w:rFonts w:ascii="Soberana Sans Light" w:eastAsia="Times New Roman" w:hAnsi="Soberana Sans Light" w:cs="Arial"/>
          <w:lang w:eastAsia="es-ES"/>
        </w:rPr>
        <w:t>Bajo protesta de decir verdad declaramos que los Estados Financieros y sus Notas son razonablemente correctos y responsabilidad del emisor</w:t>
      </w:r>
    </w:p>
    <w:p w:rsidR="0068020F" w:rsidRPr="00B027A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rPr>
      </w:pPr>
    </w:p>
    <w:p w:rsidR="0068020F" w:rsidRPr="0068020F" w:rsidRDefault="009F5831" w:rsidP="005468B2">
      <w:pPr>
        <w:pStyle w:val="Texto"/>
        <w:spacing w:after="0" w:line="240" w:lineRule="exact"/>
      </w:pPr>
      <w:r w:rsidRPr="009F5831">
        <w:rPr>
          <w:rFonts w:ascii="Soberana Sans Light" w:hAnsi="Soberana Sans Light"/>
          <w:noProof/>
        </w:rPr>
        <w:pict>
          <v:shape id="_x0000_s1087" type="#_x0000_t75" style="position:absolute;left:0;text-align:left;margin-left:3.75pt;margin-top:5.85pt;width:729.4pt;height:59.05pt;z-index:251673600">
            <v:imagedata r:id="rId26" o:title=""/>
            <w10:wrap type="topAndBottom"/>
          </v:shape>
          <o:OLEObject Type="Embed" ProgID="Excel.Sheet.12" ShapeID="_x0000_s1087" DrawAspect="Content" ObjectID="_1545472235" r:id="rId27"/>
        </w:pict>
      </w:r>
    </w:p>
    <w:sectPr w:rsidR="0068020F" w:rsidRPr="0068020F" w:rsidSect="001221D0">
      <w:headerReference w:type="even" r:id="rId28"/>
      <w:headerReference w:type="default" r:id="rId29"/>
      <w:footerReference w:type="even" r:id="rId30"/>
      <w:footerReference w:type="default" r:id="rId31"/>
      <w:pgSz w:w="15840" w:h="12240" w:orient="landscape"/>
      <w:pgMar w:top="1440" w:right="109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870" w:rsidRDefault="00835870" w:rsidP="00EA5418">
      <w:pPr>
        <w:spacing w:after="0" w:line="240" w:lineRule="auto"/>
      </w:pPr>
      <w:r>
        <w:separator/>
      </w:r>
    </w:p>
  </w:endnote>
  <w:endnote w:type="continuationSeparator" w:id="1">
    <w:p w:rsidR="00835870" w:rsidRDefault="0083587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F1" w:rsidRPr="0013011C" w:rsidRDefault="009F583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3C35F1"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3C35F1" w:rsidRPr="0013011C">
          <w:rPr>
            <w:rFonts w:ascii="Soberana Sans Light" w:hAnsi="Soberana Sans Light"/>
          </w:rPr>
          <w:instrText>PAGE   \* MERGEFORMAT</w:instrText>
        </w:r>
        <w:r w:rsidRPr="0013011C">
          <w:rPr>
            <w:rFonts w:ascii="Soberana Sans Light" w:hAnsi="Soberana Sans Light"/>
          </w:rPr>
          <w:fldChar w:fldCharType="separate"/>
        </w:r>
        <w:r w:rsidR="004120A4" w:rsidRPr="004120A4">
          <w:rPr>
            <w:rFonts w:ascii="Soberana Sans Light" w:hAnsi="Soberana Sans Light"/>
            <w:noProof/>
            <w:lang w:val="es-ES"/>
          </w:rPr>
          <w:t>2</w:t>
        </w:r>
        <w:r w:rsidRPr="0013011C">
          <w:rPr>
            <w:rFonts w:ascii="Soberana Sans Light" w:hAnsi="Soberana Sans Light"/>
          </w:rPr>
          <w:fldChar w:fldCharType="end"/>
        </w:r>
      </w:sdtContent>
    </w:sdt>
  </w:p>
  <w:p w:rsidR="003C35F1" w:rsidRDefault="003C35F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F1" w:rsidRPr="008E3652" w:rsidRDefault="009F583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3C35F1" w:rsidRPr="008E3652">
          <w:rPr>
            <w:rFonts w:ascii="Soberana Sans Light" w:hAnsi="Soberana Sans Light"/>
          </w:rPr>
          <w:t xml:space="preserve">Contable / </w:t>
        </w:r>
        <w:r w:rsidRPr="008E3652">
          <w:rPr>
            <w:rFonts w:ascii="Soberana Sans Light" w:hAnsi="Soberana Sans Light"/>
          </w:rPr>
          <w:fldChar w:fldCharType="begin"/>
        </w:r>
        <w:r w:rsidR="003C35F1" w:rsidRPr="008E3652">
          <w:rPr>
            <w:rFonts w:ascii="Soberana Sans Light" w:hAnsi="Soberana Sans Light"/>
          </w:rPr>
          <w:instrText>PAGE   \* MERGEFORMAT</w:instrText>
        </w:r>
        <w:r w:rsidRPr="008E3652">
          <w:rPr>
            <w:rFonts w:ascii="Soberana Sans Light" w:hAnsi="Soberana Sans Light"/>
          </w:rPr>
          <w:fldChar w:fldCharType="separate"/>
        </w:r>
        <w:r w:rsidR="004120A4" w:rsidRPr="004120A4">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870" w:rsidRDefault="00835870" w:rsidP="00EA5418">
      <w:pPr>
        <w:spacing w:after="0" w:line="240" w:lineRule="auto"/>
      </w:pPr>
      <w:r>
        <w:separator/>
      </w:r>
    </w:p>
  </w:footnote>
  <w:footnote w:type="continuationSeparator" w:id="1">
    <w:p w:rsidR="00835870" w:rsidRDefault="0083587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F1" w:rsidRDefault="009F5831">
    <w:pPr>
      <w:pStyle w:val="Encabezado"/>
    </w:pPr>
    <w:r w:rsidRPr="009F5831">
      <w:rPr>
        <w:rFonts w:ascii="Soberana Sans Light" w:hAnsi="Soberana Sans Light"/>
        <w:noProof/>
        <w:lang w:eastAsia="es-MX"/>
      </w:rPr>
      <w:pict>
        <v:line id="4 Conector recto" o:spid="_x0000_s4100" style="position:absolute;flip:y;z-index:251663360;visibility:visible;mso-width-relative:margin" from="-57.75pt,17.35pt" to="736.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3C35F1" w:rsidRDefault="003C35F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C35F1" w:rsidRDefault="003C35F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C35F1" w:rsidRPr="00275FC6" w:rsidRDefault="003C35F1"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C35F1" w:rsidRDefault="003C35F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3C35F1" w:rsidRDefault="003C35F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C35F1" w:rsidRPr="00275FC6" w:rsidRDefault="003C35F1" w:rsidP="00040466">
                    <w:pPr>
                      <w:jc w:val="both"/>
                      <w:rPr>
                        <w:rFonts w:ascii="Soberana Titular" w:hAnsi="Soberana Titular" w:cs="Arial"/>
                        <w:color w:val="808080" w:themeColor="background1" w:themeShade="80"/>
                        <w:sz w:val="42"/>
                        <w:szCs w:val="42"/>
                      </w:rPr>
                    </w:pPr>
                  </w:p>
                </w:txbxContent>
              </v:textbox>
            </v:shape>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F1" w:rsidRPr="0013011C" w:rsidRDefault="009F583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3C35F1">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79135D"/>
    <w:multiLevelType w:val="hybridMultilevel"/>
    <w:tmpl w:val="A82082A8"/>
    <w:lvl w:ilvl="0" w:tplc="9B2C52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6"/>
  </w:num>
  <w:num w:numId="4">
    <w:abstractNumId w:val="4"/>
  </w:num>
  <w:num w:numId="5">
    <w:abstractNumId w:val="10"/>
  </w:num>
  <w:num w:numId="6">
    <w:abstractNumId w:val="3"/>
  </w:num>
  <w:num w:numId="7">
    <w:abstractNumId w:val="12"/>
  </w:num>
  <w:num w:numId="8">
    <w:abstractNumId w:val="14"/>
  </w:num>
  <w:num w:numId="9">
    <w:abstractNumId w:val="13"/>
  </w:num>
  <w:num w:numId="10">
    <w:abstractNumId w:val="1"/>
  </w:num>
  <w:num w:numId="11">
    <w:abstractNumId w:val="16"/>
  </w:num>
  <w:num w:numId="12">
    <w:abstractNumId w:val="7"/>
  </w:num>
  <w:num w:numId="13">
    <w:abstractNumId w:val="9"/>
  </w:num>
  <w:num w:numId="14">
    <w:abstractNumId w:val="11"/>
  </w:num>
  <w:num w:numId="15">
    <w:abstractNumId w:val="15"/>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49154"/>
    <o:shapelayout v:ext="edit">
      <o:idmap v:ext="edit" data="4"/>
    </o:shapelayout>
  </w:hdrShapeDefaults>
  <w:footnotePr>
    <w:footnote w:id="0"/>
    <w:footnote w:id="1"/>
  </w:footnotePr>
  <w:endnotePr>
    <w:endnote w:id="0"/>
    <w:endnote w:id="1"/>
  </w:endnotePr>
  <w:compat/>
  <w:rsids>
    <w:rsidRoot w:val="00EA5418"/>
    <w:rsid w:val="00001107"/>
    <w:rsid w:val="0000255B"/>
    <w:rsid w:val="00007E98"/>
    <w:rsid w:val="00013A44"/>
    <w:rsid w:val="00022BBC"/>
    <w:rsid w:val="00024692"/>
    <w:rsid w:val="00026D88"/>
    <w:rsid w:val="00033CC1"/>
    <w:rsid w:val="00040466"/>
    <w:rsid w:val="0004281D"/>
    <w:rsid w:val="000440BB"/>
    <w:rsid w:val="00045A10"/>
    <w:rsid w:val="00055DC3"/>
    <w:rsid w:val="00062DB2"/>
    <w:rsid w:val="000836A7"/>
    <w:rsid w:val="00083D4D"/>
    <w:rsid w:val="00092E75"/>
    <w:rsid w:val="00092F9D"/>
    <w:rsid w:val="00094CBE"/>
    <w:rsid w:val="000A0FA7"/>
    <w:rsid w:val="000A1C4A"/>
    <w:rsid w:val="000C0013"/>
    <w:rsid w:val="000C0837"/>
    <w:rsid w:val="000D0F31"/>
    <w:rsid w:val="000D46B0"/>
    <w:rsid w:val="000D6CA1"/>
    <w:rsid w:val="000E1FB8"/>
    <w:rsid w:val="000E2200"/>
    <w:rsid w:val="000E7D72"/>
    <w:rsid w:val="00102475"/>
    <w:rsid w:val="001221D0"/>
    <w:rsid w:val="0013011C"/>
    <w:rsid w:val="00131E8A"/>
    <w:rsid w:val="00133C54"/>
    <w:rsid w:val="00142033"/>
    <w:rsid w:val="0014298F"/>
    <w:rsid w:val="00142A2B"/>
    <w:rsid w:val="001431C6"/>
    <w:rsid w:val="00144AB0"/>
    <w:rsid w:val="00145EB0"/>
    <w:rsid w:val="00157BBA"/>
    <w:rsid w:val="001650E7"/>
    <w:rsid w:val="00165230"/>
    <w:rsid w:val="00165BB4"/>
    <w:rsid w:val="00174466"/>
    <w:rsid w:val="00177435"/>
    <w:rsid w:val="00181F8D"/>
    <w:rsid w:val="00184C1F"/>
    <w:rsid w:val="001864F9"/>
    <w:rsid w:val="001907B3"/>
    <w:rsid w:val="001919AC"/>
    <w:rsid w:val="00192D8C"/>
    <w:rsid w:val="00197D07"/>
    <w:rsid w:val="001B1B72"/>
    <w:rsid w:val="001B3AF9"/>
    <w:rsid w:val="001C6F1A"/>
    <w:rsid w:val="001C6FD8"/>
    <w:rsid w:val="001C708F"/>
    <w:rsid w:val="001D1714"/>
    <w:rsid w:val="001D19A8"/>
    <w:rsid w:val="001E7072"/>
    <w:rsid w:val="0020111B"/>
    <w:rsid w:val="00204C86"/>
    <w:rsid w:val="00213E9B"/>
    <w:rsid w:val="00216200"/>
    <w:rsid w:val="0021693F"/>
    <w:rsid w:val="00224B05"/>
    <w:rsid w:val="00225430"/>
    <w:rsid w:val="00234C34"/>
    <w:rsid w:val="00237434"/>
    <w:rsid w:val="00240F21"/>
    <w:rsid w:val="002431FF"/>
    <w:rsid w:val="0024400F"/>
    <w:rsid w:val="0025103C"/>
    <w:rsid w:val="00254049"/>
    <w:rsid w:val="0025569C"/>
    <w:rsid w:val="00262E07"/>
    <w:rsid w:val="00264426"/>
    <w:rsid w:val="00267CBF"/>
    <w:rsid w:val="002706E4"/>
    <w:rsid w:val="002724C9"/>
    <w:rsid w:val="00277B20"/>
    <w:rsid w:val="00282F18"/>
    <w:rsid w:val="0028778C"/>
    <w:rsid w:val="00292D4A"/>
    <w:rsid w:val="00293B3B"/>
    <w:rsid w:val="0029657B"/>
    <w:rsid w:val="002975D1"/>
    <w:rsid w:val="002A3BC8"/>
    <w:rsid w:val="002A4A56"/>
    <w:rsid w:val="002A55F0"/>
    <w:rsid w:val="002A70B3"/>
    <w:rsid w:val="002B4B05"/>
    <w:rsid w:val="002C1922"/>
    <w:rsid w:val="002C28C7"/>
    <w:rsid w:val="002C3132"/>
    <w:rsid w:val="002C7021"/>
    <w:rsid w:val="002D482B"/>
    <w:rsid w:val="002E7E5E"/>
    <w:rsid w:val="002F0C78"/>
    <w:rsid w:val="002F1EF4"/>
    <w:rsid w:val="002F29B9"/>
    <w:rsid w:val="00300615"/>
    <w:rsid w:val="00304F9F"/>
    <w:rsid w:val="00305558"/>
    <w:rsid w:val="00306DBC"/>
    <w:rsid w:val="003159DF"/>
    <w:rsid w:val="00317CEF"/>
    <w:rsid w:val="003216F9"/>
    <w:rsid w:val="00324593"/>
    <w:rsid w:val="00327D07"/>
    <w:rsid w:val="00331A9F"/>
    <w:rsid w:val="00340731"/>
    <w:rsid w:val="00340A00"/>
    <w:rsid w:val="00342B7F"/>
    <w:rsid w:val="00352732"/>
    <w:rsid w:val="003529F0"/>
    <w:rsid w:val="00366D6A"/>
    <w:rsid w:val="00372F40"/>
    <w:rsid w:val="00374D70"/>
    <w:rsid w:val="0038592C"/>
    <w:rsid w:val="00385ABC"/>
    <w:rsid w:val="00387EF6"/>
    <w:rsid w:val="00391846"/>
    <w:rsid w:val="00394F1A"/>
    <w:rsid w:val="00396C2B"/>
    <w:rsid w:val="003975F0"/>
    <w:rsid w:val="003A0303"/>
    <w:rsid w:val="003A0F3C"/>
    <w:rsid w:val="003A1BE9"/>
    <w:rsid w:val="003A32B8"/>
    <w:rsid w:val="003B1002"/>
    <w:rsid w:val="003C0A01"/>
    <w:rsid w:val="003C1909"/>
    <w:rsid w:val="003C3003"/>
    <w:rsid w:val="003C35F1"/>
    <w:rsid w:val="003D18E9"/>
    <w:rsid w:val="003D5DBF"/>
    <w:rsid w:val="003D60C1"/>
    <w:rsid w:val="003E4AC0"/>
    <w:rsid w:val="003E7677"/>
    <w:rsid w:val="003E7FD0"/>
    <w:rsid w:val="003F0EA4"/>
    <w:rsid w:val="003F3532"/>
    <w:rsid w:val="003F74FB"/>
    <w:rsid w:val="004071B4"/>
    <w:rsid w:val="0041054E"/>
    <w:rsid w:val="004120A4"/>
    <w:rsid w:val="00420E7E"/>
    <w:rsid w:val="00423FE0"/>
    <w:rsid w:val="004311BE"/>
    <w:rsid w:val="0043336A"/>
    <w:rsid w:val="00436A2E"/>
    <w:rsid w:val="0044253C"/>
    <w:rsid w:val="00446740"/>
    <w:rsid w:val="00454B87"/>
    <w:rsid w:val="004714CF"/>
    <w:rsid w:val="00471E16"/>
    <w:rsid w:val="00481BBE"/>
    <w:rsid w:val="00484C0D"/>
    <w:rsid w:val="004854F6"/>
    <w:rsid w:val="00497D8B"/>
    <w:rsid w:val="004C2FB9"/>
    <w:rsid w:val="004C604D"/>
    <w:rsid w:val="004D0A16"/>
    <w:rsid w:val="004D1663"/>
    <w:rsid w:val="004D41B8"/>
    <w:rsid w:val="004D7947"/>
    <w:rsid w:val="004E3FC4"/>
    <w:rsid w:val="004E45A6"/>
    <w:rsid w:val="004F40B5"/>
    <w:rsid w:val="004F5641"/>
    <w:rsid w:val="0050591C"/>
    <w:rsid w:val="00506795"/>
    <w:rsid w:val="005102FF"/>
    <w:rsid w:val="00512040"/>
    <w:rsid w:val="0051296B"/>
    <w:rsid w:val="0051764B"/>
    <w:rsid w:val="00522632"/>
    <w:rsid w:val="00522EF3"/>
    <w:rsid w:val="00527F5E"/>
    <w:rsid w:val="0053406C"/>
    <w:rsid w:val="00540418"/>
    <w:rsid w:val="005468B2"/>
    <w:rsid w:val="00554D2A"/>
    <w:rsid w:val="00555137"/>
    <w:rsid w:val="00555C74"/>
    <w:rsid w:val="00557774"/>
    <w:rsid w:val="00563A94"/>
    <w:rsid w:val="0057023D"/>
    <w:rsid w:val="00572079"/>
    <w:rsid w:val="00574266"/>
    <w:rsid w:val="00576CA7"/>
    <w:rsid w:val="00580220"/>
    <w:rsid w:val="00584E7F"/>
    <w:rsid w:val="00591072"/>
    <w:rsid w:val="00591A70"/>
    <w:rsid w:val="00593BC0"/>
    <w:rsid w:val="00593D69"/>
    <w:rsid w:val="005A06F7"/>
    <w:rsid w:val="005A1713"/>
    <w:rsid w:val="005A45B4"/>
    <w:rsid w:val="005A7F7F"/>
    <w:rsid w:val="005B1723"/>
    <w:rsid w:val="005B4DFA"/>
    <w:rsid w:val="005D3D25"/>
    <w:rsid w:val="005D66E2"/>
    <w:rsid w:val="005E449F"/>
    <w:rsid w:val="005E59C5"/>
    <w:rsid w:val="005E6681"/>
    <w:rsid w:val="006006B6"/>
    <w:rsid w:val="0060677A"/>
    <w:rsid w:val="0061216A"/>
    <w:rsid w:val="00615B52"/>
    <w:rsid w:val="00616609"/>
    <w:rsid w:val="00616C6C"/>
    <w:rsid w:val="00620B5D"/>
    <w:rsid w:val="00623228"/>
    <w:rsid w:val="006251A2"/>
    <w:rsid w:val="006337B7"/>
    <w:rsid w:val="0063690E"/>
    <w:rsid w:val="00637F6C"/>
    <w:rsid w:val="00642F18"/>
    <w:rsid w:val="00643643"/>
    <w:rsid w:val="00643CE5"/>
    <w:rsid w:val="00652561"/>
    <w:rsid w:val="0065276B"/>
    <w:rsid w:val="0065292B"/>
    <w:rsid w:val="006533DF"/>
    <w:rsid w:val="0065477E"/>
    <w:rsid w:val="00656928"/>
    <w:rsid w:val="00663B2B"/>
    <w:rsid w:val="00664FB0"/>
    <w:rsid w:val="0067448F"/>
    <w:rsid w:val="00675F4C"/>
    <w:rsid w:val="0068020F"/>
    <w:rsid w:val="00686ADF"/>
    <w:rsid w:val="00687006"/>
    <w:rsid w:val="006945D8"/>
    <w:rsid w:val="006A1FF3"/>
    <w:rsid w:val="006B1629"/>
    <w:rsid w:val="006B1FE7"/>
    <w:rsid w:val="006B59AF"/>
    <w:rsid w:val="006C28EF"/>
    <w:rsid w:val="006C2DB8"/>
    <w:rsid w:val="006D0BD3"/>
    <w:rsid w:val="006E1F10"/>
    <w:rsid w:val="006E546D"/>
    <w:rsid w:val="006E5A2A"/>
    <w:rsid w:val="006E5F16"/>
    <w:rsid w:val="006E77DD"/>
    <w:rsid w:val="006F4283"/>
    <w:rsid w:val="006F4A37"/>
    <w:rsid w:val="006F593E"/>
    <w:rsid w:val="007006A6"/>
    <w:rsid w:val="0070081C"/>
    <w:rsid w:val="00706B46"/>
    <w:rsid w:val="00710D78"/>
    <w:rsid w:val="007121E2"/>
    <w:rsid w:val="00714722"/>
    <w:rsid w:val="00717712"/>
    <w:rsid w:val="0071798C"/>
    <w:rsid w:val="007202E8"/>
    <w:rsid w:val="00725009"/>
    <w:rsid w:val="00726FC0"/>
    <w:rsid w:val="00735686"/>
    <w:rsid w:val="0073684D"/>
    <w:rsid w:val="00740E77"/>
    <w:rsid w:val="0074102F"/>
    <w:rsid w:val="00747375"/>
    <w:rsid w:val="00754ABB"/>
    <w:rsid w:val="00761C26"/>
    <w:rsid w:val="00765BE7"/>
    <w:rsid w:val="00774B51"/>
    <w:rsid w:val="0077522C"/>
    <w:rsid w:val="007756BE"/>
    <w:rsid w:val="00783471"/>
    <w:rsid w:val="0079582C"/>
    <w:rsid w:val="00796037"/>
    <w:rsid w:val="007A084B"/>
    <w:rsid w:val="007A0DAB"/>
    <w:rsid w:val="007A57C2"/>
    <w:rsid w:val="007A629C"/>
    <w:rsid w:val="007B169B"/>
    <w:rsid w:val="007B2DE0"/>
    <w:rsid w:val="007C20F2"/>
    <w:rsid w:val="007C273C"/>
    <w:rsid w:val="007C7197"/>
    <w:rsid w:val="007D1DDB"/>
    <w:rsid w:val="007D29AD"/>
    <w:rsid w:val="007D6E9A"/>
    <w:rsid w:val="007D7601"/>
    <w:rsid w:val="007E0FA6"/>
    <w:rsid w:val="00811DAC"/>
    <w:rsid w:val="008174DD"/>
    <w:rsid w:val="00832997"/>
    <w:rsid w:val="0083416C"/>
    <w:rsid w:val="00835870"/>
    <w:rsid w:val="00835DFB"/>
    <w:rsid w:val="00840885"/>
    <w:rsid w:val="00841338"/>
    <w:rsid w:val="0084258B"/>
    <w:rsid w:val="008475E0"/>
    <w:rsid w:val="00847F7B"/>
    <w:rsid w:val="0085138A"/>
    <w:rsid w:val="00857C27"/>
    <w:rsid w:val="00866FB6"/>
    <w:rsid w:val="00867C57"/>
    <w:rsid w:val="00870FC8"/>
    <w:rsid w:val="00873C1E"/>
    <w:rsid w:val="00881616"/>
    <w:rsid w:val="008816C0"/>
    <w:rsid w:val="008878EE"/>
    <w:rsid w:val="008903A9"/>
    <w:rsid w:val="0089054E"/>
    <w:rsid w:val="00896BCA"/>
    <w:rsid w:val="008A2B5A"/>
    <w:rsid w:val="008A32B0"/>
    <w:rsid w:val="008A6E4D"/>
    <w:rsid w:val="008A793D"/>
    <w:rsid w:val="008B0017"/>
    <w:rsid w:val="008B220F"/>
    <w:rsid w:val="008B3068"/>
    <w:rsid w:val="008B4469"/>
    <w:rsid w:val="008C17BB"/>
    <w:rsid w:val="008C5001"/>
    <w:rsid w:val="008C77BA"/>
    <w:rsid w:val="008D0779"/>
    <w:rsid w:val="008D23DB"/>
    <w:rsid w:val="008E2D13"/>
    <w:rsid w:val="008E3652"/>
    <w:rsid w:val="008E688B"/>
    <w:rsid w:val="008F164D"/>
    <w:rsid w:val="008F2D60"/>
    <w:rsid w:val="008F3084"/>
    <w:rsid w:val="008F6A0E"/>
    <w:rsid w:val="008F6D58"/>
    <w:rsid w:val="008F7171"/>
    <w:rsid w:val="00904EA7"/>
    <w:rsid w:val="00905BED"/>
    <w:rsid w:val="00910E4E"/>
    <w:rsid w:val="00911784"/>
    <w:rsid w:val="00920993"/>
    <w:rsid w:val="0092347F"/>
    <w:rsid w:val="0092397C"/>
    <w:rsid w:val="00923FAD"/>
    <w:rsid w:val="0093492C"/>
    <w:rsid w:val="00935246"/>
    <w:rsid w:val="00936355"/>
    <w:rsid w:val="00936E9A"/>
    <w:rsid w:val="00937E33"/>
    <w:rsid w:val="009420CE"/>
    <w:rsid w:val="0094474A"/>
    <w:rsid w:val="0094701A"/>
    <w:rsid w:val="009475B6"/>
    <w:rsid w:val="00951FC9"/>
    <w:rsid w:val="00952241"/>
    <w:rsid w:val="009537A6"/>
    <w:rsid w:val="00957043"/>
    <w:rsid w:val="009607CB"/>
    <w:rsid w:val="0096280D"/>
    <w:rsid w:val="009646B0"/>
    <w:rsid w:val="00964BDE"/>
    <w:rsid w:val="00981B9E"/>
    <w:rsid w:val="009823F4"/>
    <w:rsid w:val="00982ABF"/>
    <w:rsid w:val="00982FB3"/>
    <w:rsid w:val="00984B3C"/>
    <w:rsid w:val="00986BC4"/>
    <w:rsid w:val="009905DE"/>
    <w:rsid w:val="009934C9"/>
    <w:rsid w:val="009B0331"/>
    <w:rsid w:val="009B5439"/>
    <w:rsid w:val="009B6E90"/>
    <w:rsid w:val="009C167A"/>
    <w:rsid w:val="009D0025"/>
    <w:rsid w:val="009D08C1"/>
    <w:rsid w:val="009D249A"/>
    <w:rsid w:val="009D3E9F"/>
    <w:rsid w:val="009D46AD"/>
    <w:rsid w:val="009D5D4C"/>
    <w:rsid w:val="009D61C2"/>
    <w:rsid w:val="009D7A5D"/>
    <w:rsid w:val="009E191B"/>
    <w:rsid w:val="009E5712"/>
    <w:rsid w:val="009F23C4"/>
    <w:rsid w:val="009F299A"/>
    <w:rsid w:val="009F4458"/>
    <w:rsid w:val="009F46F6"/>
    <w:rsid w:val="009F5831"/>
    <w:rsid w:val="00A024DF"/>
    <w:rsid w:val="00A13084"/>
    <w:rsid w:val="00A2306A"/>
    <w:rsid w:val="00A258B4"/>
    <w:rsid w:val="00A25FAB"/>
    <w:rsid w:val="00A32E65"/>
    <w:rsid w:val="00A363B6"/>
    <w:rsid w:val="00A37954"/>
    <w:rsid w:val="00A40C8A"/>
    <w:rsid w:val="00A46BF5"/>
    <w:rsid w:val="00A476ED"/>
    <w:rsid w:val="00A559C5"/>
    <w:rsid w:val="00A56399"/>
    <w:rsid w:val="00A618A8"/>
    <w:rsid w:val="00A641A3"/>
    <w:rsid w:val="00A66E31"/>
    <w:rsid w:val="00A741BE"/>
    <w:rsid w:val="00A76F26"/>
    <w:rsid w:val="00A80A89"/>
    <w:rsid w:val="00A81A2F"/>
    <w:rsid w:val="00A829D4"/>
    <w:rsid w:val="00A82BBA"/>
    <w:rsid w:val="00A82C52"/>
    <w:rsid w:val="00A839E3"/>
    <w:rsid w:val="00A861AA"/>
    <w:rsid w:val="00A87497"/>
    <w:rsid w:val="00A879C1"/>
    <w:rsid w:val="00A90672"/>
    <w:rsid w:val="00A92234"/>
    <w:rsid w:val="00AB0B81"/>
    <w:rsid w:val="00AB175B"/>
    <w:rsid w:val="00AB6A73"/>
    <w:rsid w:val="00AC127F"/>
    <w:rsid w:val="00AC182D"/>
    <w:rsid w:val="00AC1EE9"/>
    <w:rsid w:val="00AC7D88"/>
    <w:rsid w:val="00AD0E55"/>
    <w:rsid w:val="00AE4BA8"/>
    <w:rsid w:val="00AF5251"/>
    <w:rsid w:val="00AF57B4"/>
    <w:rsid w:val="00AF66CB"/>
    <w:rsid w:val="00B009CB"/>
    <w:rsid w:val="00B00DC6"/>
    <w:rsid w:val="00B027A8"/>
    <w:rsid w:val="00B02ADF"/>
    <w:rsid w:val="00B04FE0"/>
    <w:rsid w:val="00B118D1"/>
    <w:rsid w:val="00B146E2"/>
    <w:rsid w:val="00B30603"/>
    <w:rsid w:val="00B34423"/>
    <w:rsid w:val="00B37889"/>
    <w:rsid w:val="00B4505E"/>
    <w:rsid w:val="00B55F7A"/>
    <w:rsid w:val="00B56BDD"/>
    <w:rsid w:val="00B61A8C"/>
    <w:rsid w:val="00B66287"/>
    <w:rsid w:val="00B70B55"/>
    <w:rsid w:val="00B730F3"/>
    <w:rsid w:val="00B75C5F"/>
    <w:rsid w:val="00B8423E"/>
    <w:rsid w:val="00B849EE"/>
    <w:rsid w:val="00B84D02"/>
    <w:rsid w:val="00B85024"/>
    <w:rsid w:val="00B8586C"/>
    <w:rsid w:val="00B87D4D"/>
    <w:rsid w:val="00B9469C"/>
    <w:rsid w:val="00B97480"/>
    <w:rsid w:val="00BA1A6A"/>
    <w:rsid w:val="00BA2940"/>
    <w:rsid w:val="00BA3C8A"/>
    <w:rsid w:val="00BA482E"/>
    <w:rsid w:val="00BB2D2A"/>
    <w:rsid w:val="00BB3343"/>
    <w:rsid w:val="00BB5B46"/>
    <w:rsid w:val="00BC04ED"/>
    <w:rsid w:val="00BC1673"/>
    <w:rsid w:val="00BC7991"/>
    <w:rsid w:val="00BD7CBD"/>
    <w:rsid w:val="00BE03AF"/>
    <w:rsid w:val="00BE046B"/>
    <w:rsid w:val="00BE2040"/>
    <w:rsid w:val="00BF06FB"/>
    <w:rsid w:val="00C114F1"/>
    <w:rsid w:val="00C15027"/>
    <w:rsid w:val="00C16E53"/>
    <w:rsid w:val="00C176BB"/>
    <w:rsid w:val="00C25E16"/>
    <w:rsid w:val="00C32711"/>
    <w:rsid w:val="00C3633F"/>
    <w:rsid w:val="00C431B4"/>
    <w:rsid w:val="00C47046"/>
    <w:rsid w:val="00C525A1"/>
    <w:rsid w:val="00C574B8"/>
    <w:rsid w:val="00C5762D"/>
    <w:rsid w:val="00C6457B"/>
    <w:rsid w:val="00C64C6D"/>
    <w:rsid w:val="00C6521E"/>
    <w:rsid w:val="00C86C3A"/>
    <w:rsid w:val="00C86C59"/>
    <w:rsid w:val="00C911E8"/>
    <w:rsid w:val="00C91C5A"/>
    <w:rsid w:val="00CA23E8"/>
    <w:rsid w:val="00CA27E2"/>
    <w:rsid w:val="00CA42BD"/>
    <w:rsid w:val="00CA43E9"/>
    <w:rsid w:val="00CA7862"/>
    <w:rsid w:val="00CB2B10"/>
    <w:rsid w:val="00CB659B"/>
    <w:rsid w:val="00CC12F9"/>
    <w:rsid w:val="00CC38FE"/>
    <w:rsid w:val="00CC46BD"/>
    <w:rsid w:val="00CD00CC"/>
    <w:rsid w:val="00CD1DAE"/>
    <w:rsid w:val="00CD244B"/>
    <w:rsid w:val="00CD4811"/>
    <w:rsid w:val="00CD6D9A"/>
    <w:rsid w:val="00CE1ED5"/>
    <w:rsid w:val="00CE2206"/>
    <w:rsid w:val="00CE26CC"/>
    <w:rsid w:val="00CE2E25"/>
    <w:rsid w:val="00CE4658"/>
    <w:rsid w:val="00CF6F3A"/>
    <w:rsid w:val="00D003E3"/>
    <w:rsid w:val="00D00E92"/>
    <w:rsid w:val="00D055EC"/>
    <w:rsid w:val="00D13222"/>
    <w:rsid w:val="00D13DD7"/>
    <w:rsid w:val="00D209A7"/>
    <w:rsid w:val="00D22DE3"/>
    <w:rsid w:val="00D26433"/>
    <w:rsid w:val="00D273A7"/>
    <w:rsid w:val="00D324D0"/>
    <w:rsid w:val="00D32A3A"/>
    <w:rsid w:val="00D35326"/>
    <w:rsid w:val="00D40B39"/>
    <w:rsid w:val="00D44728"/>
    <w:rsid w:val="00D562FF"/>
    <w:rsid w:val="00D56344"/>
    <w:rsid w:val="00D62B86"/>
    <w:rsid w:val="00D646B4"/>
    <w:rsid w:val="00D64C74"/>
    <w:rsid w:val="00D70BE5"/>
    <w:rsid w:val="00D742DF"/>
    <w:rsid w:val="00D77E86"/>
    <w:rsid w:val="00D8119C"/>
    <w:rsid w:val="00D82B7A"/>
    <w:rsid w:val="00D8633C"/>
    <w:rsid w:val="00D9047B"/>
    <w:rsid w:val="00D90C11"/>
    <w:rsid w:val="00D94786"/>
    <w:rsid w:val="00DB2302"/>
    <w:rsid w:val="00DB51B4"/>
    <w:rsid w:val="00DC6C64"/>
    <w:rsid w:val="00DD2283"/>
    <w:rsid w:val="00DD4C17"/>
    <w:rsid w:val="00DE4642"/>
    <w:rsid w:val="00DE4FBC"/>
    <w:rsid w:val="00DF20F4"/>
    <w:rsid w:val="00DF56C9"/>
    <w:rsid w:val="00DF5A51"/>
    <w:rsid w:val="00DF5B0F"/>
    <w:rsid w:val="00DF70D2"/>
    <w:rsid w:val="00E0462C"/>
    <w:rsid w:val="00E0750A"/>
    <w:rsid w:val="00E10EBA"/>
    <w:rsid w:val="00E15F75"/>
    <w:rsid w:val="00E269B3"/>
    <w:rsid w:val="00E30318"/>
    <w:rsid w:val="00E31C1F"/>
    <w:rsid w:val="00E32708"/>
    <w:rsid w:val="00E56B03"/>
    <w:rsid w:val="00E56D99"/>
    <w:rsid w:val="00E67DF0"/>
    <w:rsid w:val="00E72983"/>
    <w:rsid w:val="00E73ACB"/>
    <w:rsid w:val="00E81910"/>
    <w:rsid w:val="00E81ABA"/>
    <w:rsid w:val="00E82B9C"/>
    <w:rsid w:val="00E91296"/>
    <w:rsid w:val="00E92FAD"/>
    <w:rsid w:val="00E945D4"/>
    <w:rsid w:val="00EA0269"/>
    <w:rsid w:val="00EA5418"/>
    <w:rsid w:val="00EB0606"/>
    <w:rsid w:val="00EB1AC8"/>
    <w:rsid w:val="00EB7539"/>
    <w:rsid w:val="00EB7A6F"/>
    <w:rsid w:val="00EC17E3"/>
    <w:rsid w:val="00EC1B63"/>
    <w:rsid w:val="00EC59CB"/>
    <w:rsid w:val="00ED4115"/>
    <w:rsid w:val="00ED41BE"/>
    <w:rsid w:val="00ED47D0"/>
    <w:rsid w:val="00EE2A46"/>
    <w:rsid w:val="00EE46FB"/>
    <w:rsid w:val="00EF3C27"/>
    <w:rsid w:val="00EF440D"/>
    <w:rsid w:val="00EF7E35"/>
    <w:rsid w:val="00F0429F"/>
    <w:rsid w:val="00F056D8"/>
    <w:rsid w:val="00F06DB1"/>
    <w:rsid w:val="00F17C0D"/>
    <w:rsid w:val="00F33ABB"/>
    <w:rsid w:val="00F37B74"/>
    <w:rsid w:val="00F4209E"/>
    <w:rsid w:val="00F42E04"/>
    <w:rsid w:val="00F4399C"/>
    <w:rsid w:val="00F44060"/>
    <w:rsid w:val="00F447A6"/>
    <w:rsid w:val="00F519FF"/>
    <w:rsid w:val="00F536D6"/>
    <w:rsid w:val="00F57338"/>
    <w:rsid w:val="00F60EAD"/>
    <w:rsid w:val="00F610CA"/>
    <w:rsid w:val="00F64810"/>
    <w:rsid w:val="00F73648"/>
    <w:rsid w:val="00F755D0"/>
    <w:rsid w:val="00F76840"/>
    <w:rsid w:val="00F80381"/>
    <w:rsid w:val="00F81D5E"/>
    <w:rsid w:val="00F83DB6"/>
    <w:rsid w:val="00F869C7"/>
    <w:rsid w:val="00F95DC0"/>
    <w:rsid w:val="00FA0030"/>
    <w:rsid w:val="00FA27E1"/>
    <w:rsid w:val="00FA49E5"/>
    <w:rsid w:val="00FB1010"/>
    <w:rsid w:val="00FB5131"/>
    <w:rsid w:val="00FB5DFC"/>
    <w:rsid w:val="00FC0E67"/>
    <w:rsid w:val="00FD3247"/>
    <w:rsid w:val="00FD5A63"/>
    <w:rsid w:val="00FE0BE3"/>
    <w:rsid w:val="00FE246E"/>
    <w:rsid w:val="00FE3892"/>
    <w:rsid w:val="00FE4623"/>
    <w:rsid w:val="00FE503D"/>
    <w:rsid w:val="00FE7F33"/>
    <w:rsid w:val="00FF2C22"/>
    <w:rsid w:val="00FF2E0C"/>
    <w:rsid w:val="00FF32E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A81A2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380050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9BCB7-C80C-4EBD-99C8-A0BD4854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22</Pages>
  <Words>3851</Words>
  <Characters>21181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368</cp:revision>
  <cp:lastPrinted>2017-01-09T19:02:00Z</cp:lastPrinted>
  <dcterms:created xsi:type="dcterms:W3CDTF">2014-08-29T13:13:00Z</dcterms:created>
  <dcterms:modified xsi:type="dcterms:W3CDTF">2017-01-09T19:04:00Z</dcterms:modified>
</cp:coreProperties>
</file>