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1D" w:rsidRDefault="0075101D" w:rsidP="0075101D"/>
    <w:p w:rsidR="0075101D" w:rsidRPr="00DE70D0" w:rsidRDefault="0075101D" w:rsidP="0075101D">
      <w:pPr>
        <w:jc w:val="center"/>
        <w:rPr>
          <w:rFonts w:ascii="Arial" w:hAnsi="Arial" w:cs="Arial"/>
        </w:rPr>
      </w:pPr>
      <w:r w:rsidRPr="00DE70D0">
        <w:rPr>
          <w:rFonts w:ascii="Arial" w:hAnsi="Arial" w:cs="Arial"/>
        </w:rPr>
        <w:t>Introducción</w:t>
      </w:r>
    </w:p>
    <w:p w:rsidR="0075101D" w:rsidRPr="00DE70D0" w:rsidRDefault="0075101D" w:rsidP="0075101D">
      <w:pPr>
        <w:jc w:val="center"/>
        <w:rPr>
          <w:rFonts w:ascii="Arial" w:hAnsi="Arial" w:cs="Arial"/>
        </w:rPr>
      </w:pPr>
    </w:p>
    <w:p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 y en acatamiento al  Plan Estatal de Desarrollo 2011-2016  en el   eje No. 3 denominado Acceso Universal a los Servicios de Salud y Seguridad So</w:t>
      </w:r>
      <w:r>
        <w:rPr>
          <w:rFonts w:ascii="Arial" w:hAnsi="Arial" w:cs="Arial"/>
          <w:lang w:val="es-ES"/>
        </w:rPr>
        <w:t>cial se establece</w:t>
      </w:r>
      <w:r w:rsidRPr="00DE70D0">
        <w:rPr>
          <w:rFonts w:ascii="Arial" w:hAnsi="Arial" w:cs="Arial"/>
          <w:lang w:val="es-ES"/>
        </w:rPr>
        <w:t>, que el Gobierno del Estado instrumentará un conjunto de políticas orientadas a lograr un avance consistente hacia el acceso universal de los servicios de salud y que estos lleguen a los que más los necesitan.</w:t>
      </w:r>
    </w:p>
    <w:p w:rsidR="0075101D" w:rsidRPr="00DE70D0" w:rsidRDefault="0075101D" w:rsidP="0075101D">
      <w:pPr>
        <w:jc w:val="both"/>
        <w:rPr>
          <w:rFonts w:ascii="Arial" w:hAnsi="Arial" w:cs="Arial"/>
        </w:rPr>
      </w:pPr>
      <w:r w:rsidRPr="00DE70D0">
        <w:rPr>
          <w:rFonts w:ascii="Arial" w:hAnsi="Arial" w:cs="Arial"/>
        </w:rPr>
        <w:t>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para 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trimestre</w:t>
      </w:r>
      <w:r w:rsidRPr="00DE70D0">
        <w:rPr>
          <w:rFonts w:ascii="Arial" w:hAnsi="Arial" w:cs="Arial"/>
        </w:rPr>
        <w:t xml:space="preserve"> </w:t>
      </w:r>
      <w:r>
        <w:rPr>
          <w:rFonts w:ascii="Arial" w:hAnsi="Arial" w:cs="Arial"/>
        </w:rPr>
        <w:t xml:space="preserve">de </w:t>
      </w:r>
      <w:r w:rsidR="0087248F">
        <w:rPr>
          <w:rFonts w:ascii="Arial" w:hAnsi="Arial" w:cs="Arial"/>
        </w:rPr>
        <w:t>enero -marzo de 2016</w:t>
      </w:r>
      <w:r w:rsidRPr="00DE70D0">
        <w:rPr>
          <w:rFonts w:ascii="Arial" w:hAnsi="Arial" w:cs="Arial"/>
        </w:rPr>
        <w:t>.</w:t>
      </w:r>
    </w:p>
    <w:p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rsidR="0075101D" w:rsidRPr="00DE70D0" w:rsidRDefault="0075101D" w:rsidP="0075101D">
      <w:pPr>
        <w:jc w:val="both"/>
        <w:rPr>
          <w:rFonts w:ascii="Arial" w:hAnsi="Arial" w:cs="Arial"/>
        </w:rPr>
      </w:pPr>
      <w:r w:rsidRPr="00DE70D0">
        <w:rPr>
          <w:rFonts w:ascii="Arial" w:hAnsi="Arial" w:cs="Arial"/>
        </w:rPr>
        <w:t>I Información Contable</w:t>
      </w:r>
    </w:p>
    <w:p w:rsidR="0075101D" w:rsidRPr="00DE70D0" w:rsidRDefault="0075101D" w:rsidP="0075101D">
      <w:pPr>
        <w:jc w:val="both"/>
        <w:rPr>
          <w:rFonts w:ascii="Arial" w:hAnsi="Arial" w:cs="Arial"/>
        </w:rPr>
      </w:pPr>
      <w:r w:rsidRPr="00DE70D0">
        <w:rPr>
          <w:rFonts w:ascii="Arial" w:hAnsi="Arial" w:cs="Arial"/>
        </w:rPr>
        <w:t>II Información Presupuestaria</w:t>
      </w:r>
    </w:p>
    <w:p w:rsidR="0075101D" w:rsidRPr="00DE70D0" w:rsidRDefault="0075101D" w:rsidP="0075101D">
      <w:pPr>
        <w:jc w:val="both"/>
        <w:rPr>
          <w:rFonts w:ascii="Arial" w:hAnsi="Arial" w:cs="Arial"/>
        </w:rPr>
      </w:pPr>
      <w:r w:rsidRPr="00DE70D0">
        <w:rPr>
          <w:rFonts w:ascii="Arial" w:hAnsi="Arial" w:cs="Arial"/>
        </w:rPr>
        <w:t>III Información Programática</w:t>
      </w:r>
    </w:p>
    <w:p w:rsidR="0075101D" w:rsidRDefault="0075101D" w:rsidP="0075101D">
      <w:pPr>
        <w:jc w:val="both"/>
        <w:rPr>
          <w:rFonts w:ascii="Arial" w:hAnsi="Arial" w:cs="Arial"/>
        </w:rPr>
      </w:pPr>
      <w:r w:rsidRPr="00DE70D0">
        <w:rPr>
          <w:rFonts w:ascii="Arial" w:hAnsi="Arial" w:cs="Arial"/>
        </w:rPr>
        <w:t>IV Anexos</w:t>
      </w:r>
    </w:p>
    <w:p w:rsidR="0075101D" w:rsidRDefault="0075101D" w:rsidP="0075101D">
      <w:pPr>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t>I Información Contable</w:t>
      </w:r>
    </w:p>
    <w:p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de Cambio de la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Activo</w:t>
      </w:r>
    </w:p>
    <w:p w:rsidR="0075101D" w:rsidRDefault="001A7FBE" w:rsidP="0075101D">
      <w:pPr>
        <w:pStyle w:val="Prrafodelista"/>
        <w:numPr>
          <w:ilvl w:val="0"/>
          <w:numId w:val="5"/>
        </w:numPr>
        <w:jc w:val="both"/>
        <w:rPr>
          <w:rFonts w:ascii="Arial" w:hAnsi="Arial" w:cs="Arial"/>
        </w:rPr>
      </w:pPr>
      <w:r>
        <w:rPr>
          <w:rFonts w:ascii="Arial" w:hAnsi="Arial" w:cs="Arial"/>
        </w:rPr>
        <w:t>Estado Analítico de</w:t>
      </w:r>
      <w:r w:rsidR="0075101D">
        <w:rPr>
          <w:rFonts w:ascii="Arial" w:hAnsi="Arial" w:cs="Arial"/>
        </w:rPr>
        <w:t xml:space="preserve"> Deuda y Otros Pasivos</w:t>
      </w:r>
    </w:p>
    <w:p w:rsidR="0075101D" w:rsidRDefault="0075101D" w:rsidP="0075101D">
      <w:pPr>
        <w:pStyle w:val="Prrafodelista"/>
        <w:numPr>
          <w:ilvl w:val="0"/>
          <w:numId w:val="5"/>
        </w:numPr>
        <w:jc w:val="both"/>
        <w:rPr>
          <w:rFonts w:ascii="Arial" w:hAnsi="Arial" w:cs="Arial"/>
        </w:rPr>
      </w:pPr>
      <w:r>
        <w:rPr>
          <w:rFonts w:ascii="Arial" w:hAnsi="Arial" w:cs="Arial"/>
        </w:rPr>
        <w:t>Estado de Variación en la Hacienda Pública</w:t>
      </w:r>
    </w:p>
    <w:p w:rsidR="0075101D" w:rsidRDefault="0075101D" w:rsidP="0075101D">
      <w:pPr>
        <w:pStyle w:val="Prrafodelista"/>
        <w:numPr>
          <w:ilvl w:val="0"/>
          <w:numId w:val="5"/>
        </w:numPr>
        <w:jc w:val="both"/>
        <w:rPr>
          <w:rFonts w:ascii="Arial" w:hAnsi="Arial" w:cs="Arial"/>
        </w:rPr>
      </w:pPr>
      <w:r>
        <w:rPr>
          <w:rFonts w:ascii="Arial" w:hAnsi="Arial" w:cs="Arial"/>
        </w:rPr>
        <w:t>Estado de Flujo de Efectivo</w:t>
      </w:r>
    </w:p>
    <w:p w:rsidR="0075101D" w:rsidRDefault="0075101D" w:rsidP="0075101D">
      <w:pPr>
        <w:pStyle w:val="Prrafodelista"/>
        <w:numPr>
          <w:ilvl w:val="0"/>
          <w:numId w:val="5"/>
        </w:numPr>
        <w:jc w:val="both"/>
        <w:rPr>
          <w:rFonts w:ascii="Arial" w:hAnsi="Arial" w:cs="Arial"/>
        </w:rPr>
      </w:pPr>
      <w:r>
        <w:rPr>
          <w:rFonts w:ascii="Arial" w:hAnsi="Arial" w:cs="Arial"/>
        </w:rPr>
        <w:t>Notas a los Estados Financieros</w:t>
      </w:r>
    </w:p>
    <w:p w:rsidR="0075101D" w:rsidRDefault="0075101D" w:rsidP="0075101D">
      <w:pPr>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t>II Información Presupuestaria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 por tipo de gasto) </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 finalidad y función )</w:t>
      </w:r>
    </w:p>
    <w:p w:rsidR="0075101D" w:rsidRDefault="0075101D" w:rsidP="0075101D">
      <w:pPr>
        <w:pStyle w:val="Prrafodelista"/>
        <w:numPr>
          <w:ilvl w:val="0"/>
          <w:numId w:val="5"/>
        </w:numPr>
        <w:jc w:val="both"/>
        <w:rPr>
          <w:rFonts w:ascii="Arial" w:hAnsi="Arial" w:cs="Arial"/>
        </w:rPr>
      </w:pPr>
      <w:r>
        <w:rPr>
          <w:rFonts w:ascii="Arial" w:hAnsi="Arial" w:cs="Arial"/>
        </w:rPr>
        <w:t>Endeudamiento Neto.- No aplica  al CRI-ESCUELA</w:t>
      </w:r>
    </w:p>
    <w:p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 No aplica al CRI-ESCUELA</w:t>
      </w:r>
    </w:p>
    <w:p w:rsidR="0075101D" w:rsidRDefault="0075101D" w:rsidP="0075101D">
      <w:pPr>
        <w:pStyle w:val="Prrafodelista"/>
        <w:numPr>
          <w:ilvl w:val="0"/>
          <w:numId w:val="5"/>
        </w:numPr>
        <w:jc w:val="both"/>
        <w:rPr>
          <w:rFonts w:ascii="Arial" w:hAnsi="Arial" w:cs="Arial"/>
        </w:rPr>
      </w:pPr>
      <w:r>
        <w:rPr>
          <w:rFonts w:ascii="Arial" w:hAnsi="Arial" w:cs="Arial"/>
        </w:rPr>
        <w:t>Indicadores de Postura Fiscal</w:t>
      </w:r>
    </w:p>
    <w:p w:rsidR="0075101D" w:rsidRDefault="0075101D" w:rsidP="0075101D">
      <w:pPr>
        <w:pStyle w:val="Prrafodelista"/>
        <w:jc w:val="both"/>
        <w:rPr>
          <w:rFonts w:ascii="Arial" w:hAnsi="Arial" w:cs="Arial"/>
        </w:rPr>
      </w:pPr>
    </w:p>
    <w:p w:rsidR="0075101D" w:rsidRDefault="0075101D" w:rsidP="0075101D">
      <w:pPr>
        <w:jc w:val="both"/>
        <w:rPr>
          <w:rFonts w:ascii="Arial" w:hAnsi="Arial" w:cs="Arial"/>
          <w:b/>
        </w:rPr>
      </w:pPr>
      <w:r w:rsidRPr="00D36DDF">
        <w:rPr>
          <w:rFonts w:ascii="Arial" w:hAnsi="Arial" w:cs="Arial"/>
          <w:b/>
        </w:rPr>
        <w:t>III Información Programática</w:t>
      </w:r>
    </w:p>
    <w:p w:rsidR="0075101D" w:rsidRPr="00D36DDF" w:rsidRDefault="0075101D" w:rsidP="0075101D">
      <w:pPr>
        <w:pStyle w:val="Prrafodelista"/>
        <w:numPr>
          <w:ilvl w:val="0"/>
          <w:numId w:val="5"/>
        </w:numPr>
        <w:jc w:val="both"/>
        <w:rPr>
          <w:rFonts w:ascii="Arial" w:hAnsi="Arial" w:cs="Arial"/>
          <w:b/>
        </w:rPr>
      </w:pPr>
      <w:r>
        <w:rPr>
          <w:rFonts w:ascii="Arial" w:hAnsi="Arial" w:cs="Arial"/>
        </w:rPr>
        <w:t>Gastos por Categoría Programática</w:t>
      </w:r>
    </w:p>
    <w:p w:rsidR="0075101D" w:rsidRPr="00D36DDF" w:rsidRDefault="0075101D" w:rsidP="0075101D">
      <w:pPr>
        <w:jc w:val="both"/>
        <w:rPr>
          <w:rFonts w:ascii="Arial" w:hAnsi="Arial" w:cs="Arial"/>
          <w:b/>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r>
        <w:rPr>
          <w:rFonts w:ascii="Arial" w:hAnsi="Arial" w:cs="Arial"/>
        </w:rPr>
        <w:t>IV Anexos</w:t>
      </w:r>
    </w:p>
    <w:p w:rsidR="0075101D" w:rsidRDefault="0075101D" w:rsidP="0075101D">
      <w:pPr>
        <w:pStyle w:val="Prrafodelista"/>
        <w:numPr>
          <w:ilvl w:val="0"/>
          <w:numId w:val="5"/>
        </w:numPr>
        <w:jc w:val="both"/>
        <w:rPr>
          <w:rFonts w:ascii="Arial" w:hAnsi="Arial" w:cs="Arial"/>
        </w:rPr>
      </w:pPr>
      <w:r>
        <w:rPr>
          <w:rFonts w:ascii="Arial" w:hAnsi="Arial" w:cs="Arial"/>
        </w:rPr>
        <w:t>Relación de Bienes Muebles que contienen el Patrimonio</w:t>
      </w:r>
    </w:p>
    <w:p w:rsidR="0075101D" w:rsidRDefault="0075101D" w:rsidP="0075101D">
      <w:pPr>
        <w:pStyle w:val="Prrafodelista"/>
        <w:numPr>
          <w:ilvl w:val="0"/>
          <w:numId w:val="5"/>
        </w:numPr>
        <w:jc w:val="both"/>
        <w:rPr>
          <w:rFonts w:ascii="Arial" w:hAnsi="Arial" w:cs="Arial"/>
        </w:rPr>
      </w:pPr>
      <w:r>
        <w:rPr>
          <w:rFonts w:ascii="Arial" w:hAnsi="Arial" w:cs="Arial"/>
        </w:rPr>
        <w:t>Relación de Cuestas Bancarias productivas especificas.- No aplica al CRI-ESCUELA</w:t>
      </w:r>
    </w:p>
    <w:p w:rsidR="0075101D" w:rsidRDefault="0075101D" w:rsidP="0075101D">
      <w:pPr>
        <w:pStyle w:val="Prrafodelista"/>
        <w:numPr>
          <w:ilvl w:val="0"/>
          <w:numId w:val="5"/>
        </w:numPr>
        <w:jc w:val="both"/>
        <w:rPr>
          <w:rFonts w:ascii="Arial" w:hAnsi="Arial" w:cs="Arial"/>
        </w:rPr>
      </w:pPr>
      <w:r>
        <w:rPr>
          <w:rFonts w:ascii="Arial" w:hAnsi="Arial" w:cs="Arial"/>
        </w:rPr>
        <w:t xml:space="preserve">Informe de Avance del Proyecto </w:t>
      </w:r>
    </w:p>
    <w:p w:rsidR="0075101D" w:rsidRDefault="0075101D" w:rsidP="0075101D">
      <w:pPr>
        <w:jc w:val="both"/>
        <w:rPr>
          <w:rFonts w:ascii="Arial" w:hAnsi="Arial" w:cs="Arial"/>
        </w:rPr>
      </w:pPr>
      <w:r>
        <w:rPr>
          <w:rFonts w:ascii="Arial" w:hAnsi="Arial" w:cs="Arial"/>
        </w:rPr>
        <w:t>En lo concerniente  a las notas de los Estados Financieros señaladas que se señalan en el punto Numero I, las características y tipos de notas que deberán acompañar a los Estados Financiero, son las que se describen a continuación:</w:t>
      </w:r>
    </w:p>
    <w:p w:rsidR="0075101D" w:rsidRDefault="0075101D" w:rsidP="0075101D">
      <w:pPr>
        <w:pStyle w:val="Prrafodelista"/>
        <w:numPr>
          <w:ilvl w:val="0"/>
          <w:numId w:val="5"/>
        </w:numPr>
        <w:jc w:val="both"/>
        <w:rPr>
          <w:rFonts w:ascii="Arial" w:hAnsi="Arial" w:cs="Arial"/>
        </w:rPr>
      </w:pPr>
      <w:r>
        <w:rPr>
          <w:rFonts w:ascii="Arial" w:hAnsi="Arial" w:cs="Arial"/>
        </w:rPr>
        <w:t>Notas de Desglose</w:t>
      </w:r>
    </w:p>
    <w:p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 xml:space="preserve">al formato, estructura y requerimientos técnicos establecidos por el CONAC, donde se muestra la situación financiera y el resultado de la gestión financiera y presupuestaria del  trimestre </w:t>
      </w:r>
      <w:r w:rsidR="001A7FBE">
        <w:rPr>
          <w:rFonts w:ascii="Arial" w:hAnsi="Arial" w:cs="Arial"/>
        </w:rPr>
        <w:t>enero - marzo</w:t>
      </w:r>
      <w:r>
        <w:rPr>
          <w:rFonts w:ascii="Arial" w:hAnsi="Arial" w:cs="Arial"/>
        </w:rPr>
        <w:t xml:space="preserve"> de 201</w:t>
      </w:r>
      <w:r w:rsidR="001A7FBE">
        <w:rPr>
          <w:rFonts w:ascii="Arial" w:hAnsi="Arial" w:cs="Arial"/>
        </w:rPr>
        <w:t>6</w:t>
      </w:r>
      <w:bookmarkStart w:id="0" w:name="_GoBack"/>
      <w:bookmarkEnd w:id="0"/>
      <w:r>
        <w:rPr>
          <w:rFonts w:ascii="Arial" w:hAnsi="Arial" w:cs="Arial"/>
        </w:rPr>
        <w:t>, del Centro de Rehabilitación Integral y Escuela en Terapia Física y Rehabilitación “CRI-ESCUELA”.</w:t>
      </w: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rPr>
          <w:rFonts w:ascii="Soberana Sans Light" w:hAnsi="Soberana Sans Light"/>
        </w:rPr>
      </w:pPr>
    </w:p>
    <w:p w:rsidR="0075101D" w:rsidRDefault="0075101D" w:rsidP="0075101D"/>
    <w:p w:rsidR="00056042" w:rsidRPr="00CA2D37" w:rsidRDefault="00056042" w:rsidP="0086226D">
      <w:pPr>
        <w:jc w:val="center"/>
        <w:rPr>
          <w:rFonts w:ascii="Soberana Sans Light" w:hAnsi="Soberana Sans Light"/>
        </w:rPr>
      </w:pPr>
    </w:p>
    <w:sectPr w:rsidR="00056042" w:rsidRPr="00CA2D37"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20C" w:rsidRDefault="00A5020C" w:rsidP="00EA5418">
      <w:pPr>
        <w:spacing w:after="0" w:line="240" w:lineRule="auto"/>
      </w:pPr>
      <w:r>
        <w:separator/>
      </w:r>
    </w:p>
  </w:endnote>
  <w:endnote w:type="continuationSeparator" w:id="0">
    <w:p w:rsidR="00A5020C" w:rsidRDefault="00A5020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A5020C"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1A7FBE" w:rsidRPr="001A7FBE">
          <w:rPr>
            <w:rFonts w:ascii="Soberana Sans Light" w:hAnsi="Soberana Sans Light"/>
            <w:noProof/>
            <w:lang w:val="es-ES"/>
          </w:rPr>
          <w:t>2</w:t>
        </w:r>
        <w:r w:rsidR="00DC723C" w:rsidRPr="0013011C">
          <w:rPr>
            <w:rFonts w:ascii="Soberana Sans Light" w:hAnsi="Soberana Sans Light"/>
          </w:rPr>
          <w:fldChar w:fldCharType="end"/>
        </w:r>
      </w:sdtContent>
    </w:sdt>
  </w:p>
  <w:p w:rsidR="00952083" w:rsidRDefault="009520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DE70D0" w:rsidRDefault="00A5020C" w:rsidP="008E3652">
    <w:pPr>
      <w:pStyle w:val="Piedepgina"/>
      <w:jc w:val="center"/>
      <w:rPr>
        <w:rFonts w:ascii="Arial" w:hAnsi="Arial" w:cs="Arial"/>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Arial" w:hAnsi="Arial" w:cs="Arial"/>
        </w:rPr>
        <w:id w:val="1247304906"/>
        <w:docPartObj>
          <w:docPartGallery w:val="Page Numbers (Bottom of Page)"/>
          <w:docPartUnique/>
        </w:docPartObj>
      </w:sdtPr>
      <w:sdtEnd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1A7FBE" w:rsidRPr="001A7FBE">
          <w:rPr>
            <w:rFonts w:ascii="Arial" w:hAnsi="Arial" w:cs="Arial"/>
            <w:noProof/>
            <w:lang w:val="es-ES"/>
          </w:rPr>
          <w:t>3</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20C" w:rsidRDefault="00A5020C" w:rsidP="00EA5418">
      <w:pPr>
        <w:spacing w:after="0" w:line="240" w:lineRule="auto"/>
      </w:pPr>
      <w:r>
        <w:separator/>
      </w:r>
    </w:p>
  </w:footnote>
  <w:footnote w:type="continuationSeparator" w:id="0">
    <w:p w:rsidR="00A5020C" w:rsidRDefault="00A5020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Default="00A5020C">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71CD4">
                      <w:rPr>
                        <w:rFonts w:ascii="Soberana Titular" w:hAnsi="Soberana Titular" w:cs="Arial"/>
                        <w:color w:val="808080" w:themeColor="background1" w:themeShade="80"/>
                        <w:sz w:val="42"/>
                        <w:szCs w:val="42"/>
                      </w:rPr>
                      <w:t>6</w:t>
                    </w:r>
                  </w:p>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A5020C"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125DF"/>
    <w:rsid w:val="00040466"/>
    <w:rsid w:val="00056042"/>
    <w:rsid w:val="0013011C"/>
    <w:rsid w:val="001646D9"/>
    <w:rsid w:val="00165875"/>
    <w:rsid w:val="00186593"/>
    <w:rsid w:val="001A7FBE"/>
    <w:rsid w:val="001B1B72"/>
    <w:rsid w:val="001C3B1F"/>
    <w:rsid w:val="002865A7"/>
    <w:rsid w:val="002A70B3"/>
    <w:rsid w:val="002E5897"/>
    <w:rsid w:val="00307635"/>
    <w:rsid w:val="00355821"/>
    <w:rsid w:val="003575A4"/>
    <w:rsid w:val="003610E0"/>
    <w:rsid w:val="0036226F"/>
    <w:rsid w:val="00367AAF"/>
    <w:rsid w:val="00372F40"/>
    <w:rsid w:val="003B4E9D"/>
    <w:rsid w:val="003D5DBF"/>
    <w:rsid w:val="003E7FD0"/>
    <w:rsid w:val="0044253C"/>
    <w:rsid w:val="00486AE1"/>
    <w:rsid w:val="004920AD"/>
    <w:rsid w:val="00497D8B"/>
    <w:rsid w:val="004D41B8"/>
    <w:rsid w:val="004F2EFE"/>
    <w:rsid w:val="00502D8E"/>
    <w:rsid w:val="005117F4"/>
    <w:rsid w:val="00522632"/>
    <w:rsid w:val="00531310"/>
    <w:rsid w:val="00534982"/>
    <w:rsid w:val="00540418"/>
    <w:rsid w:val="00582405"/>
    <w:rsid w:val="005859FA"/>
    <w:rsid w:val="005B41F1"/>
    <w:rsid w:val="006048D2"/>
    <w:rsid w:val="00611E39"/>
    <w:rsid w:val="00643B18"/>
    <w:rsid w:val="00690F82"/>
    <w:rsid w:val="006B729B"/>
    <w:rsid w:val="006E3CB2"/>
    <w:rsid w:val="006E6B8E"/>
    <w:rsid w:val="006E77DD"/>
    <w:rsid w:val="007107B6"/>
    <w:rsid w:val="0075101D"/>
    <w:rsid w:val="0079582C"/>
    <w:rsid w:val="007B1ED1"/>
    <w:rsid w:val="007D6E9A"/>
    <w:rsid w:val="0082373B"/>
    <w:rsid w:val="00850E90"/>
    <w:rsid w:val="0086226D"/>
    <w:rsid w:val="00866CA6"/>
    <w:rsid w:val="0087248F"/>
    <w:rsid w:val="008A6E4D"/>
    <w:rsid w:val="008B0017"/>
    <w:rsid w:val="008D4272"/>
    <w:rsid w:val="008E3652"/>
    <w:rsid w:val="0092596D"/>
    <w:rsid w:val="00942025"/>
    <w:rsid w:val="009518E0"/>
    <w:rsid w:val="00952083"/>
    <w:rsid w:val="00960D3E"/>
    <w:rsid w:val="00982949"/>
    <w:rsid w:val="00A14B74"/>
    <w:rsid w:val="00A5020C"/>
    <w:rsid w:val="00AB13B7"/>
    <w:rsid w:val="00AB755D"/>
    <w:rsid w:val="00AF5BF1"/>
    <w:rsid w:val="00B17423"/>
    <w:rsid w:val="00B42A02"/>
    <w:rsid w:val="00B71CD4"/>
    <w:rsid w:val="00B849EE"/>
    <w:rsid w:val="00C30789"/>
    <w:rsid w:val="00C44F01"/>
    <w:rsid w:val="00CA2D37"/>
    <w:rsid w:val="00CC5CB6"/>
    <w:rsid w:val="00D055EC"/>
    <w:rsid w:val="00D13C1B"/>
    <w:rsid w:val="00D328F6"/>
    <w:rsid w:val="00D36DDF"/>
    <w:rsid w:val="00D404ED"/>
    <w:rsid w:val="00D51261"/>
    <w:rsid w:val="00D748D3"/>
    <w:rsid w:val="00DA5DB3"/>
    <w:rsid w:val="00DC723C"/>
    <w:rsid w:val="00DD230F"/>
    <w:rsid w:val="00DE70D0"/>
    <w:rsid w:val="00E32708"/>
    <w:rsid w:val="00EA5418"/>
    <w:rsid w:val="00EB4C20"/>
    <w:rsid w:val="00F51B46"/>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4637C-4A8E-4ABB-933F-3E376A88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638</Words>
  <Characters>3512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11</cp:revision>
  <cp:lastPrinted>2015-07-02T16:31:00Z</cp:lastPrinted>
  <dcterms:created xsi:type="dcterms:W3CDTF">2015-07-02T15:47:00Z</dcterms:created>
  <dcterms:modified xsi:type="dcterms:W3CDTF">2016-04-05T16:54:00Z</dcterms:modified>
</cp:coreProperties>
</file>