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D6" w:rsidRDefault="00424CD6" w:rsidP="003D5DBF">
      <w:pPr>
        <w:jc w:val="center"/>
      </w:pPr>
      <w:bookmarkStart w:id="0" w:name="_MON_1480815641"/>
      <w:bookmarkStart w:id="1" w:name="_MON_1480815655"/>
      <w:bookmarkStart w:id="2" w:name="_MON_1480815668"/>
      <w:bookmarkStart w:id="3" w:name="_MON_1480815679"/>
      <w:bookmarkStart w:id="4" w:name="_MON_1480815697"/>
      <w:bookmarkStart w:id="5" w:name="_MON_1480815716"/>
      <w:bookmarkStart w:id="6" w:name="_MON_1480815734"/>
      <w:bookmarkStart w:id="7" w:name="_MON_1480816752"/>
      <w:bookmarkStart w:id="8" w:name="_MON_1470806605"/>
      <w:bookmarkStart w:id="9" w:name="_MON_1480792949"/>
      <w:bookmarkStart w:id="10" w:name="_MON_1480815512"/>
      <w:bookmarkEnd w:id="0"/>
      <w:bookmarkEnd w:id="1"/>
      <w:bookmarkEnd w:id="2"/>
      <w:bookmarkEnd w:id="3"/>
      <w:bookmarkEnd w:id="4"/>
      <w:bookmarkEnd w:id="5"/>
      <w:bookmarkEnd w:id="6"/>
      <w:bookmarkEnd w:id="7"/>
      <w:bookmarkEnd w:id="8"/>
      <w:bookmarkEnd w:id="9"/>
      <w:bookmarkEnd w:id="10"/>
    </w:p>
    <w:bookmarkStart w:id="11" w:name="_MON_1480815624"/>
    <w:bookmarkEnd w:id="11"/>
    <w:p w:rsidR="007D6E9A" w:rsidRDefault="006041CA"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6.95pt" o:ole="">
            <v:imagedata r:id="rId8" o:title=""/>
          </v:shape>
          <o:OLEObject Type="Embed" ProgID="Excel.Sheet.12" ShapeID="_x0000_i1025" DrawAspect="Content" ObjectID="_1521349617" r:id="rId9"/>
        </w:object>
      </w:r>
    </w:p>
    <w:p w:rsidR="00EA5418" w:rsidRDefault="00EA5418" w:rsidP="00372F40">
      <w:pPr>
        <w:jc w:val="center"/>
      </w:pPr>
    </w:p>
    <w:bookmarkStart w:id="12" w:name="_MON_1480815998"/>
    <w:bookmarkStart w:id="13" w:name="_MON_1480816017"/>
    <w:bookmarkStart w:id="14" w:name="_MON_1470805999"/>
    <w:bookmarkStart w:id="15" w:name="_MON_1480815899"/>
    <w:bookmarkStart w:id="16" w:name="_MON_1480815910"/>
    <w:bookmarkStart w:id="17" w:name="_MON_1480815939"/>
    <w:bookmarkStart w:id="18" w:name="_MON_1480815949"/>
    <w:bookmarkStart w:id="19" w:name="_MON_1480815959"/>
    <w:bookmarkStart w:id="20" w:name="_MON_1480815974"/>
    <w:bookmarkEnd w:id="12"/>
    <w:bookmarkEnd w:id="13"/>
    <w:bookmarkEnd w:id="14"/>
    <w:bookmarkEnd w:id="15"/>
    <w:bookmarkEnd w:id="16"/>
    <w:bookmarkEnd w:id="17"/>
    <w:bookmarkEnd w:id="18"/>
    <w:bookmarkEnd w:id="19"/>
    <w:bookmarkEnd w:id="20"/>
    <w:bookmarkStart w:id="21" w:name="_MON_1480815987"/>
    <w:bookmarkEnd w:id="21"/>
    <w:p w:rsidR="00EA5418" w:rsidRDefault="00B649DC" w:rsidP="0044253C">
      <w:pPr>
        <w:jc w:val="center"/>
      </w:pPr>
      <w:r>
        <w:object w:dxaOrig="25156" w:dyaOrig="18907">
          <v:shape id="_x0000_i1026" type="#_x0000_t75" style="width:585.15pt;height:438.45pt" o:ole="">
            <v:imagedata r:id="rId10" o:title=""/>
          </v:shape>
          <o:OLEObject Type="Embed" ProgID="Excel.Sheet.12" ShapeID="_x0000_i1026" DrawAspect="Content" ObjectID="_1521349618" r:id="rId11"/>
        </w:object>
      </w:r>
      <w:r w:rsidR="000354F7">
        <w:t xml:space="preserve">   </w:t>
      </w:r>
    </w:p>
    <w:bookmarkStart w:id="22" w:name="_MON_1480816784"/>
    <w:bookmarkStart w:id="23" w:name="_MON_1480816812"/>
    <w:bookmarkStart w:id="24" w:name="_MON_1480817066"/>
    <w:bookmarkStart w:id="25" w:name="_MON_1480817102"/>
    <w:bookmarkStart w:id="26" w:name="_MON_1470806992"/>
    <w:bookmarkStart w:id="27" w:name="_MON_1480816508"/>
    <w:bookmarkStart w:id="28" w:name="_MON_1480816554"/>
    <w:bookmarkStart w:id="29" w:name="_MON_1480816571"/>
    <w:bookmarkStart w:id="30" w:name="_MON_1480816579"/>
    <w:bookmarkStart w:id="31" w:name="_MON_1480816596"/>
    <w:bookmarkEnd w:id="22"/>
    <w:bookmarkEnd w:id="23"/>
    <w:bookmarkEnd w:id="24"/>
    <w:bookmarkEnd w:id="25"/>
    <w:bookmarkEnd w:id="26"/>
    <w:bookmarkEnd w:id="27"/>
    <w:bookmarkEnd w:id="28"/>
    <w:bookmarkEnd w:id="29"/>
    <w:bookmarkEnd w:id="30"/>
    <w:bookmarkEnd w:id="31"/>
    <w:bookmarkStart w:id="32" w:name="_MON_1480816696"/>
    <w:bookmarkEnd w:id="32"/>
    <w:p w:rsidR="00372F40" w:rsidRDefault="00B649DC" w:rsidP="003E7FD0">
      <w:pPr>
        <w:jc w:val="center"/>
      </w:pPr>
      <w:r>
        <w:object w:dxaOrig="21997" w:dyaOrig="15462">
          <v:shape id="_x0000_i1027" type="#_x0000_t75" style="width:649.05pt;height:455.1pt" o:ole="">
            <v:imagedata r:id="rId12" o:title=""/>
          </v:shape>
          <o:OLEObject Type="Embed" ProgID="Excel.Sheet.12" ShapeID="_x0000_i1027" DrawAspect="Content" ObjectID="_1521349619" r:id="rId13"/>
        </w:object>
      </w:r>
    </w:p>
    <w:bookmarkStart w:id="33" w:name="_MON_1480817115"/>
    <w:bookmarkStart w:id="34" w:name="_MON_1480817145"/>
    <w:bookmarkStart w:id="35" w:name="_MON_1480817163"/>
    <w:bookmarkStart w:id="36" w:name="_MON_1480817173"/>
    <w:bookmarkStart w:id="37" w:name="_MON_1480817185"/>
    <w:bookmarkStart w:id="38" w:name="_MON_1480817215"/>
    <w:bookmarkStart w:id="39" w:name="_MON_1470807348"/>
    <w:bookmarkEnd w:id="33"/>
    <w:bookmarkEnd w:id="34"/>
    <w:bookmarkEnd w:id="35"/>
    <w:bookmarkEnd w:id="36"/>
    <w:bookmarkEnd w:id="37"/>
    <w:bookmarkEnd w:id="38"/>
    <w:bookmarkEnd w:id="39"/>
    <w:bookmarkStart w:id="40" w:name="_MON_1480817087"/>
    <w:bookmarkEnd w:id="40"/>
    <w:p w:rsidR="00372F40" w:rsidRDefault="00437E4A" w:rsidP="008E3652">
      <w:pPr>
        <w:jc w:val="center"/>
      </w:pPr>
      <w:r>
        <w:object w:dxaOrig="17714" w:dyaOrig="12388">
          <v:shape id="_x0000_i1028" type="#_x0000_t75" style="width:644.8pt;height:451.35pt" o:ole="">
            <v:imagedata r:id="rId14" o:title=""/>
          </v:shape>
          <o:OLEObject Type="Embed" ProgID="Excel.Sheet.12" ShapeID="_x0000_i1028" DrawAspect="Content" ObjectID="_1521349620" r:id="rId15"/>
        </w:object>
      </w:r>
    </w:p>
    <w:bookmarkStart w:id="41" w:name="_MON_1480817456"/>
    <w:bookmarkStart w:id="42" w:name="_MON_1480817518"/>
    <w:bookmarkStart w:id="43" w:name="_MON_1470809138"/>
    <w:bookmarkEnd w:id="41"/>
    <w:bookmarkEnd w:id="42"/>
    <w:bookmarkEnd w:id="43"/>
    <w:bookmarkStart w:id="44" w:name="_MON_1480817407"/>
    <w:bookmarkEnd w:id="44"/>
    <w:p w:rsidR="00372F40" w:rsidRDefault="00AA1BE7" w:rsidP="00522632">
      <w:pPr>
        <w:jc w:val="center"/>
      </w:pPr>
      <w:r>
        <w:object w:dxaOrig="17807" w:dyaOrig="12235">
          <v:shape id="_x0000_i1029" type="#_x0000_t75" style="width:631.9pt;height:6in" o:ole="">
            <v:imagedata r:id="rId16" o:title=""/>
          </v:shape>
          <o:OLEObject Type="Embed" ProgID="Excel.Sheet.12" ShapeID="_x0000_i1029" DrawAspect="Content" ObjectID="_1521349621" r:id="rId17"/>
        </w:object>
      </w:r>
    </w:p>
    <w:p w:rsidR="00372F40" w:rsidRDefault="00372F40" w:rsidP="002A70B3">
      <w:pPr>
        <w:tabs>
          <w:tab w:val="left" w:pos="2430"/>
        </w:tabs>
      </w:pPr>
    </w:p>
    <w:bookmarkStart w:id="45" w:name="_MON_1470814596"/>
    <w:bookmarkStart w:id="46" w:name="_MON_1480817616"/>
    <w:bookmarkStart w:id="47" w:name="_MON_1480817663"/>
    <w:bookmarkStart w:id="48" w:name="_MON_1480817670"/>
    <w:bookmarkStart w:id="49" w:name="_MON_1480817700"/>
    <w:bookmarkEnd w:id="45"/>
    <w:bookmarkEnd w:id="46"/>
    <w:bookmarkEnd w:id="47"/>
    <w:bookmarkEnd w:id="48"/>
    <w:bookmarkEnd w:id="49"/>
    <w:bookmarkStart w:id="50" w:name="_MON_1480818028"/>
    <w:bookmarkEnd w:id="50"/>
    <w:p w:rsidR="00E32708" w:rsidRDefault="00AA1BE7" w:rsidP="00E32708">
      <w:pPr>
        <w:tabs>
          <w:tab w:val="left" w:pos="2430"/>
        </w:tabs>
        <w:jc w:val="center"/>
      </w:pPr>
      <w:r>
        <w:object w:dxaOrig="18231" w:dyaOrig="11482">
          <v:shape id="_x0000_i1030" type="#_x0000_t75" style="width:635.1pt;height:399.75pt" o:ole="">
            <v:imagedata r:id="rId18" o:title=""/>
          </v:shape>
          <o:OLEObject Type="Embed" ProgID="Excel.Sheet.12" ShapeID="_x0000_i1030" DrawAspect="Content" ObjectID="_1521349622" r:id="rId19"/>
        </w:object>
      </w:r>
    </w:p>
    <w:bookmarkStart w:id="51" w:name="_MON_1480818133"/>
    <w:bookmarkStart w:id="52" w:name="_MON_1480818664"/>
    <w:bookmarkStart w:id="53" w:name="_MON_1470810366"/>
    <w:bookmarkEnd w:id="51"/>
    <w:bookmarkEnd w:id="52"/>
    <w:bookmarkEnd w:id="53"/>
    <w:bookmarkStart w:id="54" w:name="_MON_1480818075"/>
    <w:bookmarkEnd w:id="54"/>
    <w:p w:rsidR="00E32708" w:rsidRDefault="00017E12" w:rsidP="00E32708">
      <w:pPr>
        <w:tabs>
          <w:tab w:val="left" w:pos="2430"/>
        </w:tabs>
        <w:jc w:val="center"/>
      </w:pPr>
      <w:r>
        <w:object w:dxaOrig="25925" w:dyaOrig="16749">
          <v:shape id="_x0000_i1031" type="#_x0000_t75" style="width:691pt;height:447.05pt" o:ole="">
            <v:imagedata r:id="rId20" o:title=""/>
          </v:shape>
          <o:OLEObject Type="Embed" ProgID="Excel.Sheet.12" ShapeID="_x0000_i1031" DrawAspect="Content" ObjectID="_1521349623"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$1’108</w:t>
      </w:r>
      <w:r>
        <w:rPr>
          <w:rFonts w:ascii="Arial" w:hAnsi="Arial" w:cs="Arial"/>
          <w:sz w:val="18"/>
          <w:szCs w:val="18"/>
        </w:rPr>
        <w:t>,</w:t>
      </w:r>
      <w:r w:rsidR="00EE3098">
        <w:rPr>
          <w:rFonts w:ascii="Arial" w:hAnsi="Arial" w:cs="Arial"/>
          <w:sz w:val="18"/>
          <w:szCs w:val="18"/>
        </w:rPr>
        <w:t>575</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bookmarkStart w:id="55" w:name="_GoBack"/>
      <w:bookmarkEnd w:id="55"/>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Pr>
          <w:rFonts w:ascii="Arial" w:hAnsi="Arial" w:cs="Arial"/>
          <w:sz w:val="18"/>
          <w:szCs w:val="18"/>
        </w:rPr>
        <w:t xml:space="preserve">  </w:t>
      </w:r>
      <w:r w:rsidR="00E3182C" w:rsidRPr="00E3182C">
        <w:rPr>
          <w:rFonts w:ascii="Arial" w:hAnsi="Arial" w:cs="Arial"/>
          <w:sz w:val="18"/>
          <w:szCs w:val="18"/>
        </w:rPr>
        <w:t xml:space="preserve">Lic. </w:t>
      </w:r>
      <w:r w:rsidR="00EE3098">
        <w:rPr>
          <w:rFonts w:ascii="Arial" w:hAnsi="Arial" w:cs="Arial"/>
          <w:sz w:val="18"/>
          <w:szCs w:val="18"/>
        </w:rPr>
        <w:t xml:space="preserve">Claudia Pérez </w:t>
      </w:r>
      <w:proofErr w:type="spellStart"/>
      <w:r w:rsidR="00EE3098">
        <w:rPr>
          <w:rFonts w:ascii="Arial" w:hAnsi="Arial" w:cs="Arial"/>
          <w:sz w:val="18"/>
          <w:szCs w:val="18"/>
        </w:rPr>
        <w:t>Minor</w:t>
      </w:r>
      <w:proofErr w:type="spellEnd"/>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Encargada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8A0CC8">
        <w:rPr>
          <w:lang w:val="es-MX"/>
        </w:rPr>
        <w:t xml:space="preserve"> </w:t>
      </w:r>
      <w:r w:rsidR="00EE3098">
        <w:rPr>
          <w:lang w:val="es-MX"/>
        </w:rPr>
        <w:t>1’130,668</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EE3098">
        <w:rPr>
          <w:lang w:val="es-MX"/>
        </w:rPr>
        <w:t>371</w:t>
      </w:r>
      <w:r w:rsidR="00277C1A" w:rsidRPr="00F710F2">
        <w:rPr>
          <w:lang w:val="es-MX"/>
        </w:rPr>
        <w:t>,</w:t>
      </w:r>
      <w:r w:rsidR="00EE3098">
        <w:rPr>
          <w:lang w:val="es-MX"/>
        </w:rPr>
        <w:t>320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EE3098">
        <w:rPr>
          <w:lang w:val="es-MX"/>
        </w:rPr>
        <w:t>376</w:t>
      </w:r>
      <w:r w:rsidR="008B6B51">
        <w:rPr>
          <w:lang w:val="es-MX"/>
        </w:rPr>
        <w:t>,</w:t>
      </w:r>
      <w:r w:rsidR="00EE3098">
        <w:rPr>
          <w:lang w:val="es-MX"/>
        </w:rPr>
        <w:t>810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w:t>
      </w:r>
      <w:r w:rsidR="00EE3098">
        <w:rPr>
          <w:lang w:val="es-MX"/>
        </w:rPr>
        <w:t>7</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w:t>
      </w:r>
      <w:r w:rsidR="0009123A">
        <w:rPr>
          <w:lang w:val="es-MX"/>
        </w:rPr>
        <w:t>4</w:t>
      </w:r>
      <w:r w:rsidR="008A0CC8">
        <w:rPr>
          <w:lang w:val="es-MX"/>
        </w:rPr>
        <w:t>2</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EE3098">
        <w:rPr>
          <w:lang w:val="es-MX"/>
        </w:rPr>
        <w:t>417</w:t>
      </w:r>
      <w:r w:rsidRPr="00F710F2">
        <w:rPr>
          <w:lang w:val="es-MX"/>
        </w:rPr>
        <w:t>,</w:t>
      </w:r>
      <w:r w:rsidR="00EE3098">
        <w:rPr>
          <w:lang w:val="es-MX"/>
        </w:rPr>
        <w:t>671</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1’539</w:t>
      </w:r>
      <w:r w:rsidR="00277C1A" w:rsidRPr="00F710F2">
        <w:rPr>
          <w:lang w:val="es-MX"/>
        </w:rPr>
        <w:t>,</w:t>
      </w:r>
      <w:r w:rsidR="005B7571">
        <w:rPr>
          <w:lang w:val="es-MX"/>
        </w:rPr>
        <w:t>2</w:t>
      </w:r>
      <w:r w:rsidR="00EE3098">
        <w:rPr>
          <w:lang w:val="es-MX"/>
        </w:rPr>
        <w:t>55</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EE3098">
        <w:rPr>
          <w:lang w:val="es-MX"/>
        </w:rPr>
        <w:t>12</w:t>
      </w:r>
      <w:r w:rsidRPr="00F710F2">
        <w:rPr>
          <w:lang w:val="es-MX"/>
        </w:rPr>
        <w:t>,</w:t>
      </w:r>
      <w:r w:rsidR="00EE3098">
        <w:rPr>
          <w:lang w:val="es-MX"/>
        </w:rPr>
        <w:t>581</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1’</w:t>
      </w:r>
      <w:r w:rsidR="00EE3098">
        <w:rPr>
          <w:lang w:val="es-MX"/>
        </w:rPr>
        <w:t>284</w:t>
      </w:r>
      <w:r w:rsidR="008B6B51">
        <w:rPr>
          <w:lang w:val="es-MX"/>
        </w:rPr>
        <w:t>,</w:t>
      </w:r>
      <w:r w:rsidR="00EE3098">
        <w:rPr>
          <w:lang w:val="es-MX"/>
        </w:rPr>
        <w:t>416</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8A0CC8">
        <w:rPr>
          <w:lang w:val="es-MX"/>
        </w:rPr>
        <w:t>1,</w:t>
      </w:r>
      <w:r w:rsidR="00EE3098">
        <w:rPr>
          <w:lang w:val="es-MX"/>
        </w:rPr>
        <w:t>307</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9E65F7">
        <w:rPr>
          <w:lang w:val="es-MX"/>
        </w:rPr>
        <w:t xml:space="preserve"> 1</w:t>
      </w:r>
      <w:r w:rsidR="00EE3098">
        <w:rPr>
          <w:lang w:val="es-MX"/>
        </w:rPr>
        <w:t>70</w:t>
      </w:r>
      <w:r w:rsidRPr="00F710F2">
        <w:rPr>
          <w:lang w:val="es-MX"/>
        </w:rPr>
        <w:t>,</w:t>
      </w:r>
      <w:r w:rsidR="00EE3098">
        <w:rPr>
          <w:lang w:val="es-MX"/>
        </w:rPr>
        <w:t>2</w:t>
      </w:r>
      <w:r w:rsidR="009E65F7">
        <w:rPr>
          <w:lang w:val="es-MX"/>
        </w:rPr>
        <w:t>01</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277C1A" w:rsidRPr="00F710F2">
        <w:rPr>
          <w:lang w:val="es-MX"/>
        </w:rPr>
        <w:tab/>
      </w:r>
      <w:r w:rsidR="008A0CC8">
        <w:rPr>
          <w:lang w:val="es-MX"/>
        </w:rPr>
        <w:t>8</w:t>
      </w:r>
      <w:r w:rsidR="00EE3098">
        <w:rPr>
          <w:lang w:val="es-MX"/>
        </w:rPr>
        <w:t>12</w:t>
      </w:r>
      <w:r w:rsidR="00277C1A" w:rsidRPr="00F710F2">
        <w:rPr>
          <w:lang w:val="es-MX"/>
        </w:rPr>
        <w:t>,</w:t>
      </w:r>
      <w:r w:rsidR="00EE3098">
        <w:rPr>
          <w:lang w:val="es-MX"/>
        </w:rPr>
        <w:t>392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t xml:space="preserve">         </w:t>
      </w:r>
      <w:r w:rsidR="009E65F7">
        <w:rPr>
          <w:lang w:val="es-MX"/>
        </w:rPr>
        <w:t>15</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9E65F7">
        <w:rPr>
          <w:lang w:val="es-MX"/>
        </w:rPr>
        <w:t>2</w:t>
      </w:r>
      <w:r w:rsidR="005E43D7">
        <w:rPr>
          <w:lang w:val="es-MX"/>
        </w:rPr>
        <w:t>’</w:t>
      </w:r>
      <w:r w:rsidR="0082063A">
        <w:rPr>
          <w:lang w:val="es-MX"/>
        </w:rPr>
        <w:t>7</w:t>
      </w:r>
      <w:r w:rsidR="00FA71EF">
        <w:rPr>
          <w:lang w:val="es-MX"/>
        </w:rPr>
        <w:t>94</w:t>
      </w:r>
      <w:r w:rsidR="00FA1AFC" w:rsidRPr="00FA1AFC">
        <w:rPr>
          <w:lang w:val="es-MX"/>
        </w:rPr>
        <w:t>,</w:t>
      </w:r>
      <w:r w:rsidR="00FA71EF">
        <w:rPr>
          <w:lang w:val="es-MX"/>
        </w:rPr>
        <w:t>75</w:t>
      </w:r>
      <w:r w:rsidR="009E65F7">
        <w:rPr>
          <w:lang w:val="es-MX"/>
        </w:rPr>
        <w:t>8</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FA71EF">
        <w:rPr>
          <w:lang w:val="es-MX"/>
        </w:rPr>
        <w:t>3</w:t>
      </w:r>
      <w:r w:rsidR="005E43D7">
        <w:rPr>
          <w:lang w:val="es-MX"/>
        </w:rPr>
        <w:t>’</w:t>
      </w:r>
      <w:r w:rsidR="00FA71EF">
        <w:rPr>
          <w:lang w:val="es-MX"/>
        </w:rPr>
        <w:t>926</w:t>
      </w:r>
      <w:r w:rsidRPr="00FA1AFC">
        <w:rPr>
          <w:lang w:val="es-MX"/>
        </w:rPr>
        <w:t>,</w:t>
      </w:r>
      <w:r w:rsidR="00FA71EF">
        <w:rPr>
          <w:lang w:val="es-MX"/>
        </w:rPr>
        <w:t>404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DB07EB">
        <w:rPr>
          <w:lang w:val="es-MX"/>
        </w:rPr>
        <w:tab/>
      </w:r>
      <w:r w:rsidR="00DB07EB">
        <w:rPr>
          <w:lang w:val="es-MX"/>
        </w:rPr>
        <w:tab/>
      </w:r>
      <w:r w:rsidR="00DB07EB">
        <w:rPr>
          <w:lang w:val="es-MX"/>
        </w:rPr>
        <w:tab/>
      </w:r>
      <w:r w:rsidR="00FA71EF">
        <w:rPr>
          <w:lang w:val="es-MX"/>
        </w:rPr>
        <w:t>8</w:t>
      </w:r>
      <w:r w:rsidR="005E43D7">
        <w:rPr>
          <w:lang w:val="es-MX"/>
        </w:rPr>
        <w:t>’</w:t>
      </w:r>
      <w:r w:rsidR="00FA71EF">
        <w:rPr>
          <w:lang w:val="es-MX"/>
        </w:rPr>
        <w:t>882</w:t>
      </w:r>
      <w:r w:rsidRPr="00FA1AFC">
        <w:rPr>
          <w:lang w:val="es-MX"/>
        </w:rPr>
        <w:t>,</w:t>
      </w:r>
      <w:r w:rsidR="00FA71EF">
        <w:rPr>
          <w:lang w:val="es-MX"/>
        </w:rPr>
        <w:t>04</w:t>
      </w:r>
      <w:r w:rsidR="009E65F7">
        <w:rPr>
          <w:lang w:val="es-MX"/>
        </w:rPr>
        <w:t>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09123A">
        <w:rPr>
          <w:lang w:val="es-MX"/>
        </w:rPr>
        <w:t>4</w:t>
      </w:r>
      <w:r w:rsidR="005E43D7">
        <w:rPr>
          <w:lang w:val="es-MX"/>
        </w:rPr>
        <w:t>’</w:t>
      </w:r>
      <w:r w:rsidR="00FA71EF">
        <w:rPr>
          <w:lang w:val="es-MX"/>
        </w:rPr>
        <w:t>927</w:t>
      </w:r>
      <w:r w:rsidR="0009123A">
        <w:rPr>
          <w:lang w:val="es-MX"/>
        </w:rPr>
        <w:t>,</w:t>
      </w:r>
      <w:r w:rsidR="00FA71EF">
        <w:rPr>
          <w:lang w:val="es-MX"/>
        </w:rPr>
        <w:t>767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FA71EF">
        <w:rPr>
          <w:lang w:val="es-MX"/>
        </w:rPr>
        <w:t>1</w:t>
      </w:r>
      <w:r w:rsidR="005E43D7">
        <w:rPr>
          <w:lang w:val="es-MX"/>
        </w:rPr>
        <w:t>’</w:t>
      </w:r>
      <w:r w:rsidR="00FA71EF">
        <w:rPr>
          <w:lang w:val="es-MX"/>
        </w:rPr>
        <w:t>614</w:t>
      </w:r>
      <w:r w:rsidRPr="00FA1AFC">
        <w:rPr>
          <w:lang w:val="es-MX"/>
        </w:rPr>
        <w:t>,</w:t>
      </w:r>
      <w:r w:rsidR="00FA71EF">
        <w:rPr>
          <w:lang w:val="es-MX"/>
        </w:rPr>
        <w:t>383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FC669D">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4F0005">
        <w:rPr>
          <w:lang w:val="es-MX"/>
        </w:rPr>
        <w:t>7</w:t>
      </w:r>
      <w:r w:rsidR="0009123A">
        <w:rPr>
          <w:lang w:val="es-MX"/>
        </w:rPr>
        <w:t>8</w:t>
      </w:r>
      <w:r w:rsidRPr="00FA1AFC">
        <w:rPr>
          <w:lang w:val="es-MX"/>
        </w:rPr>
        <w:t>,</w:t>
      </w:r>
      <w:r w:rsidR="004F0005">
        <w:rPr>
          <w:lang w:val="es-MX"/>
        </w:rPr>
        <w:t>709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5E43D7">
        <w:rPr>
          <w:lang w:val="es-MX"/>
        </w:rPr>
        <w:t xml:space="preserve"> 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t xml:space="preserve"> </w:t>
      </w:r>
      <w:r w:rsidR="005E43D7">
        <w:rPr>
          <w:lang w:val="es-MX"/>
        </w:rPr>
        <w:t xml:space="preserve"> </w:t>
      </w:r>
      <w:r w:rsidR="0082063A">
        <w:rPr>
          <w:lang w:val="es-MX"/>
        </w:rPr>
        <w:t>1’</w:t>
      </w:r>
      <w:r w:rsidR="00FA71EF">
        <w:rPr>
          <w:lang w:val="es-MX"/>
        </w:rPr>
        <w:t>687</w:t>
      </w:r>
      <w:r w:rsidR="005E43D7">
        <w:rPr>
          <w:lang w:val="es-MX"/>
        </w:rPr>
        <w:t>,</w:t>
      </w:r>
      <w:r w:rsidR="00FA71EF">
        <w:rPr>
          <w:lang w:val="es-MX"/>
        </w:rPr>
        <w:t>0</w:t>
      </w:r>
      <w:r w:rsidR="009E65F7">
        <w:rPr>
          <w:lang w:val="es-MX"/>
        </w:rPr>
        <w:t>55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A</w:t>
      </w:r>
      <w:r w:rsidRPr="00FA1AFC">
        <w:rPr>
          <w:lang w:val="es-MX"/>
        </w:rPr>
        <w:t>rtesanal</w:t>
      </w:r>
      <w:r w:rsidRPr="00FA1AFC">
        <w:rPr>
          <w:lang w:val="es-MX"/>
        </w:rPr>
        <w:tab/>
      </w:r>
      <w:r w:rsidRPr="00FA1AFC">
        <w:rPr>
          <w:lang w:val="es-MX"/>
        </w:rPr>
        <w:tab/>
      </w:r>
      <w:r>
        <w:rPr>
          <w:lang w:val="es-MX"/>
        </w:rPr>
        <w:tab/>
      </w:r>
      <w:r>
        <w:rPr>
          <w:lang w:val="es-MX"/>
        </w:rPr>
        <w:tab/>
      </w:r>
      <w:r>
        <w:rPr>
          <w:lang w:val="es-MX"/>
        </w:rPr>
        <w:tab/>
        <w:t xml:space="preserve">   </w:t>
      </w:r>
      <w:r w:rsidR="00DA4E30">
        <w:rPr>
          <w:lang w:val="es-MX"/>
        </w:rPr>
        <w:t xml:space="preserve"> </w:t>
      </w:r>
      <w:r w:rsidR="00DA4E30">
        <w:rPr>
          <w:lang w:val="es-MX"/>
        </w:rPr>
        <w:tab/>
      </w:r>
      <w:r w:rsidR="00DA4E30">
        <w:rPr>
          <w:lang w:val="es-MX"/>
        </w:rPr>
        <w:tab/>
      </w:r>
      <w:r w:rsidR="00DA4E30">
        <w:rPr>
          <w:lang w:val="es-MX"/>
        </w:rPr>
        <w:tab/>
        <w:t xml:space="preserve">  </w:t>
      </w:r>
      <w:r>
        <w:rPr>
          <w:lang w:val="es-MX"/>
        </w:rPr>
        <w:t xml:space="preserve">   </w:t>
      </w:r>
      <w:r w:rsidRPr="00FA1AFC">
        <w:rPr>
          <w:lang w:val="es-MX"/>
        </w:rPr>
        <w:t>350,000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FA71EF">
        <w:rPr>
          <w:lang w:val="es-MX"/>
        </w:rPr>
        <w:t>834</w:t>
      </w:r>
      <w:r w:rsidRPr="00FA1AFC">
        <w:rPr>
          <w:lang w:val="es-MX"/>
        </w:rPr>
        <w:t>,</w:t>
      </w:r>
      <w:r w:rsidR="00FA71EF">
        <w:rPr>
          <w:lang w:val="es-MX"/>
        </w:rPr>
        <w:t>212</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FA71EF">
        <w:rPr>
          <w:lang w:val="es-MX"/>
        </w:rPr>
        <w:t>238,554</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09123A">
        <w:rPr>
          <w:lang w:val="es-MX"/>
        </w:rPr>
        <w:t>2</w:t>
      </w:r>
      <w:r w:rsidR="00FA71EF">
        <w:rPr>
          <w:lang w:val="es-MX"/>
        </w:rPr>
        <w:t>71</w:t>
      </w:r>
      <w:r w:rsidRPr="00FA1AFC">
        <w:rPr>
          <w:lang w:val="es-MX"/>
        </w:rPr>
        <w:t>,</w:t>
      </w:r>
      <w:r w:rsidR="00FA71EF">
        <w:rPr>
          <w:lang w:val="es-MX"/>
        </w:rPr>
        <w:t>656</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Pr>
          <w:lang w:val="es-MX"/>
        </w:rPr>
        <w:t>103,309</w:t>
      </w:r>
      <w:r w:rsidRPr="00FA1AFC">
        <w:rPr>
          <w:lang w:val="es-MX"/>
        </w:rPr>
        <w:tab/>
      </w:r>
    </w:p>
    <w:p w:rsidR="00AC6A88" w:rsidRDefault="00AC6A88" w:rsidP="00FA1AFC">
      <w:pPr>
        <w:pStyle w:val="ROMANOS"/>
        <w:spacing w:after="0" w:line="240" w:lineRule="exact"/>
        <w:rPr>
          <w:lang w:val="es-MX"/>
        </w:rPr>
      </w:pPr>
      <w:r>
        <w:rPr>
          <w:lang w:val="es-MX"/>
        </w:rPr>
        <w:tab/>
      </w:r>
      <w:r>
        <w:rPr>
          <w:lang w:val="es-MX"/>
        </w:rPr>
        <w:tab/>
      </w:r>
      <w:r>
        <w:rPr>
          <w:lang w:val="es-MX"/>
        </w:rPr>
        <w:tab/>
        <w:t>Deudores diversos</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9E65F7">
        <w:rPr>
          <w:lang w:val="es-MX"/>
        </w:rPr>
        <w:t xml:space="preserve">    </w:t>
      </w:r>
      <w:r w:rsidR="00FA71EF">
        <w:rPr>
          <w:lang w:val="es-MX"/>
        </w:rPr>
        <w:t>5</w:t>
      </w:r>
      <w:r w:rsidR="0009123A">
        <w:rPr>
          <w:lang w:val="es-MX"/>
        </w:rPr>
        <w:t>,</w:t>
      </w:r>
      <w:r w:rsidR="00FA71EF">
        <w:rPr>
          <w:lang w:val="es-MX"/>
        </w:rPr>
        <w:t>887</w:t>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r w:rsidR="005C0988">
        <w:rPr>
          <w:lang w:val="es-MX"/>
        </w:rPr>
        <w:t xml:space="preserve">  No se tienen Inversiones financieras.</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135339">
        <w:rPr>
          <w:lang w:val="es-MX"/>
        </w:rPr>
        <w:t>094</w:t>
      </w:r>
      <w:r>
        <w:rPr>
          <w:lang w:val="es-MX"/>
        </w:rPr>
        <w:t>,</w:t>
      </w:r>
      <w:r w:rsidR="00135339">
        <w:rPr>
          <w:lang w:val="es-MX"/>
        </w:rPr>
        <w:t>925</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135339">
        <w:rPr>
          <w:lang w:val="es-MX"/>
        </w:rPr>
        <w:t>28</w:t>
      </w:r>
      <w:r>
        <w:rPr>
          <w:lang w:val="es-MX"/>
        </w:rPr>
        <w:t>,</w:t>
      </w:r>
      <w:r w:rsidR="00135339">
        <w:rPr>
          <w:lang w:val="es-MX"/>
        </w:rPr>
        <w:t>375</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4F70E3" w:rsidP="004F70E3">
      <w:pPr>
        <w:pStyle w:val="ROMANOS"/>
        <w:spacing w:after="0" w:line="240" w:lineRule="exact"/>
        <w:ind w:left="0" w:firstLine="0"/>
        <w:jc w:val="left"/>
        <w:rPr>
          <w:lang w:val="es-MX"/>
        </w:rPr>
      </w:pPr>
      <w:r w:rsidRPr="004F70E3">
        <w:rPr>
          <w:lang w:val="es-MX"/>
        </w:rPr>
        <w:t xml:space="preserve">El importe reflejado en cuentas por pagar a corto plazo, por la cantidad de </w:t>
      </w:r>
      <w:r w:rsidR="00AA1BE7">
        <w:rPr>
          <w:lang w:val="es-MX"/>
        </w:rPr>
        <w:t>316</w:t>
      </w:r>
      <w:r w:rsidR="0056698C">
        <w:rPr>
          <w:lang w:val="es-MX"/>
        </w:rPr>
        <w:t>,</w:t>
      </w:r>
      <w:r w:rsidR="00AA1BE7">
        <w:rPr>
          <w:lang w:val="es-MX"/>
        </w:rPr>
        <w:t>960</w:t>
      </w:r>
      <w:r w:rsidRPr="004F70E3">
        <w:rPr>
          <w:lang w:val="es-MX"/>
        </w:rPr>
        <w:t xml:space="preserve">, </w:t>
      </w:r>
      <w:r w:rsidR="0056698C">
        <w:rPr>
          <w:lang w:val="es-MX"/>
        </w:rPr>
        <w:t>es</w:t>
      </w:r>
      <w:r w:rsidR="00BC21A9">
        <w:rPr>
          <w:lang w:val="es-MX"/>
        </w:rPr>
        <w:t>tá</w:t>
      </w:r>
      <w:r w:rsidR="0056698C">
        <w:rPr>
          <w:lang w:val="es-MX"/>
        </w:rPr>
        <w:t xml:space="preserve"> integrado por la subcuenta de Servicios personales (Prestaciones de fin de año)</w:t>
      </w:r>
      <w:r w:rsidR="00152572">
        <w:rPr>
          <w:lang w:val="es-MX"/>
        </w:rPr>
        <w:t xml:space="preserve"> por la cantidad de </w:t>
      </w:r>
      <w:r w:rsidR="00AA1BE7">
        <w:rPr>
          <w:lang w:val="es-MX"/>
        </w:rPr>
        <w:t>314</w:t>
      </w:r>
      <w:r w:rsidR="004F0005">
        <w:rPr>
          <w:lang w:val="es-MX"/>
        </w:rPr>
        <w:t>,</w:t>
      </w:r>
      <w:r w:rsidR="00AA1BE7">
        <w:rPr>
          <w:lang w:val="es-MX"/>
        </w:rPr>
        <w:t>142</w:t>
      </w:r>
      <w:r w:rsidR="00BC21A9">
        <w:rPr>
          <w:lang w:val="es-MX"/>
        </w:rPr>
        <w:t xml:space="preserve"> y la sub-cuenta correspondiente a </w:t>
      </w:r>
      <w:r w:rsidRPr="004F70E3">
        <w:rPr>
          <w:lang w:val="es-MX"/>
        </w:rPr>
        <w:t xml:space="preserve">la retención de ISR en pago </w:t>
      </w:r>
      <w:r w:rsidR="00BC21A9">
        <w:rPr>
          <w:lang w:val="es-MX"/>
        </w:rPr>
        <w:t xml:space="preserve">del </w:t>
      </w:r>
      <w:r>
        <w:rPr>
          <w:lang w:val="es-MX"/>
        </w:rPr>
        <w:t>arrendamiento de inmue</w:t>
      </w:r>
      <w:r w:rsidR="00152572">
        <w:rPr>
          <w:lang w:val="es-MX"/>
        </w:rPr>
        <w:t xml:space="preserve">bles </w:t>
      </w:r>
      <w:r w:rsidR="00AA1BE7">
        <w:rPr>
          <w:lang w:val="es-MX"/>
        </w:rPr>
        <w:t>e Impuesto sobre nóminas</w:t>
      </w:r>
      <w:r w:rsidR="00066308">
        <w:rPr>
          <w:lang w:val="es-MX"/>
        </w:rPr>
        <w:t xml:space="preserve">, la suma de ambos </w:t>
      </w:r>
      <w:r w:rsidR="00152572">
        <w:rPr>
          <w:lang w:val="es-MX"/>
        </w:rPr>
        <w:t xml:space="preserve">por la cantidad de </w:t>
      </w:r>
      <w:r w:rsidR="00AA1BE7">
        <w:rPr>
          <w:lang w:val="es-MX"/>
        </w:rPr>
        <w:t>2</w:t>
      </w:r>
      <w:r w:rsidR="00135339">
        <w:rPr>
          <w:lang w:val="es-MX"/>
        </w:rPr>
        <w:t>,</w:t>
      </w:r>
      <w:r w:rsidR="00AA1BE7">
        <w:rPr>
          <w:lang w:val="es-MX"/>
        </w:rPr>
        <w:t>818</w:t>
      </w:r>
      <w:r>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455080">
        <w:rPr>
          <w:lang w:val="es-MX"/>
        </w:rPr>
        <w:t>2</w:t>
      </w:r>
      <w:r w:rsidR="00516264">
        <w:rPr>
          <w:lang w:val="es-MX"/>
        </w:rPr>
        <w:t>’</w:t>
      </w:r>
      <w:r w:rsidR="00AA1BE7">
        <w:rPr>
          <w:lang w:val="es-MX"/>
        </w:rPr>
        <w:t>1</w:t>
      </w:r>
      <w:r w:rsidR="00455080">
        <w:rPr>
          <w:lang w:val="es-MX"/>
        </w:rPr>
        <w:t>42</w:t>
      </w:r>
      <w:r w:rsidR="00516264">
        <w:rPr>
          <w:lang w:val="es-MX"/>
        </w:rPr>
        <w:t>,</w:t>
      </w:r>
      <w:r w:rsidR="00455080">
        <w:rPr>
          <w:lang w:val="es-MX"/>
        </w:rPr>
        <w:t>558</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Pr>
          <w:lang w:val="es-MX"/>
        </w:rPr>
        <w:tab/>
      </w:r>
      <w:r w:rsidR="00166AF9">
        <w:rPr>
          <w:lang w:val="es-MX"/>
        </w:rPr>
        <w:t>6</w:t>
      </w:r>
      <w:r w:rsidR="00AA1BE7">
        <w:rPr>
          <w:lang w:val="es-MX"/>
        </w:rPr>
        <w:t>8</w:t>
      </w:r>
      <w:r w:rsidR="00BC21A9">
        <w:rPr>
          <w:lang w:val="es-MX"/>
        </w:rPr>
        <w:t>,</w:t>
      </w:r>
      <w:r w:rsidR="00AA1BE7">
        <w:rPr>
          <w:lang w:val="es-MX"/>
        </w:rPr>
        <w:t>8</w:t>
      </w:r>
      <w:r w:rsidR="00166AF9">
        <w:rPr>
          <w:lang w:val="es-MX"/>
        </w:rPr>
        <w:t>25</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1’108,575</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reestructuras en proceso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AA1BE7">
        <w:rPr>
          <w:lang w:val="es-MX"/>
        </w:rPr>
        <w:t>790</w:t>
      </w:r>
      <w:r w:rsidR="00DB07EB">
        <w:rPr>
          <w:lang w:val="es-MX"/>
        </w:rPr>
        <w:t>,</w:t>
      </w:r>
      <w:r w:rsidR="00AA1BE7">
        <w:rPr>
          <w:lang w:val="es-MX"/>
        </w:rPr>
        <w:t>906</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AA1BE7">
        <w:rPr>
          <w:lang w:val="es-MX"/>
        </w:rPr>
        <w:t xml:space="preserve"> 157</w:t>
      </w:r>
      <w:r>
        <w:rPr>
          <w:lang w:val="es-MX"/>
        </w:rPr>
        <w:t>,</w:t>
      </w:r>
      <w:r w:rsidR="00135339">
        <w:rPr>
          <w:lang w:val="es-MX"/>
        </w:rPr>
        <w:t>4</w:t>
      </w:r>
      <w:r w:rsidR="00AA1BE7">
        <w:rPr>
          <w:lang w:val="es-MX"/>
        </w:rPr>
        <w:t>2</w:t>
      </w:r>
      <w:r w:rsidR="00455080">
        <w:rPr>
          <w:lang w:val="es-MX"/>
        </w:rPr>
        <w:t>5</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lastRenderedPageBreak/>
        <w:t xml:space="preserve">El importe reflejado en la cuenta </w:t>
      </w:r>
      <w:r w:rsidR="00066308">
        <w:rPr>
          <w:lang w:val="es-MX"/>
        </w:rPr>
        <w:t>Créditos Diferidos a largo plazo</w:t>
      </w:r>
      <w:r w:rsidRPr="00B317DB">
        <w:rPr>
          <w:lang w:val="es-MX"/>
        </w:rPr>
        <w:t xml:space="preserve">, por la cantidad de </w:t>
      </w:r>
      <w:r>
        <w:rPr>
          <w:lang w:val="es-MX"/>
        </w:rPr>
        <w:t>2</w:t>
      </w:r>
      <w:r w:rsidR="00455080">
        <w:rPr>
          <w:lang w:val="es-MX"/>
        </w:rPr>
        <w:t>3</w:t>
      </w:r>
      <w:r w:rsidRPr="00B317DB">
        <w:rPr>
          <w:lang w:val="es-MX"/>
        </w:rPr>
        <w:t>’</w:t>
      </w:r>
      <w:r w:rsidR="00455080">
        <w:rPr>
          <w:lang w:val="es-MX"/>
        </w:rPr>
        <w:t>946</w:t>
      </w:r>
      <w:r w:rsidRPr="00B317DB">
        <w:rPr>
          <w:lang w:val="es-MX"/>
        </w:rPr>
        <w:t>,</w:t>
      </w:r>
      <w:r w:rsidR="00455080">
        <w:rPr>
          <w:lang w:val="es-MX"/>
        </w:rPr>
        <w:t>482</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18</w:t>
      </w:r>
      <w:r w:rsidR="00AC6A88">
        <w:rPr>
          <w:lang w:val="es-MX"/>
        </w:rPr>
        <w:t>’</w:t>
      </w:r>
      <w:r w:rsidR="00455080">
        <w:rPr>
          <w:lang w:val="es-MX"/>
        </w:rPr>
        <w:t>765</w:t>
      </w:r>
      <w:r w:rsidR="00AC6A88">
        <w:rPr>
          <w:lang w:val="es-MX"/>
        </w:rPr>
        <w:t>,</w:t>
      </w:r>
      <w:r w:rsidR="00455080">
        <w:rPr>
          <w:lang w:val="es-MX"/>
        </w:rPr>
        <w:t>688</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455080">
        <w:rPr>
          <w:lang w:val="es-MX"/>
        </w:rPr>
        <w:t>6</w:t>
      </w:r>
      <w:r>
        <w:rPr>
          <w:lang w:val="es-MX"/>
        </w:rPr>
        <w:t>,</w:t>
      </w:r>
      <w:r w:rsidR="00DA2766">
        <w:rPr>
          <w:lang w:val="es-MX"/>
        </w:rPr>
        <w:t>3</w:t>
      </w:r>
      <w:r w:rsidR="00455080">
        <w:rPr>
          <w:lang w:val="es-MX"/>
        </w:rPr>
        <w:t>05</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455080">
        <w:rPr>
          <w:lang w:val="es-MX"/>
        </w:rPr>
        <w:t>4</w:t>
      </w:r>
      <w:r w:rsidR="00124DC5">
        <w:rPr>
          <w:lang w:val="es-MX"/>
        </w:rPr>
        <w:t>’</w:t>
      </w:r>
      <w:r w:rsidR="00455080">
        <w:rPr>
          <w:lang w:val="es-MX"/>
        </w:rPr>
        <w:t>108</w:t>
      </w:r>
      <w:r>
        <w:rPr>
          <w:lang w:val="es-MX"/>
        </w:rPr>
        <w:t>,290,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124DC5">
        <w:rPr>
          <w:lang w:val="es-MX"/>
        </w:rPr>
        <w:t>2</w:t>
      </w:r>
      <w:r w:rsidR="00125C05">
        <w:rPr>
          <w:color w:val="000000"/>
        </w:rPr>
        <w:t>’</w:t>
      </w:r>
      <w:r w:rsidR="00455080">
        <w:rPr>
          <w:color w:val="000000"/>
        </w:rPr>
        <w:t>670</w:t>
      </w:r>
      <w:r w:rsidR="00AC6A88" w:rsidRPr="00AC6A88">
        <w:rPr>
          <w:color w:val="000000"/>
        </w:rPr>
        <w:t>,300</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EB2C13">
        <w:rPr>
          <w:lang w:val="es-MX"/>
        </w:rPr>
        <w:t>3</w:t>
      </w:r>
      <w:r w:rsidR="00124DC5">
        <w:rPr>
          <w:lang w:val="es-MX"/>
        </w:rPr>
        <w:t>79</w:t>
      </w:r>
      <w:r w:rsidR="00AC6A88" w:rsidRPr="00AC6A88">
        <w:rPr>
          <w:color w:val="000000"/>
        </w:rPr>
        <w:t>,</w:t>
      </w:r>
      <w:r w:rsidR="00124DC5">
        <w:rPr>
          <w:color w:val="000000"/>
        </w:rPr>
        <w:t>600</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455080">
        <w:rPr>
          <w:lang w:val="es-MX"/>
        </w:rPr>
        <w:t>2</w:t>
      </w:r>
      <w:r>
        <w:rPr>
          <w:lang w:val="es-MX"/>
        </w:rPr>
        <w:t>’</w:t>
      </w:r>
      <w:r w:rsidR="00455080">
        <w:rPr>
          <w:lang w:val="es-MX"/>
        </w:rPr>
        <w:t>151</w:t>
      </w:r>
      <w:r>
        <w:rPr>
          <w:lang w:val="es-MX"/>
        </w:rPr>
        <w:t>,</w:t>
      </w:r>
      <w:r w:rsidR="00455080">
        <w:rPr>
          <w:lang w:val="es-MX"/>
        </w:rPr>
        <w:t>352.</w:t>
      </w:r>
    </w:p>
    <w:p w:rsidR="00455080" w:rsidRDefault="00455080"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455080">
        <w:rPr>
          <w:lang w:val="es-MX"/>
        </w:rPr>
        <w:t>526</w:t>
      </w:r>
      <w:r w:rsidR="00DA2766">
        <w:rPr>
          <w:lang w:val="es-MX"/>
        </w:rPr>
        <w:t>,</w:t>
      </w:r>
      <w:r w:rsidR="00455080">
        <w:rPr>
          <w:lang w:val="es-MX"/>
        </w:rPr>
        <w:t>412</w:t>
      </w:r>
      <w:r>
        <w:rPr>
          <w:lang w:val="es-MX"/>
        </w:rPr>
        <w:t xml:space="preserve">, que están integrados por </w:t>
      </w:r>
      <w:r w:rsidR="00455080">
        <w:rPr>
          <w:lang w:val="es-MX"/>
        </w:rPr>
        <w:t>506</w:t>
      </w:r>
      <w:r w:rsidR="00DA2766">
        <w:rPr>
          <w:lang w:val="es-MX"/>
        </w:rPr>
        <w:t>,</w:t>
      </w:r>
      <w:r w:rsidR="00455080">
        <w:rPr>
          <w:lang w:val="es-MX"/>
        </w:rPr>
        <w:t>286</w:t>
      </w:r>
      <w:r w:rsidR="00486559">
        <w:rPr>
          <w:lang w:val="es-MX"/>
        </w:rPr>
        <w:t xml:space="preserve"> </w:t>
      </w:r>
      <w:r>
        <w:rPr>
          <w:lang w:val="es-MX"/>
        </w:rPr>
        <w:t>de los</w:t>
      </w:r>
      <w:r w:rsidR="006F44DD">
        <w:rPr>
          <w:lang w:val="es-MX"/>
        </w:rPr>
        <w:t xml:space="preserve"> intereses normales y moratorios que se recib</w:t>
      </w:r>
      <w:r>
        <w:rPr>
          <w:lang w:val="es-MX"/>
        </w:rPr>
        <w:t>ieron</w:t>
      </w:r>
      <w:r w:rsidR="006F44DD">
        <w:rPr>
          <w:lang w:val="es-MX"/>
        </w:rPr>
        <w:t xml:space="preserve"> de los créditos financiados</w:t>
      </w:r>
      <w:r>
        <w:rPr>
          <w:lang w:val="es-MX"/>
        </w:rPr>
        <w:t xml:space="preserve"> y </w:t>
      </w:r>
      <w:r w:rsidR="00455080">
        <w:rPr>
          <w:lang w:val="es-MX"/>
        </w:rPr>
        <w:t>20</w:t>
      </w:r>
      <w:r>
        <w:rPr>
          <w:lang w:val="es-MX"/>
        </w:rPr>
        <w:t>,</w:t>
      </w:r>
      <w:r w:rsidR="00455080">
        <w:rPr>
          <w:lang w:val="es-MX"/>
        </w:rPr>
        <w:t>126</w:t>
      </w:r>
      <w:r w:rsidR="00DA2766">
        <w:rPr>
          <w:lang w:val="es-MX"/>
        </w:rPr>
        <w:t xml:space="preserve"> </w:t>
      </w:r>
      <w:r>
        <w:rPr>
          <w:lang w:val="es-MX"/>
        </w:rPr>
        <w:t xml:space="preserve">que corresponden a </w:t>
      </w:r>
      <w:r w:rsidR="00AF0C16">
        <w:rPr>
          <w:lang w:val="es-MX"/>
        </w:rPr>
        <w:t>rendimie</w:t>
      </w:r>
      <w:r>
        <w:rPr>
          <w:lang w:val="es-MX"/>
        </w:rPr>
        <w:t>n</w:t>
      </w:r>
      <w:r w:rsidR="00AF0C16">
        <w:rPr>
          <w:lang w:val="es-MX"/>
        </w:rPr>
        <w:t>tos financieros de cuentas bancarias y fondos de inversión.</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P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153FA6">
        <w:t>5</w:t>
      </w:r>
      <w:r>
        <w:t xml:space="preserve"> y el Patrimonio generado del ejercicio se integra por el Resultado del ejercicio 201</w:t>
      </w:r>
      <w:r w:rsidR="00153FA6">
        <w:t>6</w:t>
      </w:r>
      <w:r>
        <w:t>.</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lastRenderedPageBreak/>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153FA6">
              <w:rPr>
                <w:szCs w:val="18"/>
                <w:lang w:val="es-MX"/>
              </w:rPr>
              <w:t>6</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153FA6">
              <w:rPr>
                <w:szCs w:val="18"/>
                <w:lang w:val="es-MX"/>
              </w:rPr>
              <w:t>5</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153FA6">
            <w:pPr>
              <w:pStyle w:val="Texto"/>
              <w:spacing w:after="0" w:line="240" w:lineRule="exact"/>
              <w:ind w:firstLine="0"/>
              <w:jc w:val="right"/>
              <w:rPr>
                <w:szCs w:val="18"/>
                <w:lang w:val="es-MX"/>
              </w:rPr>
            </w:pPr>
            <w:r>
              <w:rPr>
                <w:szCs w:val="18"/>
                <w:lang w:val="es-MX"/>
              </w:rPr>
              <w:t>6’213,225</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3’649,698</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3FA6" w:rsidRPr="00153FA6" w:rsidRDefault="00153FA6" w:rsidP="003139DD">
            <w:pPr>
              <w:jc w:val="right"/>
              <w:rPr>
                <w:rFonts w:ascii="Arial" w:hAnsi="Arial" w:cs="Arial"/>
                <w:sz w:val="18"/>
                <w:szCs w:val="18"/>
              </w:rPr>
            </w:pPr>
            <w:r w:rsidRPr="00153FA6">
              <w:rPr>
                <w:rFonts w:ascii="Arial" w:hAnsi="Arial" w:cs="Arial"/>
                <w:sz w:val="18"/>
                <w:szCs w:val="18"/>
              </w:rPr>
              <w:t>6’213,225</w:t>
            </w:r>
          </w:p>
        </w:tc>
        <w:tc>
          <w:tcPr>
            <w:tcW w:w="1109" w:type="dxa"/>
            <w:tcBorders>
              <w:top w:val="single" w:sz="6" w:space="0" w:color="auto"/>
              <w:left w:val="single" w:sz="6" w:space="0" w:color="auto"/>
              <w:bottom w:val="single" w:sz="6" w:space="0" w:color="auto"/>
              <w:right w:val="single" w:sz="6" w:space="0" w:color="auto"/>
            </w:tcBorders>
          </w:tcPr>
          <w:p w:rsidR="00153FA6" w:rsidRPr="00DA2766" w:rsidRDefault="00153FA6" w:rsidP="00017E12">
            <w:pPr>
              <w:jc w:val="right"/>
              <w:rPr>
                <w:rFonts w:ascii="Arial" w:hAnsi="Arial" w:cs="Arial"/>
                <w:sz w:val="18"/>
                <w:szCs w:val="18"/>
              </w:rPr>
            </w:pPr>
            <w:r w:rsidRPr="00DA2766">
              <w:rPr>
                <w:rFonts w:ascii="Arial" w:hAnsi="Arial" w:cs="Arial"/>
                <w:sz w:val="18"/>
                <w:szCs w:val="18"/>
              </w:rPr>
              <w:t>3’649,698</w:t>
            </w:r>
          </w:p>
        </w:tc>
      </w:tr>
    </w:tbl>
    <w:p w:rsidR="00540418" w:rsidRDefault="00540418" w:rsidP="00540418">
      <w:pPr>
        <w:pStyle w:val="Texto"/>
        <w:spacing w:after="0" w:line="240" w:lineRule="exact"/>
        <w:rPr>
          <w:szCs w:val="18"/>
          <w:lang w:val="es-MX"/>
        </w:rPr>
      </w:pPr>
    </w:p>
    <w:p w:rsidR="00A54037" w:rsidRDefault="00486559" w:rsidP="00A54037">
      <w:pPr>
        <w:pStyle w:val="Texto"/>
        <w:spacing w:after="0" w:line="240" w:lineRule="exact"/>
        <w:ind w:firstLine="0"/>
        <w:rPr>
          <w:szCs w:val="18"/>
          <w:lang w:val="es-MX"/>
        </w:rPr>
      </w:pPr>
      <w:r>
        <w:rPr>
          <w:szCs w:val="18"/>
          <w:lang w:val="es-MX"/>
        </w:rPr>
        <w:t xml:space="preserve">No se </w:t>
      </w:r>
      <w:r w:rsidR="00A54037">
        <w:rPr>
          <w:szCs w:val="18"/>
          <w:lang w:val="es-MX"/>
        </w:rPr>
        <w:t>adquirieron bienes muebles</w:t>
      </w:r>
      <w:r>
        <w:rPr>
          <w:szCs w:val="18"/>
          <w:lang w:val="es-MX"/>
        </w:rPr>
        <w:t>.</w:t>
      </w: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540418" w:rsidP="00B849EE">
      <w:pPr>
        <w:pStyle w:val="Texto"/>
        <w:spacing w:after="0" w:line="240" w:lineRule="exact"/>
        <w:ind w:firstLine="0"/>
        <w:rPr>
          <w:rFonts w:ascii="Soberana Sans Light" w:hAnsi="Soberana Sans Light"/>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1B0DCF" w:rsidRDefault="001B0DCF" w:rsidP="00540418">
      <w:pPr>
        <w:pStyle w:val="Texto"/>
        <w:spacing w:after="0" w:line="240" w:lineRule="exact"/>
        <w:jc w:val="center"/>
        <w:rPr>
          <w:rFonts w:ascii="Soberana Sans Light" w:hAnsi="Soberana Sans Light"/>
          <w:b/>
          <w:smallCaps/>
          <w:sz w:val="22"/>
          <w:szCs w:val="22"/>
          <w:lang w:val="es-MX"/>
        </w:rPr>
      </w:pPr>
    </w:p>
    <w:p w:rsidR="0044253C" w:rsidRDefault="0030699B" w:rsidP="00540418">
      <w:pPr>
        <w:pStyle w:val="Texto"/>
        <w:spacing w:after="0" w:line="240" w:lineRule="exact"/>
        <w:jc w:val="center"/>
        <w:rPr>
          <w:rFonts w:ascii="Soberana Sans Light" w:hAnsi="Soberana Sans Light"/>
          <w:b/>
          <w:smallCaps/>
          <w:sz w:val="22"/>
          <w:szCs w:val="22"/>
          <w:lang w:val="es-MX"/>
        </w:rPr>
      </w:pPr>
      <w:r w:rsidRPr="0030699B">
        <w:rPr>
          <w:rFonts w:ascii="Soberana Sans Light" w:hAnsi="Soberana Sans Light"/>
          <w:noProof/>
          <w:sz w:val="22"/>
          <w:szCs w:val="22"/>
          <w:lang w:val="es-MX" w:eastAsia="es-MX"/>
        </w:rPr>
        <w:pict>
          <v:shape id="_x0000_s1028" type="#_x0000_t75" style="position:absolute;left:0;text-align:left;margin-left:47.65pt;margin-top:-3.2pt;width:626.5pt;height:317.7pt;z-index:251658240">
            <v:imagedata r:id="rId22" o:title=""/>
            <w10:wrap type="topAndBottom"/>
          </v:shape>
          <o:OLEObject Type="Embed" ProgID="Excel.Sheet.12" ShapeID="_x0000_s1028" DrawAspect="Content" ObjectID="_1521349624" r:id="rId23"/>
        </w:pict>
      </w:r>
    </w:p>
    <w:p w:rsidR="00B849EE" w:rsidRDefault="0030699B" w:rsidP="003C6E79">
      <w:pPr>
        <w:pStyle w:val="Texto"/>
        <w:spacing w:after="0" w:line="240" w:lineRule="exact"/>
        <w:ind w:firstLine="0"/>
        <w:jc w:val="center"/>
        <w:rPr>
          <w:rFonts w:ascii="Soberana Sans Light" w:hAnsi="Soberana Sans Light"/>
          <w:b/>
          <w:smallCaps/>
          <w:sz w:val="22"/>
          <w:szCs w:val="22"/>
          <w:lang w:val="es-MX"/>
        </w:rPr>
      </w:pPr>
      <w:r w:rsidRPr="0030699B">
        <w:rPr>
          <w:noProof/>
        </w:rPr>
        <w:lastRenderedPageBreak/>
        <w:pict>
          <v:shape id="_x0000_s1030" type="#_x0000_t75" style="position:absolute;left:0;text-align:left;margin-left:117.85pt;margin-top:3.15pt;width:427.45pt;height:429.15pt;z-index:251660288">
            <v:imagedata r:id="rId24" o:title=""/>
            <w10:wrap type="topAndBottom"/>
          </v:shape>
          <o:OLEObject Type="Embed" ProgID="Excel.Sheet.12" ShapeID="_x0000_s1030" DrawAspect="Content" ObjectID="_1521349625" r:id="rId25"/>
        </w:pict>
      </w:r>
    </w:p>
    <w:p w:rsidR="00CD2DFC" w:rsidRPr="00540418" w:rsidRDefault="00CD2DFC" w:rsidP="00540418">
      <w:pPr>
        <w:pStyle w:val="Texto"/>
        <w:spacing w:after="0" w:line="240" w:lineRule="exact"/>
        <w:jc w:val="center"/>
        <w:rPr>
          <w:rFonts w:ascii="Soberana Sans Light" w:hAnsi="Soberana Sans Light"/>
          <w:b/>
          <w:smallCaps/>
          <w:sz w:val="22"/>
          <w:szCs w:val="22"/>
          <w:lang w:val="es-MX"/>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3D1885" w:rsidP="00553048">
      <w:pPr>
        <w:pStyle w:val="INCISO"/>
        <w:spacing w:after="0" w:line="240" w:lineRule="exact"/>
        <w:ind w:left="0" w:firstLine="0"/>
      </w:pPr>
      <w:r>
        <w:t>2016</w:t>
      </w:r>
    </w:p>
    <w:p w:rsidR="00143669" w:rsidRDefault="00143669" w:rsidP="00553048">
      <w:pPr>
        <w:pStyle w:val="INCISO"/>
        <w:spacing w:after="0" w:line="240" w:lineRule="exact"/>
        <w:ind w:left="0" w:firstLine="0"/>
      </w:pPr>
    </w:p>
    <w:p w:rsidR="00143669" w:rsidRDefault="00143669"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540418" w:rsidRDefault="00971080" w:rsidP="003D1885">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7B4361" w:rsidRDefault="007B4361" w:rsidP="00540418">
      <w:pPr>
        <w:pStyle w:val="Texto"/>
        <w:spacing w:after="0" w:line="240" w:lineRule="exact"/>
        <w:rPr>
          <w:szCs w:val="18"/>
        </w:rPr>
      </w:pPr>
    </w:p>
    <w:p w:rsidR="00143669" w:rsidRDefault="00143669"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F27325" w:rsidRPr="00D43007" w:rsidRDefault="00F27325"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971080" w:rsidRPr="004B0790" w:rsidRDefault="00971080"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lastRenderedPageBreak/>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30699B" w:rsidP="00540418">
      <w:pPr>
        <w:pStyle w:val="Texto"/>
        <w:spacing w:after="0" w:line="240" w:lineRule="exact"/>
        <w:rPr>
          <w:sz w:val="22"/>
          <w:szCs w:val="22"/>
        </w:rPr>
      </w:pPr>
      <w:r w:rsidRPr="0030699B">
        <w:rPr>
          <w:noProof/>
        </w:rPr>
        <w:pict>
          <v:shape id="_x0000_s1038" type="#_x0000_t75" style="position:absolute;left:0;text-align:left;margin-left:16.45pt;margin-top:22.35pt;width:736.8pt;height:107.65pt;z-index:251662336">
            <v:imagedata r:id="rId26" o:title=""/>
            <w10:wrap type="topAndBottom"/>
          </v:shape>
          <o:OLEObject Type="Embed" ProgID="Excel.Sheet.12" ShapeID="_x0000_s1038" DrawAspect="Content" ObjectID="_1521349626"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5B" w:rsidRDefault="0030665B" w:rsidP="00EA5418">
      <w:pPr>
        <w:spacing w:after="0" w:line="240" w:lineRule="auto"/>
      </w:pPr>
      <w:r>
        <w:separator/>
      </w:r>
    </w:p>
  </w:endnote>
  <w:endnote w:type="continuationSeparator" w:id="0">
    <w:p w:rsidR="0030665B" w:rsidRDefault="0030665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30699B" w:rsidP="0013011C">
    <w:pPr>
      <w:pStyle w:val="Piedepgina"/>
      <w:jc w:val="center"/>
      <w:rPr>
        <w:rFonts w:ascii="Soberana Sans Light" w:hAnsi="Soberana Sans Light"/>
      </w:rPr>
    </w:pPr>
    <w:r w:rsidRPr="0030699B">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17E1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17E12" w:rsidRPr="0013011C">
          <w:rPr>
            <w:rFonts w:ascii="Soberana Sans Light" w:hAnsi="Soberana Sans Light"/>
          </w:rPr>
          <w:instrText>PAGE   \* MERGEFORMAT</w:instrText>
        </w:r>
        <w:r w:rsidRPr="0013011C">
          <w:rPr>
            <w:rFonts w:ascii="Soberana Sans Light" w:hAnsi="Soberana Sans Light"/>
          </w:rPr>
          <w:fldChar w:fldCharType="separate"/>
        </w:r>
        <w:r w:rsidR="001B0DCF" w:rsidRPr="001B0DCF">
          <w:rPr>
            <w:rFonts w:ascii="Soberana Sans Light" w:hAnsi="Soberana Sans Light"/>
            <w:noProof/>
            <w:lang w:val="es-ES"/>
          </w:rPr>
          <w:t>14</w:t>
        </w:r>
        <w:r w:rsidRPr="0013011C">
          <w:rPr>
            <w:rFonts w:ascii="Soberana Sans Light" w:hAnsi="Soberana Sans Light"/>
          </w:rPr>
          <w:fldChar w:fldCharType="end"/>
        </w:r>
      </w:sdtContent>
    </w:sdt>
  </w:p>
  <w:p w:rsidR="00017E12" w:rsidRDefault="00017E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8E3652" w:rsidRDefault="0030699B" w:rsidP="008E3652">
    <w:pPr>
      <w:pStyle w:val="Piedepgina"/>
      <w:jc w:val="center"/>
      <w:rPr>
        <w:rFonts w:ascii="Soberana Sans Light" w:hAnsi="Soberana Sans Light"/>
      </w:rPr>
    </w:pPr>
    <w:r w:rsidRPr="0030699B">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17E12" w:rsidRPr="008E3652">
          <w:rPr>
            <w:rFonts w:ascii="Soberana Sans Light" w:hAnsi="Soberana Sans Light"/>
          </w:rPr>
          <w:t xml:space="preserve">Contable / </w:t>
        </w:r>
        <w:r w:rsidRPr="008E3652">
          <w:rPr>
            <w:rFonts w:ascii="Soberana Sans Light" w:hAnsi="Soberana Sans Light"/>
          </w:rPr>
          <w:fldChar w:fldCharType="begin"/>
        </w:r>
        <w:r w:rsidR="00017E12" w:rsidRPr="008E3652">
          <w:rPr>
            <w:rFonts w:ascii="Soberana Sans Light" w:hAnsi="Soberana Sans Light"/>
          </w:rPr>
          <w:instrText>PAGE   \* MERGEFORMAT</w:instrText>
        </w:r>
        <w:r w:rsidRPr="008E3652">
          <w:rPr>
            <w:rFonts w:ascii="Soberana Sans Light" w:hAnsi="Soberana Sans Light"/>
          </w:rPr>
          <w:fldChar w:fldCharType="separate"/>
        </w:r>
        <w:r w:rsidR="001B0DCF" w:rsidRPr="001B0DCF">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5B" w:rsidRDefault="0030665B" w:rsidP="00EA5418">
      <w:pPr>
        <w:spacing w:after="0" w:line="240" w:lineRule="auto"/>
      </w:pPr>
      <w:r>
        <w:separator/>
      </w:r>
    </w:p>
  </w:footnote>
  <w:footnote w:type="continuationSeparator" w:id="0">
    <w:p w:rsidR="0030665B" w:rsidRDefault="0030665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Default="0030699B">
    <w:pPr>
      <w:pStyle w:val="Encabezado"/>
    </w:pPr>
    <w:r w:rsidRPr="0030699B">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7E12" w:rsidRDefault="00017E1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17E12" w:rsidRDefault="00017E1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17E12" w:rsidRPr="00275FC6" w:rsidRDefault="00017E1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17E12" w:rsidRPr="00275FC6" w:rsidRDefault="00017E12" w:rsidP="00040466">
                    <w:pPr>
                      <w:jc w:val="both"/>
                      <w:rPr>
                        <w:rFonts w:ascii="Soberana Titular" w:hAnsi="Soberana Titular" w:cs="Arial"/>
                        <w:color w:val="808080" w:themeColor="background1" w:themeShade="80"/>
                        <w:sz w:val="42"/>
                        <w:szCs w:val="42"/>
                      </w:rPr>
                    </w:pPr>
                  </w:p>
                </w:txbxContent>
              </v:textbox>
            </v:shape>
          </v:group>
        </v:group>
      </w:pict>
    </w:r>
    <w:r w:rsidRPr="0030699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30699B" w:rsidP="0013011C">
    <w:pPr>
      <w:pStyle w:val="Encabezado"/>
      <w:jc w:val="center"/>
      <w:rPr>
        <w:rFonts w:ascii="Soberana Sans Light" w:hAnsi="Soberana Sans Light"/>
      </w:rPr>
    </w:pPr>
    <w:r w:rsidRPr="0030699B">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17E12">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0482"/>
    <o:shapelayout v:ext="edit">
      <o:idmap v:ext="edit" data="4"/>
    </o:shapelayout>
  </w:hdrShapeDefaults>
  <w:footnotePr>
    <w:footnote w:id="-1"/>
    <w:footnote w:id="0"/>
  </w:footnotePr>
  <w:endnotePr>
    <w:endnote w:id="-1"/>
    <w:endnote w:id="0"/>
  </w:endnotePr>
  <w:compat/>
  <w:rsids>
    <w:rsidRoot w:val="00EA5418"/>
    <w:rsid w:val="00001107"/>
    <w:rsid w:val="00017E12"/>
    <w:rsid w:val="000354F7"/>
    <w:rsid w:val="00040466"/>
    <w:rsid w:val="00045A10"/>
    <w:rsid w:val="00066308"/>
    <w:rsid w:val="0007546A"/>
    <w:rsid w:val="0008154A"/>
    <w:rsid w:val="0009123A"/>
    <w:rsid w:val="000956FD"/>
    <w:rsid w:val="000E15D1"/>
    <w:rsid w:val="000F4FC0"/>
    <w:rsid w:val="00124DC5"/>
    <w:rsid w:val="00125C05"/>
    <w:rsid w:val="0013011C"/>
    <w:rsid w:val="00135339"/>
    <w:rsid w:val="00141298"/>
    <w:rsid w:val="0014326A"/>
    <w:rsid w:val="00143669"/>
    <w:rsid w:val="00144C64"/>
    <w:rsid w:val="00152572"/>
    <w:rsid w:val="00153FA6"/>
    <w:rsid w:val="00165BB4"/>
    <w:rsid w:val="00166AF9"/>
    <w:rsid w:val="00177BA4"/>
    <w:rsid w:val="00182AAB"/>
    <w:rsid w:val="00190F3B"/>
    <w:rsid w:val="001A6008"/>
    <w:rsid w:val="001B0DCF"/>
    <w:rsid w:val="001B1B72"/>
    <w:rsid w:val="001C6FD8"/>
    <w:rsid w:val="001E7072"/>
    <w:rsid w:val="001F0CD6"/>
    <w:rsid w:val="001F394D"/>
    <w:rsid w:val="001F420B"/>
    <w:rsid w:val="00201D43"/>
    <w:rsid w:val="00204C86"/>
    <w:rsid w:val="002446B2"/>
    <w:rsid w:val="00264426"/>
    <w:rsid w:val="00277C1A"/>
    <w:rsid w:val="002A70B3"/>
    <w:rsid w:val="003042BD"/>
    <w:rsid w:val="0030665B"/>
    <w:rsid w:val="0030699B"/>
    <w:rsid w:val="003120C3"/>
    <w:rsid w:val="003139DD"/>
    <w:rsid w:val="0034376D"/>
    <w:rsid w:val="00355634"/>
    <w:rsid w:val="00356398"/>
    <w:rsid w:val="00372F40"/>
    <w:rsid w:val="00385E4D"/>
    <w:rsid w:val="003873E2"/>
    <w:rsid w:val="0039328E"/>
    <w:rsid w:val="00393BFE"/>
    <w:rsid w:val="00396C2B"/>
    <w:rsid w:val="003A0303"/>
    <w:rsid w:val="003C6E79"/>
    <w:rsid w:val="003D1885"/>
    <w:rsid w:val="003D1957"/>
    <w:rsid w:val="003D5DBF"/>
    <w:rsid w:val="003E7FD0"/>
    <w:rsid w:val="003F0EA4"/>
    <w:rsid w:val="00424CD6"/>
    <w:rsid w:val="004311BE"/>
    <w:rsid w:val="00437E4A"/>
    <w:rsid w:val="0044253C"/>
    <w:rsid w:val="00451A0E"/>
    <w:rsid w:val="00455080"/>
    <w:rsid w:val="004714CF"/>
    <w:rsid w:val="00484C0D"/>
    <w:rsid w:val="00486559"/>
    <w:rsid w:val="00487081"/>
    <w:rsid w:val="00490B7F"/>
    <w:rsid w:val="004969EC"/>
    <w:rsid w:val="004973F3"/>
    <w:rsid w:val="00497D8B"/>
    <w:rsid w:val="004B0790"/>
    <w:rsid w:val="004D41B8"/>
    <w:rsid w:val="004E6F60"/>
    <w:rsid w:val="004F0005"/>
    <w:rsid w:val="004F5641"/>
    <w:rsid w:val="004F70E3"/>
    <w:rsid w:val="00501F28"/>
    <w:rsid w:val="00516264"/>
    <w:rsid w:val="00522632"/>
    <w:rsid w:val="00522EF3"/>
    <w:rsid w:val="00540418"/>
    <w:rsid w:val="00540BA1"/>
    <w:rsid w:val="005463AE"/>
    <w:rsid w:val="0055138B"/>
    <w:rsid w:val="00553048"/>
    <w:rsid w:val="00565F48"/>
    <w:rsid w:val="0056698C"/>
    <w:rsid w:val="00566C60"/>
    <w:rsid w:val="00574266"/>
    <w:rsid w:val="00584EE8"/>
    <w:rsid w:val="005B7571"/>
    <w:rsid w:val="005C0988"/>
    <w:rsid w:val="005C29B1"/>
    <w:rsid w:val="005D3D25"/>
    <w:rsid w:val="005D565C"/>
    <w:rsid w:val="005E43D7"/>
    <w:rsid w:val="005E4876"/>
    <w:rsid w:val="005E4BF8"/>
    <w:rsid w:val="006041CA"/>
    <w:rsid w:val="00617D57"/>
    <w:rsid w:val="00621E3C"/>
    <w:rsid w:val="006B022A"/>
    <w:rsid w:val="006B1FE7"/>
    <w:rsid w:val="006E77DD"/>
    <w:rsid w:val="006F44DD"/>
    <w:rsid w:val="007013F4"/>
    <w:rsid w:val="00710EFF"/>
    <w:rsid w:val="007146B8"/>
    <w:rsid w:val="0072778B"/>
    <w:rsid w:val="00734660"/>
    <w:rsid w:val="007621F5"/>
    <w:rsid w:val="00782DB7"/>
    <w:rsid w:val="00794B5D"/>
    <w:rsid w:val="0079582C"/>
    <w:rsid w:val="0079730F"/>
    <w:rsid w:val="007B4361"/>
    <w:rsid w:val="007D519F"/>
    <w:rsid w:val="007D6E9A"/>
    <w:rsid w:val="007E4076"/>
    <w:rsid w:val="00800E19"/>
    <w:rsid w:val="008040E7"/>
    <w:rsid w:val="00811DAC"/>
    <w:rsid w:val="0082063A"/>
    <w:rsid w:val="00840DB9"/>
    <w:rsid w:val="00857E8E"/>
    <w:rsid w:val="00862BD1"/>
    <w:rsid w:val="00880C97"/>
    <w:rsid w:val="0089054E"/>
    <w:rsid w:val="008A0CC8"/>
    <w:rsid w:val="008A3776"/>
    <w:rsid w:val="008A6E4D"/>
    <w:rsid w:val="008A793D"/>
    <w:rsid w:val="008B0017"/>
    <w:rsid w:val="008B4933"/>
    <w:rsid w:val="008B4E47"/>
    <w:rsid w:val="008B6B51"/>
    <w:rsid w:val="008D1705"/>
    <w:rsid w:val="008E3652"/>
    <w:rsid w:val="008F6D58"/>
    <w:rsid w:val="009025DA"/>
    <w:rsid w:val="00925DD4"/>
    <w:rsid w:val="00934456"/>
    <w:rsid w:val="0093492C"/>
    <w:rsid w:val="00957043"/>
    <w:rsid w:val="00971080"/>
    <w:rsid w:val="00991903"/>
    <w:rsid w:val="00993E5D"/>
    <w:rsid w:val="009D5D4C"/>
    <w:rsid w:val="009D6C20"/>
    <w:rsid w:val="009E65F7"/>
    <w:rsid w:val="009F23C4"/>
    <w:rsid w:val="009F4CCD"/>
    <w:rsid w:val="00A110CD"/>
    <w:rsid w:val="00A363B6"/>
    <w:rsid w:val="00A442A4"/>
    <w:rsid w:val="00A46BF5"/>
    <w:rsid w:val="00A54037"/>
    <w:rsid w:val="00AA050A"/>
    <w:rsid w:val="00AA1BE7"/>
    <w:rsid w:val="00AC6A88"/>
    <w:rsid w:val="00AF0C16"/>
    <w:rsid w:val="00AF1D6B"/>
    <w:rsid w:val="00AF35B4"/>
    <w:rsid w:val="00B075BD"/>
    <w:rsid w:val="00B13A03"/>
    <w:rsid w:val="00B146E2"/>
    <w:rsid w:val="00B25926"/>
    <w:rsid w:val="00B317DB"/>
    <w:rsid w:val="00B47971"/>
    <w:rsid w:val="00B5183F"/>
    <w:rsid w:val="00B61549"/>
    <w:rsid w:val="00B649DC"/>
    <w:rsid w:val="00B77DD6"/>
    <w:rsid w:val="00B849EE"/>
    <w:rsid w:val="00B84D02"/>
    <w:rsid w:val="00B93D3F"/>
    <w:rsid w:val="00BA2940"/>
    <w:rsid w:val="00BB2281"/>
    <w:rsid w:val="00BB6BE1"/>
    <w:rsid w:val="00BC21A9"/>
    <w:rsid w:val="00BE3E5F"/>
    <w:rsid w:val="00BF4162"/>
    <w:rsid w:val="00C16E53"/>
    <w:rsid w:val="00C313E0"/>
    <w:rsid w:val="00C431B4"/>
    <w:rsid w:val="00C70BD2"/>
    <w:rsid w:val="00C710EF"/>
    <w:rsid w:val="00C825B4"/>
    <w:rsid w:val="00C8595E"/>
    <w:rsid w:val="00C86C59"/>
    <w:rsid w:val="00C91C5A"/>
    <w:rsid w:val="00C92678"/>
    <w:rsid w:val="00CB62C7"/>
    <w:rsid w:val="00CC20B1"/>
    <w:rsid w:val="00CC5E0F"/>
    <w:rsid w:val="00CD2DFC"/>
    <w:rsid w:val="00CD6D9A"/>
    <w:rsid w:val="00CF4A8F"/>
    <w:rsid w:val="00D00E92"/>
    <w:rsid w:val="00D0556F"/>
    <w:rsid w:val="00D055EC"/>
    <w:rsid w:val="00D118B8"/>
    <w:rsid w:val="00D14D9C"/>
    <w:rsid w:val="00D1650F"/>
    <w:rsid w:val="00D32BA5"/>
    <w:rsid w:val="00D43007"/>
    <w:rsid w:val="00D44728"/>
    <w:rsid w:val="00D562FF"/>
    <w:rsid w:val="00D7009B"/>
    <w:rsid w:val="00DA2766"/>
    <w:rsid w:val="00DA4E30"/>
    <w:rsid w:val="00DA53D9"/>
    <w:rsid w:val="00DA7BB8"/>
    <w:rsid w:val="00DB07EB"/>
    <w:rsid w:val="00DD4F8D"/>
    <w:rsid w:val="00DF56C9"/>
    <w:rsid w:val="00E17F8E"/>
    <w:rsid w:val="00E30318"/>
    <w:rsid w:val="00E3182C"/>
    <w:rsid w:val="00E32708"/>
    <w:rsid w:val="00E3323B"/>
    <w:rsid w:val="00E71824"/>
    <w:rsid w:val="00E93FE1"/>
    <w:rsid w:val="00EA2415"/>
    <w:rsid w:val="00EA5418"/>
    <w:rsid w:val="00EB2C13"/>
    <w:rsid w:val="00EE3098"/>
    <w:rsid w:val="00EE46FB"/>
    <w:rsid w:val="00F061F7"/>
    <w:rsid w:val="00F17C0D"/>
    <w:rsid w:val="00F27325"/>
    <w:rsid w:val="00F62A81"/>
    <w:rsid w:val="00F6683B"/>
    <w:rsid w:val="00F710F2"/>
    <w:rsid w:val="00F71269"/>
    <w:rsid w:val="00F72407"/>
    <w:rsid w:val="00F755D0"/>
    <w:rsid w:val="00F76E81"/>
    <w:rsid w:val="00F848FB"/>
    <w:rsid w:val="00F84D05"/>
    <w:rsid w:val="00FA1AFC"/>
    <w:rsid w:val="00FA71EF"/>
    <w:rsid w:val="00FB1010"/>
    <w:rsid w:val="00FC669D"/>
    <w:rsid w:val="00FD5A63"/>
    <w:rsid w:val="00FE49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1A0A-8C5F-41E5-AFB1-EA035840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18</Pages>
  <Words>2273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85</cp:revision>
  <cp:lastPrinted>2016-04-05T13:17:00Z</cp:lastPrinted>
  <dcterms:created xsi:type="dcterms:W3CDTF">2014-08-29T13:13:00Z</dcterms:created>
  <dcterms:modified xsi:type="dcterms:W3CDTF">2016-04-05T13:20:00Z</dcterms:modified>
</cp:coreProperties>
</file>