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304B20" w:rsidRPr="001E22CD">
        <w:rPr>
          <w:rFonts w:ascii="Arial" w:hAnsi="Arial" w:cs="Arial"/>
          <w:sz w:val="18"/>
          <w:szCs w:val="18"/>
        </w:rPr>
        <w:t>Presidenta por</w:t>
      </w:r>
      <w:r w:rsidRPr="001E22CD">
        <w:rPr>
          <w:rFonts w:ascii="Arial" w:hAnsi="Arial" w:cs="Arial"/>
          <w:sz w:val="18"/>
          <w:szCs w:val="18"/>
        </w:rPr>
        <w:t xml:space="preserve"> un periodo de 7 años, Denisse Hernández Blas, Dora </w:t>
      </w:r>
      <w:r w:rsidR="00304B20" w:rsidRPr="001E22CD">
        <w:rPr>
          <w:rFonts w:ascii="Arial" w:hAnsi="Arial" w:cs="Arial"/>
          <w:sz w:val="18"/>
          <w:szCs w:val="18"/>
        </w:rPr>
        <w:t>Rodríguez Soriano</w:t>
      </w:r>
      <w:r w:rsidRPr="001E22CD">
        <w:rPr>
          <w:rFonts w:ascii="Arial" w:hAnsi="Arial" w:cs="Arial"/>
          <w:sz w:val="18"/>
          <w:szCs w:val="18"/>
        </w:rPr>
        <w:t xml:space="preserve"> y Norberto Sánchez Briones Consejeros Electorales por un periodo de 6 años; Yareli Álvarez Meza, </w:t>
      </w:r>
      <w:r w:rsidR="00250B88">
        <w:rPr>
          <w:rFonts w:ascii="Arial" w:hAnsi="Arial" w:cs="Arial"/>
          <w:sz w:val="18"/>
          <w:szCs w:val="18"/>
        </w:rPr>
        <w:t xml:space="preserve">Raymundo Amador </w:t>
      </w:r>
      <w:r w:rsidR="00304B20">
        <w:rPr>
          <w:rFonts w:ascii="Arial" w:hAnsi="Arial" w:cs="Arial"/>
          <w:sz w:val="18"/>
          <w:szCs w:val="18"/>
        </w:rPr>
        <w:t xml:space="preserve">García </w:t>
      </w:r>
      <w:r w:rsidR="00304B20" w:rsidRPr="001E22CD">
        <w:rPr>
          <w:rFonts w:ascii="Arial" w:hAnsi="Arial" w:cs="Arial"/>
          <w:sz w:val="18"/>
          <w:szCs w:val="18"/>
        </w:rPr>
        <w:t>Consejeros</w:t>
      </w:r>
      <w:r w:rsidRPr="001E22CD">
        <w:rPr>
          <w:rFonts w:ascii="Arial" w:hAnsi="Arial" w:cs="Arial"/>
          <w:sz w:val="18"/>
          <w:szCs w:val="18"/>
        </w:rPr>
        <w:t xml:space="preserve"> Electorales por un periodo de 3 años</w:t>
      </w:r>
      <w:r w:rsidR="00304B20">
        <w:rPr>
          <w:rFonts w:ascii="Arial" w:hAnsi="Arial" w:cs="Arial"/>
          <w:sz w:val="18"/>
          <w:szCs w:val="18"/>
        </w:rPr>
        <w:t xml:space="preserve">; Juan Carlos </w:t>
      </w:r>
      <w:proofErr w:type="spellStart"/>
      <w:r w:rsidR="00304B20">
        <w:rPr>
          <w:rFonts w:ascii="Arial" w:hAnsi="Arial" w:cs="Arial"/>
          <w:sz w:val="18"/>
          <w:szCs w:val="18"/>
        </w:rPr>
        <w:t>Mi</w:t>
      </w:r>
      <w:bookmarkStart w:id="0" w:name="_GoBack"/>
      <w:bookmarkEnd w:id="0"/>
      <w:r w:rsidR="00304B20">
        <w:rPr>
          <w:rFonts w:ascii="Arial" w:hAnsi="Arial" w:cs="Arial"/>
          <w:sz w:val="18"/>
          <w:szCs w:val="18"/>
        </w:rPr>
        <w:t>nor</w:t>
      </w:r>
      <w:proofErr w:type="spellEnd"/>
      <w:r w:rsidR="00304B20">
        <w:rPr>
          <w:rFonts w:ascii="Arial" w:hAnsi="Arial" w:cs="Arial"/>
          <w:sz w:val="18"/>
          <w:szCs w:val="18"/>
        </w:rPr>
        <w:t xml:space="preserve"> Torres Consejero Electoral </w:t>
      </w:r>
      <w:proofErr w:type="spellStart"/>
      <w:r w:rsidR="00304B20">
        <w:rPr>
          <w:rFonts w:ascii="Arial" w:hAnsi="Arial" w:cs="Arial"/>
          <w:sz w:val="18"/>
          <w:szCs w:val="18"/>
        </w:rPr>
        <w:t>po</w:t>
      </w:r>
      <w:proofErr w:type="spellEnd"/>
      <w:r w:rsidR="00304B20">
        <w:rPr>
          <w:rFonts w:ascii="Arial" w:hAnsi="Arial" w:cs="Arial"/>
          <w:sz w:val="18"/>
          <w:szCs w:val="18"/>
        </w:rPr>
        <w:t xml:space="preserve"> un periodo de 7 años</w:t>
      </w:r>
      <w:r w:rsidRPr="001E22CD">
        <w:rPr>
          <w:rFonts w:ascii="Arial" w:hAnsi="Arial" w:cs="Arial"/>
          <w:sz w:val="18"/>
          <w:szCs w:val="18"/>
        </w:rPr>
        <w:t>.</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rsidR="00E827B6" w:rsidRDefault="00E827B6"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486AE1" w:rsidRDefault="00486AE1" w:rsidP="005117F4"/>
    <w:p w:rsidR="00056042" w:rsidRDefault="00056042">
      <w:pPr>
        <w:rPr>
          <w:rFonts w:ascii="Soberana Sans Light" w:hAnsi="Soberana Sans Light"/>
        </w:rPr>
      </w:pPr>
    </w:p>
    <w:p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241" w:rsidRDefault="003E7241" w:rsidP="00EA5418">
      <w:pPr>
        <w:spacing w:after="0" w:line="240" w:lineRule="auto"/>
      </w:pPr>
      <w:r>
        <w:separator/>
      </w:r>
    </w:p>
  </w:endnote>
  <w:endnote w:type="continuationSeparator" w:id="0">
    <w:p w:rsidR="003E7241" w:rsidRDefault="003E724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5EEAF254" wp14:editId="4619A433">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rsidR="007F3AD1" w:rsidRDefault="007F3AD1" w:rsidP="0013011C">
    <w:pPr>
      <w:pStyle w:val="Piedepgina"/>
      <w:jc w:val="center"/>
      <w:rPr>
        <w:rFonts w:ascii="Soberana Sans Light" w:hAnsi="Soberana Sans Light"/>
      </w:rPr>
    </w:pPr>
  </w:p>
  <w:p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304B20" w:rsidRPr="00304B20">
          <w:rPr>
            <w:rFonts w:ascii="Soberana Sans Light" w:hAnsi="Soberana Sans Light"/>
            <w:noProof/>
            <w:lang w:val="es-ES"/>
          </w:rPr>
          <w:t>2</w:t>
        </w:r>
        <w:r w:rsidR="00160FA8"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0E9664C8" wp14:editId="68EE73E8">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rsidR="008E3652" w:rsidRPr="008E3652" w:rsidRDefault="003E7241"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304B20" w:rsidRPr="00304B20">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241" w:rsidRDefault="003E7241" w:rsidP="00EA5418">
      <w:pPr>
        <w:spacing w:after="0" w:line="240" w:lineRule="auto"/>
      </w:pPr>
      <w:r>
        <w:separator/>
      </w:r>
    </w:p>
  </w:footnote>
  <w:footnote w:type="continuationSeparator" w:id="0">
    <w:p w:rsidR="003E7241" w:rsidRDefault="003E724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7F3AD1">
    <w:pPr>
      <w:pStyle w:val="Encabezado"/>
    </w:pPr>
    <w:r>
      <w:rPr>
        <w:noProof/>
        <w:lang w:eastAsia="es-MX"/>
      </w:rPr>
      <mc:AlternateContent>
        <mc:Choice Requires="wps">
          <w:drawing>
            <wp:anchor distT="0" distB="0" distL="114300" distR="114300" simplePos="0" relativeHeight="251673600" behindDoc="0" locked="0" layoutInCell="1" allowOverlap="1" wp14:anchorId="698B2A92" wp14:editId="13FB2F64">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145A6765"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uv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" strokecolor="#622423 [1605]" strokeweight="4.5pt">
              <v:stroke linestyle="thickThin"/>
            </v:line>
          </w:pict>
        </mc:Fallback>
      </mc:AlternateContent>
    </w:r>
    <w:r w:rsidR="006E262D">
      <w:rPr>
        <w:noProof/>
        <w:lang w:eastAsia="es-MX"/>
      </w:rPr>
      <mc:AlternateContent>
        <mc:Choice Requires="wpg">
          <w:drawing>
            <wp:anchor distT="0" distB="0" distL="114300" distR="114300" simplePos="0" relativeHeight="251665408" behindDoc="0" locked="0" layoutInCell="1" allowOverlap="1">
              <wp:simplePos x="0" y="0"/>
              <wp:positionH relativeFrom="column">
                <wp:posOffset>1684020</wp:posOffset>
              </wp:positionH>
              <wp:positionV relativeFrom="paragraph">
                <wp:posOffset>-281305</wp:posOffset>
              </wp:positionV>
              <wp:extent cx="4414520" cy="498475"/>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84096">
                                <w:rPr>
                                  <w:rFonts w:ascii="Soberana Titular" w:hAnsi="Soberana Titular" w:cs="Arial"/>
                                  <w:color w:val="808080" w:themeColor="background1" w:themeShade="80"/>
                                  <w:sz w:val="42"/>
                                  <w:szCs w:val="42"/>
                                </w:rPr>
                                <w:t>7</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84096">
                          <w:rPr>
                            <w:rFonts w:ascii="Soberana Titular" w:hAnsi="Soberana Titular" w:cs="Arial"/>
                            <w:color w:val="808080" w:themeColor="background1" w:themeShade="80"/>
                            <w:sz w:val="42"/>
                            <w:szCs w:val="42"/>
                          </w:rPr>
                          <w:t>7</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6C0" w:rsidRPr="0013011C" w:rsidRDefault="00BB76C0" w:rsidP="00BB76C0">
    <w:pPr>
      <w:pStyle w:val="Encabezado"/>
      <w:jc w:val="center"/>
      <w:rPr>
        <w:rFonts w:ascii="Soberana Sans Light" w:hAnsi="Soberana Sans Light"/>
      </w:rPr>
    </w:pPr>
    <w:r>
      <w:rPr>
        <w:noProof/>
      </w:rPr>
      <mc:AlternateContent>
        <mc:Choice Requires="wps">
          <w:drawing>
            <wp:anchor distT="0" distB="0" distL="114300" distR="114300" simplePos="0" relativeHeight="251677696" behindDoc="0" locked="0" layoutInCell="1" allowOverlap="1" wp14:anchorId="3B361DB0" wp14:editId="261DB451">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7E210437"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Vi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" strokecolor="#622423 [1605]" strokeweight="4.5pt">
              <v:stroke linestyle="thickThin"/>
              <w10:wrap anchorx="page"/>
            </v:line>
          </w:pict>
        </mc:Fallback>
      </mc:AlternateContent>
    </w:r>
    <w:r w:rsidRPr="00732724">
      <w:rPr>
        <w:noProof/>
      </w:rPr>
      <w:drawing>
        <wp:anchor distT="0" distB="0" distL="114300" distR="114300" simplePos="0" relativeHeight="251679744" behindDoc="1" locked="0" layoutInCell="1" allowOverlap="1" wp14:anchorId="5C9B56EC" wp14:editId="4E629139">
          <wp:simplePos x="0" y="0"/>
          <wp:positionH relativeFrom="margin">
            <wp:align>right</wp:align>
          </wp:positionH>
          <wp:positionV relativeFrom="paragraph">
            <wp:posOffset>-410210</wp:posOffset>
          </wp:positionV>
          <wp:extent cx="2145600" cy="507600"/>
          <wp:effectExtent l="0" t="0" r="0" b="6985"/>
          <wp:wrapNone/>
          <wp:docPr id="3" name="Imagen 3"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366A0A5B" wp14:editId="1D1C05F3">
          <wp:simplePos x="0" y="0"/>
          <wp:positionH relativeFrom="margin">
            <wp:align>left</wp:align>
          </wp:positionH>
          <wp:positionV relativeFrom="paragraph">
            <wp:posOffset>-372110</wp:posOffset>
          </wp:positionV>
          <wp:extent cx="2144340" cy="508875"/>
          <wp:effectExtent l="0" t="0" r="889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rFonts w:ascii="Soberana Sans Light" w:hAnsi="Soberana Sans Light"/>
      </w:rPr>
      <w:t xml:space="preserve"> </w:t>
    </w:r>
    <w:r w:rsidRPr="009756AF">
      <w:rPr>
        <w:rFonts w:ascii="Soberana Sans Light" w:hAnsi="Soberana Sans Light"/>
        <w:b/>
        <w:bCs/>
        <w:lang w:val="es-ES"/>
      </w:rPr>
      <w:t>GOBIERNO DEL ESTADO DE TLAXCALA</w:t>
    </w:r>
  </w:p>
  <w:p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13011C"/>
    <w:rsid w:val="001334CE"/>
    <w:rsid w:val="00160FA8"/>
    <w:rsid w:val="001646D9"/>
    <w:rsid w:val="001B1B72"/>
    <w:rsid w:val="001C0DBA"/>
    <w:rsid w:val="00233D4E"/>
    <w:rsid w:val="00250B88"/>
    <w:rsid w:val="002865A7"/>
    <w:rsid w:val="002A70B3"/>
    <w:rsid w:val="002E5897"/>
    <w:rsid w:val="00304B20"/>
    <w:rsid w:val="00307635"/>
    <w:rsid w:val="00342994"/>
    <w:rsid w:val="00355821"/>
    <w:rsid w:val="003575A4"/>
    <w:rsid w:val="003610E0"/>
    <w:rsid w:val="00372F40"/>
    <w:rsid w:val="00384096"/>
    <w:rsid w:val="003C4151"/>
    <w:rsid w:val="003C686A"/>
    <w:rsid w:val="003D28E8"/>
    <w:rsid w:val="003D5DBF"/>
    <w:rsid w:val="003E7241"/>
    <w:rsid w:val="003E7FD0"/>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23FA"/>
    <w:rsid w:val="006B729B"/>
    <w:rsid w:val="006E262D"/>
    <w:rsid w:val="006E6B8E"/>
    <w:rsid w:val="006E77DD"/>
    <w:rsid w:val="0079582C"/>
    <w:rsid w:val="007D6E9A"/>
    <w:rsid w:val="007F3AD1"/>
    <w:rsid w:val="00850E90"/>
    <w:rsid w:val="00887336"/>
    <w:rsid w:val="008A6E4D"/>
    <w:rsid w:val="008B0017"/>
    <w:rsid w:val="008D4272"/>
    <w:rsid w:val="008E3652"/>
    <w:rsid w:val="009565A5"/>
    <w:rsid w:val="009A03B4"/>
    <w:rsid w:val="00A06D98"/>
    <w:rsid w:val="00A14B74"/>
    <w:rsid w:val="00AB13B7"/>
    <w:rsid w:val="00B144DA"/>
    <w:rsid w:val="00B17423"/>
    <w:rsid w:val="00B42A02"/>
    <w:rsid w:val="00B849EE"/>
    <w:rsid w:val="00BB76C0"/>
    <w:rsid w:val="00C44F01"/>
    <w:rsid w:val="00CA187D"/>
    <w:rsid w:val="00CA2D37"/>
    <w:rsid w:val="00CC5CB6"/>
    <w:rsid w:val="00CF769B"/>
    <w:rsid w:val="00D055EC"/>
    <w:rsid w:val="00D2542C"/>
    <w:rsid w:val="00D404ED"/>
    <w:rsid w:val="00D51261"/>
    <w:rsid w:val="00D748D3"/>
    <w:rsid w:val="00DD230F"/>
    <w:rsid w:val="00E22E6E"/>
    <w:rsid w:val="00E32708"/>
    <w:rsid w:val="00E827B6"/>
    <w:rsid w:val="00EA5418"/>
    <w:rsid w:val="00F02CAA"/>
    <w:rsid w:val="00F96944"/>
    <w:rsid w:val="00FD43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6D24D"/>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FDD0-820F-4B30-90D8-B0AB871E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pedro sanche gomez</cp:lastModifiedBy>
  <cp:revision>5</cp:revision>
  <cp:lastPrinted>2016-04-28T18:57:00Z</cp:lastPrinted>
  <dcterms:created xsi:type="dcterms:W3CDTF">2017-07-11T16:56:00Z</dcterms:created>
  <dcterms:modified xsi:type="dcterms:W3CDTF">2018-01-08T22:28:00Z</dcterms:modified>
</cp:coreProperties>
</file>