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18" w:rsidRDefault="00056042" w:rsidP="00372F40">
      <w:pPr>
        <w:jc w:val="center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b/>
          <w:sz w:val="18"/>
          <w:szCs w:val="18"/>
        </w:rPr>
        <w:t>Introducción</w:t>
      </w:r>
    </w:p>
    <w:p w:rsidR="00BD6A5B" w:rsidRPr="00B372A2" w:rsidRDefault="00BD6A5B" w:rsidP="00BD6A5B">
      <w:pPr>
        <w:jc w:val="both"/>
        <w:rPr>
          <w:rFonts w:ascii="Arial" w:hAnsi="Arial" w:cs="Arial"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 xml:space="preserve">El Fondo Macro para el Desarrollo Integral de Tlaxcala </w:t>
      </w:r>
      <w:r w:rsidR="009E16FC" w:rsidRPr="00B372A2">
        <w:rPr>
          <w:rFonts w:ascii="Arial" w:hAnsi="Arial" w:cs="Arial"/>
          <w:b/>
          <w:sz w:val="18"/>
          <w:szCs w:val="18"/>
        </w:rPr>
        <w:t>“FOMTLAX”,</w:t>
      </w:r>
      <w:r w:rsidR="009E16FC" w:rsidRPr="00B372A2">
        <w:rPr>
          <w:rFonts w:ascii="Arial" w:hAnsi="Arial" w:cs="Arial"/>
          <w:sz w:val="18"/>
          <w:szCs w:val="18"/>
        </w:rPr>
        <w:t xml:space="preserve"> </w:t>
      </w:r>
      <w:r w:rsidRPr="00B372A2">
        <w:rPr>
          <w:rFonts w:ascii="Arial" w:hAnsi="Arial" w:cs="Arial"/>
          <w:sz w:val="18"/>
          <w:szCs w:val="18"/>
        </w:rPr>
        <w:t xml:space="preserve">es el Organismo Público Descentralizado de la Administración Pública Estatal que opera recursos financieros para impulsar proyectos productivos y fortalecer el desarrollo económico y social de la entidad. </w:t>
      </w:r>
    </w:p>
    <w:p w:rsidR="00BD6A5B" w:rsidRPr="00B372A2" w:rsidRDefault="00BD6A5B" w:rsidP="00BD6A5B">
      <w:pPr>
        <w:jc w:val="both"/>
        <w:rPr>
          <w:rFonts w:ascii="Arial" w:hAnsi="Arial" w:cs="Arial"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 xml:space="preserve">A través del “Programa de Proyectos Productivos”, otorga créditos blandos a </w:t>
      </w:r>
      <w:proofErr w:type="gramStart"/>
      <w:r w:rsidRPr="00B372A2">
        <w:rPr>
          <w:rFonts w:ascii="Arial" w:hAnsi="Arial" w:cs="Arial"/>
          <w:sz w:val="18"/>
          <w:szCs w:val="18"/>
        </w:rPr>
        <w:t>las micro</w:t>
      </w:r>
      <w:proofErr w:type="gramEnd"/>
      <w:r w:rsidRPr="00B372A2">
        <w:rPr>
          <w:rFonts w:ascii="Arial" w:hAnsi="Arial" w:cs="Arial"/>
          <w:sz w:val="18"/>
          <w:szCs w:val="18"/>
        </w:rPr>
        <w:t xml:space="preserve"> y pequeñas empresas, promoviendo proyectos de inversión que fomentan el empleo, como uno de los ejes rectores del Plan Estatal de Desarrollo 2017-2021.</w:t>
      </w:r>
    </w:p>
    <w:p w:rsidR="00BD6A5B" w:rsidRDefault="00BD6A5B" w:rsidP="00BD6A5B">
      <w:pPr>
        <w:jc w:val="both"/>
        <w:rPr>
          <w:rFonts w:ascii="Arial" w:hAnsi="Arial" w:cs="Arial"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 xml:space="preserve">Gracias al pago oportuno de los acreditados que han sido beneficiados con un crédito, se cuenta con un fondo </w:t>
      </w:r>
      <w:proofErr w:type="spellStart"/>
      <w:r w:rsidRPr="00B372A2">
        <w:rPr>
          <w:rFonts w:ascii="Arial" w:hAnsi="Arial" w:cs="Arial"/>
          <w:sz w:val="18"/>
          <w:szCs w:val="18"/>
        </w:rPr>
        <w:t>revolvente</w:t>
      </w:r>
      <w:proofErr w:type="spellEnd"/>
      <w:r w:rsidRPr="00B372A2">
        <w:rPr>
          <w:rFonts w:ascii="Arial" w:hAnsi="Arial" w:cs="Arial"/>
          <w:sz w:val="18"/>
          <w:szCs w:val="18"/>
        </w:rPr>
        <w:t xml:space="preserve"> cuyos recursos se destinan a impulsar a los emprendedores y a fortalecer el desarrollo de unidades productivas en operación, que por sus características tienen limitadas posibilidades de acceder a la banca comercial o de desarrollo, ofreciéndoles a los solicitantes tasas de interés bajas que les permiten inyectar recursos frescos a sus actividades económicas. Las actividades que se financian son agrícolas, ganaderas, comerciales, industriales y de servicios. </w:t>
      </w:r>
    </w:p>
    <w:p w:rsidR="00C85A3B" w:rsidRPr="00C85A3B" w:rsidRDefault="00C85A3B" w:rsidP="00C85A3B">
      <w:pPr>
        <w:jc w:val="both"/>
        <w:rPr>
          <w:rFonts w:ascii="Arial" w:hAnsi="Arial" w:cs="Arial"/>
          <w:sz w:val="18"/>
          <w:szCs w:val="18"/>
        </w:rPr>
      </w:pPr>
      <w:r w:rsidRPr="00C85A3B">
        <w:rPr>
          <w:rFonts w:ascii="Arial" w:hAnsi="Arial" w:cs="Arial"/>
          <w:sz w:val="18"/>
          <w:szCs w:val="18"/>
        </w:rPr>
        <w:t>De enero al mes de diciembre del año en curso, se han otorgado 904 créditos, con una inversión superior a 4</w:t>
      </w:r>
      <w:r w:rsidR="00B166A9">
        <w:rPr>
          <w:rFonts w:ascii="Arial" w:hAnsi="Arial" w:cs="Arial"/>
          <w:sz w:val="18"/>
          <w:szCs w:val="18"/>
        </w:rPr>
        <w:t>5.2</w:t>
      </w:r>
      <w:r w:rsidRPr="00C85A3B">
        <w:rPr>
          <w:rFonts w:ascii="Arial" w:hAnsi="Arial" w:cs="Arial"/>
          <w:sz w:val="18"/>
          <w:szCs w:val="18"/>
        </w:rPr>
        <w:t xml:space="preserve"> MDP, en beneficio de más de 7,000 personas. </w:t>
      </w:r>
    </w:p>
    <w:p w:rsidR="00BD6A5B" w:rsidRPr="00B372A2" w:rsidRDefault="00BD6A5B" w:rsidP="00BD6A5B">
      <w:pPr>
        <w:jc w:val="both"/>
        <w:rPr>
          <w:rFonts w:ascii="Arial" w:hAnsi="Arial" w:cs="Arial"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Con la directriz del Ejecutivo del Estado, el FOMTLAX refrenda su compromiso con la ciudadanía para acercar el financiamiento a los emprendedores y microempresarios, a fin de que continúen desarrollando sus unidades productivas para mejorar sus ingresos y por ende la calidad de vida de las familias tlaxcaltecas, construyendo y creciendo juntos hacia un mejor Tlaxcala.</w:t>
      </w:r>
    </w:p>
    <w:p w:rsidR="00F474E9" w:rsidRDefault="00ED65D7" w:rsidP="00F474E9">
      <w:pPr>
        <w:jc w:val="both"/>
        <w:rPr>
          <w:rFonts w:ascii="Arial" w:hAnsi="Arial" w:cs="Arial"/>
          <w:sz w:val="18"/>
          <w:szCs w:val="18"/>
        </w:rPr>
      </w:pPr>
      <w:r w:rsidRPr="00B372A2">
        <w:rPr>
          <w:rFonts w:ascii="Arial" w:eastAsia="Calibri" w:hAnsi="Arial" w:cs="Arial"/>
          <w:sz w:val="18"/>
          <w:szCs w:val="18"/>
        </w:rPr>
        <w:t xml:space="preserve">En cumplimiento a la </w:t>
      </w:r>
      <w:r w:rsidRPr="00B372A2">
        <w:rPr>
          <w:rFonts w:ascii="Arial" w:eastAsia="Calibri" w:hAnsi="Arial" w:cs="Arial"/>
          <w:b/>
          <w:sz w:val="18"/>
          <w:szCs w:val="18"/>
        </w:rPr>
        <w:t>Ley General de Contabilidad Gubernamental</w:t>
      </w:r>
      <w:r w:rsidR="000454EA">
        <w:rPr>
          <w:rFonts w:ascii="Arial" w:eastAsia="Calibri" w:hAnsi="Arial" w:cs="Arial"/>
          <w:b/>
          <w:sz w:val="18"/>
          <w:szCs w:val="18"/>
        </w:rPr>
        <w:t>,</w:t>
      </w:r>
      <w:r w:rsidRPr="00B372A2">
        <w:rPr>
          <w:rFonts w:ascii="Arial" w:eastAsia="Calibri" w:hAnsi="Arial" w:cs="Arial"/>
          <w:sz w:val="18"/>
          <w:szCs w:val="18"/>
        </w:rPr>
        <w:t xml:space="preserve"> artículo 52 </w:t>
      </w:r>
      <w:r w:rsidR="000454EA">
        <w:rPr>
          <w:rFonts w:ascii="Arial" w:eastAsia="Calibri" w:hAnsi="Arial" w:cs="Arial"/>
          <w:sz w:val="18"/>
          <w:szCs w:val="18"/>
        </w:rPr>
        <w:t xml:space="preserve">que </w:t>
      </w:r>
      <w:r w:rsidRPr="00B372A2">
        <w:rPr>
          <w:rFonts w:ascii="Arial" w:eastAsia="Calibri" w:hAnsi="Arial" w:cs="Arial"/>
          <w:sz w:val="18"/>
          <w:szCs w:val="18"/>
        </w:rPr>
        <w:t>establece “</w:t>
      </w:r>
      <w:r w:rsidR="000454EA">
        <w:rPr>
          <w:rFonts w:ascii="Arial" w:eastAsia="Calibri" w:hAnsi="Arial" w:cs="Arial"/>
          <w:sz w:val="18"/>
          <w:szCs w:val="18"/>
        </w:rPr>
        <w:t>L</w:t>
      </w:r>
      <w:r w:rsidRPr="00B372A2">
        <w:rPr>
          <w:rFonts w:ascii="Arial" w:eastAsia="Calibri" w:hAnsi="Arial" w:cs="Arial"/>
          <w:sz w:val="18"/>
          <w:szCs w:val="18"/>
        </w:rPr>
        <w:t>os estados financieros y demás información presupuestaria, programática y contable que emanen de los registros de los entes públicos, serán la base para la emisión de informes periódicos y para la formulación de la cuenta pública anual</w:t>
      </w:r>
      <w:r w:rsidR="00B372A2" w:rsidRPr="00B372A2">
        <w:rPr>
          <w:rFonts w:ascii="Arial" w:eastAsia="Calibri" w:hAnsi="Arial" w:cs="Arial"/>
          <w:sz w:val="18"/>
          <w:szCs w:val="18"/>
        </w:rPr>
        <w:t xml:space="preserve">. </w:t>
      </w:r>
      <w:r w:rsidR="00B372A2" w:rsidRPr="00B372A2">
        <w:rPr>
          <w:rFonts w:ascii="Arial" w:hAnsi="Arial" w:cs="Arial"/>
          <w:sz w:val="18"/>
          <w:szCs w:val="18"/>
        </w:rPr>
        <w:t>Los entes públicos deberán elaborar los estados de conformidad con las disposiciones normativas y técnicas que emanen de esta Ley o que emita el consejo</w:t>
      </w:r>
      <w:r w:rsidR="00B372A2">
        <w:rPr>
          <w:rFonts w:ascii="Arial" w:hAnsi="Arial" w:cs="Arial"/>
          <w:sz w:val="18"/>
          <w:szCs w:val="18"/>
        </w:rPr>
        <w:t>…</w:t>
      </w:r>
      <w:r w:rsidRPr="00B372A2">
        <w:rPr>
          <w:rFonts w:ascii="Arial" w:eastAsia="Calibri" w:hAnsi="Arial" w:cs="Arial"/>
          <w:sz w:val="18"/>
          <w:szCs w:val="18"/>
        </w:rPr>
        <w:t xml:space="preserve">”, </w:t>
      </w:r>
      <w:r w:rsidR="00F474E9" w:rsidRPr="00B372A2">
        <w:rPr>
          <w:rFonts w:ascii="Arial" w:eastAsia="Calibri" w:hAnsi="Arial" w:cs="Arial"/>
          <w:sz w:val="18"/>
          <w:szCs w:val="18"/>
        </w:rPr>
        <w:t xml:space="preserve"> al </w:t>
      </w:r>
      <w:r w:rsidRPr="00B372A2">
        <w:rPr>
          <w:rFonts w:ascii="Arial" w:hAnsi="Arial" w:cs="Arial"/>
          <w:b/>
          <w:sz w:val="18"/>
          <w:szCs w:val="18"/>
        </w:rPr>
        <w:t xml:space="preserve">Acuerdo </w:t>
      </w:r>
      <w:r w:rsidR="00F474E9" w:rsidRPr="00B372A2">
        <w:rPr>
          <w:rFonts w:ascii="Arial" w:hAnsi="Arial" w:cs="Arial"/>
          <w:b/>
          <w:sz w:val="18"/>
          <w:szCs w:val="18"/>
        </w:rPr>
        <w:t>emitido por el Consejo Nacional de Armonización Contable</w:t>
      </w:r>
      <w:r w:rsidR="00F474E9" w:rsidRPr="00B372A2">
        <w:rPr>
          <w:rFonts w:ascii="Arial" w:hAnsi="Arial" w:cs="Arial"/>
          <w:sz w:val="18"/>
          <w:szCs w:val="18"/>
        </w:rPr>
        <w:t xml:space="preserve"> (CONAC) con fecha 30 de diciembre de 2013,  a través del cual</w:t>
      </w:r>
      <w:r w:rsidRPr="00B372A2">
        <w:rPr>
          <w:rFonts w:ascii="Arial" w:hAnsi="Arial" w:cs="Arial"/>
          <w:sz w:val="18"/>
          <w:szCs w:val="18"/>
        </w:rPr>
        <w:t xml:space="preserve"> se armoniza la estructura de las cuentas públicas, cuyo objeto es armonizar la estructura de la Cuenta Pública del Gobierno Federal, de las Entidades Federativas, de los Ayuntamientos de los Municipios y de los órganos político-administrativos de las demarcaciones territoriales por conducto del Gobierno del Distrito Federal, a que se refieren los artículos 53 y 55 de la Ley General de Contabilidad Gubernamental (LGCG)</w:t>
      </w:r>
      <w:r w:rsidR="00F474E9" w:rsidRPr="00B372A2">
        <w:rPr>
          <w:rFonts w:ascii="Arial" w:hAnsi="Arial" w:cs="Arial"/>
          <w:sz w:val="18"/>
          <w:szCs w:val="18"/>
        </w:rPr>
        <w:t xml:space="preserve">, </w:t>
      </w:r>
      <w:r w:rsidR="009E16FC" w:rsidRPr="00B372A2">
        <w:rPr>
          <w:rFonts w:ascii="Arial" w:hAnsi="Arial" w:cs="Arial"/>
          <w:sz w:val="18"/>
          <w:szCs w:val="18"/>
        </w:rPr>
        <w:t xml:space="preserve">y a la </w:t>
      </w:r>
      <w:r w:rsidR="009E16FC" w:rsidRPr="00B372A2">
        <w:rPr>
          <w:rFonts w:ascii="Arial" w:hAnsi="Arial" w:cs="Arial"/>
          <w:b/>
          <w:sz w:val="18"/>
          <w:szCs w:val="18"/>
        </w:rPr>
        <w:t>Ley de Disciplina Financiera</w:t>
      </w:r>
      <w:r w:rsidR="000454EA">
        <w:rPr>
          <w:rFonts w:ascii="Arial" w:hAnsi="Arial" w:cs="Arial"/>
          <w:b/>
          <w:sz w:val="18"/>
          <w:szCs w:val="18"/>
        </w:rPr>
        <w:t>,</w:t>
      </w:r>
      <w:r w:rsidR="009E16FC" w:rsidRPr="00B372A2">
        <w:rPr>
          <w:rFonts w:ascii="Arial" w:hAnsi="Arial" w:cs="Arial"/>
          <w:sz w:val="18"/>
          <w:szCs w:val="18"/>
        </w:rPr>
        <w:t xml:space="preserve"> artículo 58 </w:t>
      </w:r>
      <w:r w:rsidR="000454EA">
        <w:rPr>
          <w:rFonts w:ascii="Arial" w:hAnsi="Arial" w:cs="Arial"/>
          <w:sz w:val="18"/>
          <w:szCs w:val="18"/>
        </w:rPr>
        <w:t xml:space="preserve">que </w:t>
      </w:r>
      <w:r w:rsidR="009E16FC" w:rsidRPr="00B372A2">
        <w:rPr>
          <w:rFonts w:ascii="Arial" w:hAnsi="Arial" w:cs="Arial"/>
          <w:sz w:val="18"/>
          <w:szCs w:val="18"/>
        </w:rPr>
        <w:t>establece “Los Entes Públicos se sujetarán a la Ley General de Contabilidad Gubernamental para presentar la información financiera en los informes periódicos correspondientes y en su respectiva Cuenta Pública…” s</w:t>
      </w:r>
      <w:r w:rsidR="00F474E9" w:rsidRPr="00B372A2">
        <w:rPr>
          <w:rFonts w:ascii="Arial" w:hAnsi="Arial" w:cs="Arial"/>
          <w:sz w:val="18"/>
          <w:szCs w:val="18"/>
        </w:rPr>
        <w:t xml:space="preserve">e </w:t>
      </w:r>
      <w:r w:rsidR="000454EA">
        <w:rPr>
          <w:rFonts w:ascii="Arial" w:hAnsi="Arial" w:cs="Arial"/>
          <w:sz w:val="18"/>
          <w:szCs w:val="18"/>
        </w:rPr>
        <w:t>presenta</w:t>
      </w:r>
      <w:r w:rsidR="00F474E9" w:rsidRPr="00B372A2">
        <w:rPr>
          <w:rFonts w:ascii="Arial" w:hAnsi="Arial" w:cs="Arial"/>
          <w:sz w:val="18"/>
          <w:szCs w:val="18"/>
        </w:rPr>
        <w:t xml:space="preserve"> la </w:t>
      </w:r>
      <w:r w:rsidR="00F474E9" w:rsidRPr="00B372A2">
        <w:rPr>
          <w:rFonts w:ascii="Arial" w:hAnsi="Arial" w:cs="Arial"/>
          <w:b/>
          <w:sz w:val="18"/>
          <w:szCs w:val="18"/>
        </w:rPr>
        <w:t>Cuenta Pública</w:t>
      </w:r>
      <w:r w:rsidR="00F474E9" w:rsidRPr="00B372A2">
        <w:rPr>
          <w:rFonts w:ascii="Arial" w:hAnsi="Arial" w:cs="Arial"/>
          <w:sz w:val="18"/>
          <w:szCs w:val="18"/>
        </w:rPr>
        <w:t xml:space="preserve"> </w:t>
      </w:r>
      <w:r w:rsidR="000454EA">
        <w:rPr>
          <w:rFonts w:ascii="Arial" w:hAnsi="Arial" w:cs="Arial"/>
          <w:sz w:val="18"/>
          <w:szCs w:val="18"/>
        </w:rPr>
        <w:t xml:space="preserve">de este </w:t>
      </w:r>
      <w:r w:rsidR="000454EA" w:rsidRPr="000454EA">
        <w:rPr>
          <w:rFonts w:ascii="Arial" w:hAnsi="Arial" w:cs="Arial"/>
          <w:b/>
          <w:sz w:val="18"/>
          <w:szCs w:val="18"/>
        </w:rPr>
        <w:t>Fondo</w:t>
      </w:r>
      <w:r w:rsidR="000454EA">
        <w:rPr>
          <w:rFonts w:ascii="Arial" w:hAnsi="Arial" w:cs="Arial"/>
          <w:sz w:val="18"/>
          <w:szCs w:val="18"/>
        </w:rPr>
        <w:t xml:space="preserve">, </w:t>
      </w:r>
      <w:r w:rsidR="00F474E9" w:rsidRPr="00B372A2">
        <w:rPr>
          <w:rFonts w:ascii="Arial" w:hAnsi="Arial" w:cs="Arial"/>
          <w:sz w:val="18"/>
          <w:szCs w:val="18"/>
        </w:rPr>
        <w:t>conforme a lo</w:t>
      </w:r>
      <w:r w:rsidR="000454EA">
        <w:rPr>
          <w:rFonts w:ascii="Arial" w:hAnsi="Arial" w:cs="Arial"/>
          <w:sz w:val="18"/>
          <w:szCs w:val="18"/>
        </w:rPr>
        <w:t>s</w:t>
      </w:r>
      <w:r w:rsidR="00F474E9" w:rsidRPr="00B372A2">
        <w:rPr>
          <w:rFonts w:ascii="Arial" w:hAnsi="Arial" w:cs="Arial"/>
          <w:sz w:val="18"/>
          <w:szCs w:val="18"/>
        </w:rPr>
        <w:t xml:space="preserve"> siguiente</w:t>
      </w:r>
      <w:r w:rsidR="000454EA">
        <w:rPr>
          <w:rFonts w:ascii="Arial" w:hAnsi="Arial" w:cs="Arial"/>
          <w:sz w:val="18"/>
          <w:szCs w:val="18"/>
        </w:rPr>
        <w:t>s apartados</w:t>
      </w:r>
      <w:r w:rsidR="00F474E9" w:rsidRPr="00B372A2">
        <w:rPr>
          <w:rFonts w:ascii="Arial" w:hAnsi="Arial" w:cs="Arial"/>
          <w:sz w:val="18"/>
          <w:szCs w:val="18"/>
        </w:rPr>
        <w:t>:</w:t>
      </w:r>
    </w:p>
    <w:p w:rsidR="00042519" w:rsidRPr="00B372A2" w:rsidRDefault="00042519" w:rsidP="00F474E9">
      <w:pPr>
        <w:jc w:val="both"/>
        <w:rPr>
          <w:rFonts w:ascii="Arial" w:hAnsi="Arial" w:cs="Arial"/>
          <w:sz w:val="18"/>
          <w:szCs w:val="18"/>
        </w:rPr>
      </w:pPr>
    </w:p>
    <w:p w:rsidR="00AD791F" w:rsidRPr="00B372A2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b/>
          <w:sz w:val="18"/>
          <w:szCs w:val="18"/>
        </w:rPr>
        <w:t>Introducción</w:t>
      </w:r>
    </w:p>
    <w:p w:rsidR="00AD791F" w:rsidRPr="00B372A2" w:rsidRDefault="00AD791F" w:rsidP="00AD791F">
      <w:pPr>
        <w:pStyle w:val="Prrafodelista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b/>
          <w:sz w:val="18"/>
          <w:szCs w:val="18"/>
        </w:rPr>
        <w:t xml:space="preserve"> </w:t>
      </w:r>
    </w:p>
    <w:p w:rsidR="00AD791F" w:rsidRPr="00B372A2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b/>
          <w:sz w:val="18"/>
          <w:szCs w:val="18"/>
        </w:rPr>
        <w:t>Información Contable</w:t>
      </w:r>
    </w:p>
    <w:p w:rsidR="00AD791F" w:rsidRPr="00B372A2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de Actividades</w:t>
      </w:r>
    </w:p>
    <w:p w:rsidR="00AD791F" w:rsidRPr="00B372A2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de Situación Financiera</w:t>
      </w:r>
    </w:p>
    <w:p w:rsidR="00AD791F" w:rsidRPr="00B372A2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de Cambios en la Situación Financiera</w:t>
      </w:r>
    </w:p>
    <w:p w:rsidR="00AD791F" w:rsidRPr="00B372A2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Analítico del Activo</w:t>
      </w:r>
    </w:p>
    <w:p w:rsidR="00AD791F" w:rsidRPr="00B372A2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lastRenderedPageBreak/>
        <w:t>Estado Analítico de la Deuda y Otros Pasivos</w:t>
      </w:r>
    </w:p>
    <w:p w:rsidR="00AD791F" w:rsidRPr="00B372A2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de Variación de la Hacienda Pública</w:t>
      </w:r>
    </w:p>
    <w:p w:rsidR="00AD791F" w:rsidRPr="00042519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de Flujos de Efectivo</w:t>
      </w:r>
    </w:p>
    <w:p w:rsidR="00AD791F" w:rsidRPr="00042519" w:rsidRDefault="00AD791F" w:rsidP="0004251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42519">
        <w:rPr>
          <w:rFonts w:ascii="Arial" w:hAnsi="Arial" w:cs="Arial"/>
          <w:sz w:val="18"/>
          <w:szCs w:val="18"/>
        </w:rPr>
        <w:t>Informe de Pasivos Contingentes</w:t>
      </w:r>
    </w:p>
    <w:p w:rsidR="00AD791F" w:rsidRPr="00042519" w:rsidRDefault="00AD791F" w:rsidP="0004251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42519">
        <w:rPr>
          <w:rFonts w:ascii="Arial" w:hAnsi="Arial" w:cs="Arial"/>
          <w:sz w:val="18"/>
          <w:szCs w:val="18"/>
        </w:rPr>
        <w:t>Notas a los Estados Financieros</w:t>
      </w:r>
    </w:p>
    <w:p w:rsidR="00AD791F" w:rsidRPr="00042519" w:rsidRDefault="00AD791F" w:rsidP="0004251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42519">
        <w:rPr>
          <w:rFonts w:ascii="Arial" w:hAnsi="Arial" w:cs="Arial"/>
          <w:sz w:val="18"/>
          <w:szCs w:val="18"/>
        </w:rPr>
        <w:t>Notas de Desglose</w:t>
      </w:r>
    </w:p>
    <w:p w:rsidR="00AD791F" w:rsidRPr="00042519" w:rsidRDefault="00AD791F" w:rsidP="0004251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42519">
        <w:rPr>
          <w:rFonts w:ascii="Arial" w:hAnsi="Arial" w:cs="Arial"/>
          <w:sz w:val="18"/>
          <w:szCs w:val="18"/>
        </w:rPr>
        <w:t>Notas de Memoria (cuentas de orden)</w:t>
      </w:r>
    </w:p>
    <w:p w:rsidR="00AD791F" w:rsidRPr="00042519" w:rsidRDefault="00AD791F" w:rsidP="0004251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42519">
        <w:rPr>
          <w:rFonts w:ascii="Arial" w:hAnsi="Arial" w:cs="Arial"/>
          <w:sz w:val="18"/>
          <w:szCs w:val="18"/>
        </w:rPr>
        <w:t>Notas de Gestión Administrativa</w:t>
      </w:r>
    </w:p>
    <w:p w:rsidR="00AD791F" w:rsidRPr="00B372A2" w:rsidRDefault="00AD791F" w:rsidP="00AD791F">
      <w:pPr>
        <w:pStyle w:val="Prrafodelista"/>
        <w:spacing w:line="360" w:lineRule="auto"/>
        <w:ind w:left="1440"/>
        <w:jc w:val="both"/>
        <w:rPr>
          <w:rFonts w:ascii="Arial" w:hAnsi="Arial" w:cs="Arial"/>
          <w:b/>
          <w:sz w:val="18"/>
          <w:szCs w:val="18"/>
        </w:rPr>
      </w:pPr>
    </w:p>
    <w:p w:rsidR="00AD791F" w:rsidRPr="00B372A2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b/>
          <w:sz w:val="18"/>
          <w:szCs w:val="18"/>
        </w:rPr>
        <w:t>Información Presupuestaria</w:t>
      </w:r>
    </w:p>
    <w:p w:rsidR="00AD791F" w:rsidRPr="00B372A2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:rsidR="00AD791F" w:rsidRPr="00B372A2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Analítico del Ejercicio Presupuesto de Egresos Clasificación Administrativa</w:t>
      </w:r>
    </w:p>
    <w:p w:rsidR="00AD791F" w:rsidRPr="00B372A2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Analítico del Ejercicio del Presupuesto de Egresos Clasificación por Objeto del Gasto (capitulo y concepto)</w:t>
      </w:r>
    </w:p>
    <w:p w:rsidR="00AD791F" w:rsidRPr="00B372A2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:rsidR="00AD791F" w:rsidRPr="00B372A2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AD791F" w:rsidRPr="00B372A2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Endeudamiento Neto</w:t>
      </w:r>
    </w:p>
    <w:p w:rsidR="00AD791F" w:rsidRPr="00B372A2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Intereses de Deuda</w:t>
      </w:r>
    </w:p>
    <w:p w:rsidR="00AD791F" w:rsidRPr="00B372A2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Indicadores de Postura Fiscal</w:t>
      </w:r>
    </w:p>
    <w:p w:rsidR="00AD791F" w:rsidRPr="00B372A2" w:rsidRDefault="00AD791F" w:rsidP="00AD791F">
      <w:pPr>
        <w:pStyle w:val="Prrafodelista"/>
        <w:spacing w:line="360" w:lineRule="auto"/>
        <w:ind w:left="1080"/>
        <w:jc w:val="both"/>
        <w:rPr>
          <w:rFonts w:ascii="Arial" w:hAnsi="Arial" w:cs="Arial"/>
          <w:sz w:val="18"/>
          <w:szCs w:val="18"/>
        </w:rPr>
      </w:pPr>
    </w:p>
    <w:p w:rsidR="00AD791F" w:rsidRPr="00B372A2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b/>
          <w:sz w:val="18"/>
          <w:szCs w:val="18"/>
        </w:rPr>
        <w:t>Información Programática</w:t>
      </w:r>
    </w:p>
    <w:p w:rsidR="00AD791F" w:rsidRPr="00B372A2" w:rsidRDefault="00AD791F" w:rsidP="00042519">
      <w:pPr>
        <w:pStyle w:val="Prrafodelista"/>
        <w:numPr>
          <w:ilvl w:val="0"/>
          <w:numId w:val="9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Gastos por Categoría Programática</w:t>
      </w:r>
    </w:p>
    <w:p w:rsidR="00AD791F" w:rsidRPr="00B372A2" w:rsidRDefault="00AD791F" w:rsidP="00042519">
      <w:pPr>
        <w:pStyle w:val="Prrafodelista"/>
        <w:numPr>
          <w:ilvl w:val="0"/>
          <w:numId w:val="9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Programas y Proyectos de Inversión</w:t>
      </w:r>
    </w:p>
    <w:p w:rsidR="00AD791F" w:rsidRPr="00B372A2" w:rsidRDefault="00AD791F" w:rsidP="00042519">
      <w:pPr>
        <w:pStyle w:val="Prrafodelista"/>
        <w:numPr>
          <w:ilvl w:val="0"/>
          <w:numId w:val="9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Indicadores de Resultados</w:t>
      </w:r>
    </w:p>
    <w:p w:rsidR="00AD791F" w:rsidRPr="00B372A2" w:rsidRDefault="00AD791F" w:rsidP="00AD791F">
      <w:pPr>
        <w:pStyle w:val="Prrafodelista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 xml:space="preserve"> </w:t>
      </w:r>
    </w:p>
    <w:p w:rsidR="00AD791F" w:rsidRPr="00B372A2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b/>
          <w:sz w:val="18"/>
          <w:szCs w:val="18"/>
        </w:rPr>
        <w:t>Anexos</w:t>
      </w:r>
    </w:p>
    <w:p w:rsidR="00AD791F" w:rsidRPr="00B372A2" w:rsidRDefault="00AD791F" w:rsidP="00042519">
      <w:pPr>
        <w:pStyle w:val="Prrafodelista"/>
        <w:numPr>
          <w:ilvl w:val="0"/>
          <w:numId w:val="10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AD791F" w:rsidRPr="00B372A2" w:rsidRDefault="00AD791F" w:rsidP="00042519">
      <w:pPr>
        <w:pStyle w:val="Prrafodelista"/>
        <w:numPr>
          <w:ilvl w:val="0"/>
          <w:numId w:val="10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Relación de Bienes Inmuebles que Componen el Patrimonio</w:t>
      </w:r>
    </w:p>
    <w:p w:rsidR="00AD791F" w:rsidRPr="00B372A2" w:rsidRDefault="00AD791F" w:rsidP="00042519">
      <w:pPr>
        <w:pStyle w:val="Prrafodelista"/>
        <w:numPr>
          <w:ilvl w:val="0"/>
          <w:numId w:val="10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Relación de Cuentas Bancarias Productivas Especificas</w:t>
      </w:r>
    </w:p>
    <w:p w:rsidR="00AD791F" w:rsidRPr="00B372A2" w:rsidRDefault="00AD791F" w:rsidP="00042519">
      <w:pPr>
        <w:pStyle w:val="Prrafodelista"/>
        <w:numPr>
          <w:ilvl w:val="0"/>
          <w:numId w:val="10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AD791F" w:rsidRDefault="00AD791F" w:rsidP="00AD791F">
      <w:pPr>
        <w:pStyle w:val="Prrafodelista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42519" w:rsidRPr="00B372A2" w:rsidRDefault="00042519" w:rsidP="00AD791F">
      <w:pPr>
        <w:pStyle w:val="Prrafodelista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D791F" w:rsidRPr="00B372A2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b/>
          <w:sz w:val="18"/>
          <w:szCs w:val="18"/>
        </w:rPr>
        <w:t>Formatos de Disciplina Financiera</w:t>
      </w:r>
    </w:p>
    <w:p w:rsidR="00042519" w:rsidRPr="00246E58" w:rsidRDefault="00042519" w:rsidP="00042519">
      <w:pPr>
        <w:pStyle w:val="Texto"/>
        <w:numPr>
          <w:ilvl w:val="0"/>
          <w:numId w:val="13"/>
        </w:numPr>
        <w:spacing w:line="240" w:lineRule="auto"/>
        <w:rPr>
          <w:b/>
          <w:sz w:val="16"/>
          <w:szCs w:val="16"/>
        </w:rPr>
      </w:pPr>
      <w:r w:rsidRPr="00246E58">
        <w:rPr>
          <w:b/>
          <w:sz w:val="16"/>
          <w:szCs w:val="16"/>
        </w:rPr>
        <w:t xml:space="preserve">Formato 1 </w:t>
      </w:r>
      <w:r>
        <w:rPr>
          <w:b/>
          <w:sz w:val="16"/>
          <w:szCs w:val="16"/>
        </w:rPr>
        <w:t xml:space="preserve">  </w:t>
      </w:r>
      <w:r w:rsidRPr="00246E58">
        <w:rPr>
          <w:sz w:val="16"/>
          <w:szCs w:val="16"/>
        </w:rPr>
        <w:t>Estado de Situación Financiera Detallado - LDF</w:t>
      </w:r>
    </w:p>
    <w:p w:rsidR="00042519" w:rsidRDefault="00042519" w:rsidP="00042519">
      <w:pPr>
        <w:spacing w:after="0" w:line="240" w:lineRule="auto"/>
        <w:ind w:left="720"/>
        <w:rPr>
          <w:rFonts w:ascii="Arial" w:eastAsia="Times New Roman" w:hAnsi="Arial" w:cs="Arial"/>
          <w:b/>
          <w:sz w:val="16"/>
          <w:szCs w:val="16"/>
        </w:rPr>
      </w:pPr>
    </w:p>
    <w:p w:rsidR="00042519" w:rsidRPr="00042519" w:rsidRDefault="00042519" w:rsidP="00042519">
      <w:pPr>
        <w:pStyle w:val="Prrafodelist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042519">
        <w:rPr>
          <w:rFonts w:ascii="Arial" w:eastAsia="Times New Roman" w:hAnsi="Arial" w:cs="Arial"/>
          <w:b/>
          <w:sz w:val="16"/>
          <w:szCs w:val="16"/>
        </w:rPr>
        <w:t xml:space="preserve">Formato 2 </w:t>
      </w:r>
      <w:r>
        <w:rPr>
          <w:rFonts w:ascii="Arial" w:eastAsia="Times New Roman" w:hAnsi="Arial" w:cs="Arial"/>
          <w:b/>
          <w:sz w:val="16"/>
          <w:szCs w:val="16"/>
        </w:rPr>
        <w:t xml:space="preserve">  </w:t>
      </w:r>
      <w:r w:rsidRPr="00042519">
        <w:rPr>
          <w:rFonts w:ascii="Arial" w:eastAsia="Times New Roman" w:hAnsi="Arial" w:cs="Arial"/>
          <w:sz w:val="16"/>
          <w:szCs w:val="16"/>
        </w:rPr>
        <w:t>Informe Analítico de la Deuda Pública y Otros Pasivos – LDF</w:t>
      </w:r>
    </w:p>
    <w:p w:rsidR="00042519" w:rsidRPr="00246E58" w:rsidRDefault="00042519" w:rsidP="00042519">
      <w:pPr>
        <w:ind w:left="1429"/>
        <w:rPr>
          <w:rFonts w:ascii="Arial" w:eastAsia="Times New Roman" w:hAnsi="Arial" w:cs="Arial"/>
          <w:b/>
          <w:sz w:val="16"/>
          <w:szCs w:val="16"/>
        </w:rPr>
      </w:pPr>
    </w:p>
    <w:p w:rsidR="00042519" w:rsidRPr="00042519" w:rsidRDefault="00042519" w:rsidP="00042519">
      <w:pPr>
        <w:pStyle w:val="Prrafodelista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042519">
        <w:rPr>
          <w:rFonts w:ascii="Arial" w:eastAsia="Times New Roman" w:hAnsi="Arial" w:cs="Arial"/>
          <w:b/>
          <w:sz w:val="16"/>
          <w:szCs w:val="16"/>
        </w:rPr>
        <w:t>Formato 3</w:t>
      </w:r>
      <w:r>
        <w:rPr>
          <w:rFonts w:ascii="Arial" w:eastAsia="Times New Roman" w:hAnsi="Arial" w:cs="Arial"/>
          <w:b/>
          <w:sz w:val="16"/>
          <w:szCs w:val="16"/>
        </w:rPr>
        <w:t xml:space="preserve">  </w:t>
      </w:r>
      <w:r w:rsidRPr="00042519">
        <w:rPr>
          <w:rFonts w:ascii="Arial" w:eastAsia="Times New Roman" w:hAnsi="Arial" w:cs="Arial"/>
          <w:sz w:val="16"/>
          <w:szCs w:val="16"/>
        </w:rPr>
        <w:t xml:space="preserve"> Informe Analítico de Obligaciones Diferentes de Financiamientos – LDF</w:t>
      </w:r>
    </w:p>
    <w:p w:rsidR="00042519" w:rsidRPr="00246E58" w:rsidRDefault="00042519" w:rsidP="00042519">
      <w:pPr>
        <w:ind w:left="1429"/>
        <w:jc w:val="both"/>
        <w:rPr>
          <w:rFonts w:ascii="Arial" w:eastAsia="Times New Roman" w:hAnsi="Arial" w:cs="Arial"/>
          <w:sz w:val="16"/>
          <w:szCs w:val="16"/>
        </w:rPr>
      </w:pPr>
    </w:p>
    <w:p w:rsidR="00042519" w:rsidRPr="00042519" w:rsidRDefault="00042519" w:rsidP="00042519">
      <w:pPr>
        <w:pStyle w:val="Prrafodelista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042519">
        <w:rPr>
          <w:rFonts w:ascii="Arial" w:eastAsia="Times New Roman" w:hAnsi="Arial" w:cs="Arial"/>
          <w:b/>
          <w:sz w:val="16"/>
          <w:szCs w:val="16"/>
        </w:rPr>
        <w:t>Formato 4</w:t>
      </w:r>
      <w:r>
        <w:rPr>
          <w:rFonts w:ascii="Arial" w:eastAsia="Times New Roman" w:hAnsi="Arial" w:cs="Arial"/>
          <w:b/>
          <w:sz w:val="16"/>
          <w:szCs w:val="16"/>
        </w:rPr>
        <w:t xml:space="preserve"> </w:t>
      </w:r>
      <w:r w:rsidRPr="00042519">
        <w:rPr>
          <w:rFonts w:ascii="Arial" w:eastAsia="Times New Roman" w:hAnsi="Arial" w:cs="Arial"/>
          <w:sz w:val="16"/>
          <w:szCs w:val="16"/>
        </w:rPr>
        <w:t xml:space="preserve"> Balance Presupuestario – LDF</w:t>
      </w:r>
    </w:p>
    <w:p w:rsidR="00042519" w:rsidRPr="00246E58" w:rsidRDefault="00042519" w:rsidP="00042519">
      <w:pPr>
        <w:ind w:left="1429"/>
        <w:jc w:val="both"/>
        <w:rPr>
          <w:rFonts w:ascii="Arial" w:eastAsia="Times New Roman" w:hAnsi="Arial" w:cs="Arial"/>
          <w:sz w:val="16"/>
          <w:szCs w:val="16"/>
        </w:rPr>
      </w:pPr>
    </w:p>
    <w:p w:rsidR="00042519" w:rsidRPr="00042519" w:rsidRDefault="00042519" w:rsidP="00042519">
      <w:pPr>
        <w:pStyle w:val="Prrafodelista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042519">
        <w:rPr>
          <w:rFonts w:ascii="Arial" w:eastAsia="Times New Roman" w:hAnsi="Arial" w:cs="Arial"/>
          <w:b/>
          <w:sz w:val="16"/>
          <w:szCs w:val="16"/>
        </w:rPr>
        <w:t>Formato 5</w:t>
      </w:r>
      <w:r w:rsidRPr="00042519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 w:rsidRPr="00042519">
        <w:rPr>
          <w:rFonts w:ascii="Arial" w:eastAsia="Times New Roman" w:hAnsi="Arial" w:cs="Arial"/>
          <w:sz w:val="16"/>
          <w:szCs w:val="16"/>
        </w:rPr>
        <w:t>Estado Analítico de Ingresos Detallado – LDF</w:t>
      </w:r>
    </w:p>
    <w:p w:rsidR="00042519" w:rsidRPr="00246E58" w:rsidRDefault="00042519" w:rsidP="00042519">
      <w:pPr>
        <w:ind w:left="1429"/>
        <w:jc w:val="both"/>
        <w:rPr>
          <w:rFonts w:ascii="Arial" w:eastAsia="Times New Roman" w:hAnsi="Arial" w:cs="Arial"/>
          <w:sz w:val="16"/>
          <w:szCs w:val="16"/>
        </w:rPr>
      </w:pPr>
    </w:p>
    <w:p w:rsidR="00042519" w:rsidRPr="00246E58" w:rsidRDefault="00042519" w:rsidP="00042519">
      <w:pPr>
        <w:pStyle w:val="Texto"/>
        <w:numPr>
          <w:ilvl w:val="0"/>
          <w:numId w:val="13"/>
        </w:num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Formato 6a </w:t>
      </w:r>
      <w:r w:rsidRPr="00246E58">
        <w:rPr>
          <w:b/>
          <w:sz w:val="16"/>
          <w:szCs w:val="16"/>
        </w:rPr>
        <w:t xml:space="preserve"> </w:t>
      </w:r>
      <w:r w:rsidRPr="00246E58">
        <w:rPr>
          <w:sz w:val="16"/>
          <w:szCs w:val="16"/>
        </w:rPr>
        <w:t>Estado Analítico del Ejercicio del Presupuesto de Egresos Detallado – LDF (Clasificación por Objeto del Gasto)</w:t>
      </w:r>
    </w:p>
    <w:p w:rsidR="00042519" w:rsidRPr="00042519" w:rsidRDefault="00042519" w:rsidP="00042519">
      <w:pPr>
        <w:pStyle w:val="Texto"/>
        <w:tabs>
          <w:tab w:val="left" w:pos="1620"/>
        </w:tabs>
        <w:spacing w:line="240" w:lineRule="auto"/>
        <w:ind w:left="1080" w:firstLine="0"/>
        <w:rPr>
          <w:sz w:val="16"/>
          <w:szCs w:val="16"/>
        </w:rPr>
      </w:pPr>
    </w:p>
    <w:p w:rsidR="00042519" w:rsidRPr="00246E58" w:rsidRDefault="00042519" w:rsidP="00042519">
      <w:pPr>
        <w:pStyle w:val="Texto"/>
        <w:numPr>
          <w:ilvl w:val="0"/>
          <w:numId w:val="13"/>
        </w:numPr>
        <w:tabs>
          <w:tab w:val="left" w:pos="1620"/>
        </w:tabs>
        <w:spacing w:line="240" w:lineRule="auto"/>
        <w:rPr>
          <w:sz w:val="16"/>
          <w:szCs w:val="16"/>
        </w:rPr>
      </w:pPr>
      <w:r>
        <w:rPr>
          <w:b/>
          <w:sz w:val="16"/>
          <w:szCs w:val="16"/>
        </w:rPr>
        <w:t xml:space="preserve">Formato 6b </w:t>
      </w:r>
      <w:r w:rsidRPr="00246E58">
        <w:rPr>
          <w:b/>
          <w:sz w:val="16"/>
          <w:szCs w:val="16"/>
        </w:rPr>
        <w:t xml:space="preserve"> </w:t>
      </w:r>
      <w:r w:rsidRPr="00246E58">
        <w:rPr>
          <w:sz w:val="16"/>
          <w:szCs w:val="16"/>
        </w:rPr>
        <w:t>Estado Analítico del Ejercicio del Presupuesto de Egresos Detallado – LDF (Clasificación Administrativa)</w:t>
      </w:r>
    </w:p>
    <w:p w:rsidR="00042519" w:rsidRDefault="00042519" w:rsidP="00042519">
      <w:pPr>
        <w:pStyle w:val="Texto"/>
        <w:spacing w:line="240" w:lineRule="auto"/>
        <w:ind w:left="1080" w:firstLine="0"/>
        <w:rPr>
          <w:b/>
          <w:sz w:val="16"/>
          <w:szCs w:val="16"/>
        </w:rPr>
      </w:pPr>
    </w:p>
    <w:p w:rsidR="00042519" w:rsidRPr="00246E58" w:rsidRDefault="00042519" w:rsidP="00042519">
      <w:pPr>
        <w:pStyle w:val="Texto"/>
        <w:numPr>
          <w:ilvl w:val="0"/>
          <w:numId w:val="13"/>
        </w:num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Formato 6c </w:t>
      </w:r>
      <w:r w:rsidRPr="00246E58">
        <w:rPr>
          <w:b/>
          <w:sz w:val="16"/>
          <w:szCs w:val="16"/>
        </w:rPr>
        <w:t xml:space="preserve"> </w:t>
      </w:r>
      <w:r w:rsidRPr="00246E58">
        <w:rPr>
          <w:sz w:val="16"/>
          <w:szCs w:val="16"/>
        </w:rPr>
        <w:t>Estado Analítico del Ejercicio del Presupuesto de Egresos Detallado – LDF (Clasificación Funcional)</w:t>
      </w:r>
    </w:p>
    <w:p w:rsidR="00042519" w:rsidRPr="00042519" w:rsidRDefault="00042519" w:rsidP="00042519">
      <w:pPr>
        <w:pStyle w:val="Texto"/>
        <w:tabs>
          <w:tab w:val="left" w:pos="1530"/>
        </w:tabs>
        <w:spacing w:line="240" w:lineRule="auto"/>
        <w:ind w:left="1440" w:firstLine="0"/>
        <w:rPr>
          <w:sz w:val="16"/>
          <w:szCs w:val="16"/>
        </w:rPr>
      </w:pPr>
    </w:p>
    <w:p w:rsidR="00042519" w:rsidRPr="00246E58" w:rsidRDefault="00042519" w:rsidP="00042519">
      <w:pPr>
        <w:pStyle w:val="Texto"/>
        <w:numPr>
          <w:ilvl w:val="0"/>
          <w:numId w:val="13"/>
        </w:numPr>
        <w:tabs>
          <w:tab w:val="left" w:pos="1530"/>
        </w:tabs>
        <w:spacing w:line="240" w:lineRule="auto"/>
        <w:rPr>
          <w:sz w:val="16"/>
          <w:szCs w:val="16"/>
        </w:rPr>
      </w:pPr>
      <w:r>
        <w:rPr>
          <w:b/>
          <w:sz w:val="16"/>
          <w:szCs w:val="16"/>
        </w:rPr>
        <w:t xml:space="preserve">Formato 6d </w:t>
      </w:r>
      <w:r w:rsidRPr="00246E58">
        <w:rPr>
          <w:b/>
          <w:sz w:val="16"/>
          <w:szCs w:val="16"/>
        </w:rPr>
        <w:t xml:space="preserve"> </w:t>
      </w:r>
      <w:r w:rsidRPr="00246E58">
        <w:rPr>
          <w:sz w:val="16"/>
          <w:szCs w:val="16"/>
        </w:rPr>
        <w:t xml:space="preserve">Estado Analítico del Ejercicio del Presupuesto de Egresos Detallado </w:t>
      </w:r>
      <w:r>
        <w:rPr>
          <w:sz w:val="16"/>
          <w:szCs w:val="16"/>
        </w:rPr>
        <w:t>–</w:t>
      </w:r>
      <w:r w:rsidRPr="00246E58">
        <w:rPr>
          <w:sz w:val="16"/>
          <w:szCs w:val="16"/>
        </w:rPr>
        <w:t xml:space="preserve"> LDF</w:t>
      </w:r>
      <w:r>
        <w:rPr>
          <w:sz w:val="16"/>
          <w:szCs w:val="16"/>
        </w:rPr>
        <w:t xml:space="preserve">  </w:t>
      </w:r>
      <w:r w:rsidRPr="00246E58">
        <w:rPr>
          <w:sz w:val="16"/>
          <w:szCs w:val="16"/>
        </w:rPr>
        <w:t>(Clasificación de Servicios Personales por Categoría)</w:t>
      </w:r>
    </w:p>
    <w:p w:rsidR="00042519" w:rsidRPr="00246E58" w:rsidRDefault="00042519" w:rsidP="00042519">
      <w:pPr>
        <w:pStyle w:val="Texto"/>
        <w:tabs>
          <w:tab w:val="left" w:pos="1530"/>
        </w:tabs>
        <w:spacing w:line="240" w:lineRule="auto"/>
        <w:ind w:left="1429" w:firstLine="0"/>
        <w:rPr>
          <w:sz w:val="16"/>
          <w:szCs w:val="16"/>
        </w:rPr>
      </w:pPr>
    </w:p>
    <w:p w:rsidR="00F474E9" w:rsidRPr="00B372A2" w:rsidRDefault="00F474E9" w:rsidP="00F474E9">
      <w:pPr>
        <w:pStyle w:val="Prrafodelista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sectPr w:rsidR="00F474E9" w:rsidRPr="00B372A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42C" w:rsidRDefault="00AE642C" w:rsidP="00EA5418">
      <w:pPr>
        <w:spacing w:after="0" w:line="240" w:lineRule="auto"/>
      </w:pPr>
      <w:r>
        <w:separator/>
      </w:r>
    </w:p>
  </w:endnote>
  <w:endnote w:type="continuationSeparator" w:id="0">
    <w:p w:rsidR="00AE642C" w:rsidRDefault="00AE642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731430" w:rsidP="0013011C">
    <w:pPr>
      <w:pStyle w:val="Piedepgina"/>
      <w:jc w:val="center"/>
      <w:rPr>
        <w:rFonts w:ascii="Soberana Sans Light" w:hAnsi="Soberana Sans Light"/>
      </w:rPr>
    </w:pPr>
    <w:r w:rsidRPr="00731430"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strokecolor="#7d3c4a [3209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166A9" w:rsidRPr="00B166A9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731430" w:rsidP="008E3652">
    <w:pPr>
      <w:pStyle w:val="Piedepgina"/>
      <w:jc w:val="center"/>
      <w:rPr>
        <w:rFonts w:ascii="Soberana Sans Light" w:hAnsi="Soberana Sans Light"/>
      </w:rPr>
    </w:pPr>
    <w:r w:rsidRPr="00731430"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strokecolor="#6c0f1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166A9" w:rsidRPr="00B166A9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42C" w:rsidRDefault="00AE642C" w:rsidP="00EA5418">
      <w:pPr>
        <w:spacing w:after="0" w:line="240" w:lineRule="auto"/>
      </w:pPr>
      <w:r>
        <w:separator/>
      </w:r>
    </w:p>
  </w:footnote>
  <w:footnote w:type="continuationSeparator" w:id="0">
    <w:p w:rsidR="00AE642C" w:rsidRDefault="00AE642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731430">
    <w:pPr>
      <w:pStyle w:val="Encabezado"/>
    </w:pPr>
    <w:r w:rsidRPr="00731430">
      <w:rPr>
        <w:noProof/>
        <w:lang w:eastAsia="es-MX"/>
      </w:rPr>
      <w:pict>
        <v:group id="6 Grupo" o:spid="_x0000_s4101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AD791F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731430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strokecolor="#7d3c4a [3209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731430" w:rsidP="0013011C">
    <w:pPr>
      <w:pStyle w:val="Encabezado"/>
      <w:jc w:val="center"/>
      <w:rPr>
        <w:rFonts w:ascii="Soberana Sans Light" w:hAnsi="Soberana Sans Light"/>
      </w:rPr>
    </w:pPr>
    <w:r w:rsidRPr="00731430"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strokecolor="#6c0f13 [1605]" strokeweight="1.5pt"/>
      </w:pict>
    </w:r>
    <w:r w:rsidR="006B729B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797"/>
    <w:multiLevelType w:val="hybridMultilevel"/>
    <w:tmpl w:val="648251D2"/>
    <w:lvl w:ilvl="0" w:tplc="376EC1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151039F8"/>
    <w:multiLevelType w:val="hybridMultilevel"/>
    <w:tmpl w:val="F86E23B4"/>
    <w:lvl w:ilvl="0" w:tplc="A43C0EA4">
      <w:start w:val="1"/>
      <w:numFmt w:val="upperRoman"/>
      <w:lvlText w:val="%1)"/>
      <w:lvlJc w:val="left"/>
      <w:pPr>
        <w:ind w:left="216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55F63DF"/>
    <w:multiLevelType w:val="hybridMultilevel"/>
    <w:tmpl w:val="D090B5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A736E"/>
    <w:multiLevelType w:val="hybridMultilevel"/>
    <w:tmpl w:val="332A2ED6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42DB140A"/>
    <w:multiLevelType w:val="hybridMultilevel"/>
    <w:tmpl w:val="A950EB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5961"/>
    <w:multiLevelType w:val="hybridMultilevel"/>
    <w:tmpl w:val="A45E42F8"/>
    <w:lvl w:ilvl="0" w:tplc="B98E028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977253"/>
    <w:multiLevelType w:val="hybridMultilevel"/>
    <w:tmpl w:val="0136DE9E"/>
    <w:lvl w:ilvl="0" w:tplc="3F76ED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3178CA"/>
    <w:multiLevelType w:val="hybridMultilevel"/>
    <w:tmpl w:val="2D0A66CA"/>
    <w:lvl w:ilvl="0" w:tplc="A9581064">
      <w:start w:val="1"/>
      <w:numFmt w:val="upperRoman"/>
      <w:lvlText w:val="%1)"/>
      <w:lvlJc w:val="left"/>
      <w:pPr>
        <w:ind w:left="144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D91D32"/>
    <w:multiLevelType w:val="hybridMultilevel"/>
    <w:tmpl w:val="C428B450"/>
    <w:lvl w:ilvl="0" w:tplc="1090D708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BA26F3"/>
    <w:multiLevelType w:val="hybridMultilevel"/>
    <w:tmpl w:val="A9048B96"/>
    <w:lvl w:ilvl="0" w:tplc="169601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10"/>
  </w:num>
  <w:num w:numId="7">
    <w:abstractNumId w:val="13"/>
  </w:num>
  <w:num w:numId="8">
    <w:abstractNumId w:val="12"/>
  </w:num>
  <w:num w:numId="9">
    <w:abstractNumId w:val="8"/>
  </w:num>
  <w:num w:numId="10">
    <w:abstractNumId w:val="0"/>
  </w:num>
  <w:num w:numId="11">
    <w:abstractNumId w:val="6"/>
  </w:num>
  <w:num w:numId="12">
    <w:abstractNumId w:val="3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14338">
      <o:colormenu v:ext="edit" strokecolor="none [3209]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40466"/>
    <w:rsid w:val="00042519"/>
    <w:rsid w:val="000454EA"/>
    <w:rsid w:val="00056042"/>
    <w:rsid w:val="00076A56"/>
    <w:rsid w:val="000B3FD4"/>
    <w:rsid w:val="000F6D16"/>
    <w:rsid w:val="0013011C"/>
    <w:rsid w:val="00146E12"/>
    <w:rsid w:val="001646D9"/>
    <w:rsid w:val="00183FBE"/>
    <w:rsid w:val="00196D0F"/>
    <w:rsid w:val="001A2431"/>
    <w:rsid w:val="001B1B72"/>
    <w:rsid w:val="002865A7"/>
    <w:rsid w:val="002A6835"/>
    <w:rsid w:val="002A70B3"/>
    <w:rsid w:val="002E5897"/>
    <w:rsid w:val="002F2773"/>
    <w:rsid w:val="00307635"/>
    <w:rsid w:val="0032095C"/>
    <w:rsid w:val="00355821"/>
    <w:rsid w:val="003575A4"/>
    <w:rsid w:val="003610E0"/>
    <w:rsid w:val="00372F40"/>
    <w:rsid w:val="003D5DBF"/>
    <w:rsid w:val="003E7FD0"/>
    <w:rsid w:val="003F05C2"/>
    <w:rsid w:val="0044253C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2BC"/>
    <w:rsid w:val="005859FA"/>
    <w:rsid w:val="005E2EB5"/>
    <w:rsid w:val="005F7589"/>
    <w:rsid w:val="006048D2"/>
    <w:rsid w:val="00611E39"/>
    <w:rsid w:val="006B729B"/>
    <w:rsid w:val="006D291A"/>
    <w:rsid w:val="006E6B8E"/>
    <w:rsid w:val="006E77DD"/>
    <w:rsid w:val="00731430"/>
    <w:rsid w:val="00742E35"/>
    <w:rsid w:val="00746D9B"/>
    <w:rsid w:val="0079582C"/>
    <w:rsid w:val="007D6E9A"/>
    <w:rsid w:val="0082761D"/>
    <w:rsid w:val="00850E90"/>
    <w:rsid w:val="00897F46"/>
    <w:rsid w:val="008A6E4D"/>
    <w:rsid w:val="008B0017"/>
    <w:rsid w:val="008D4272"/>
    <w:rsid w:val="008E3652"/>
    <w:rsid w:val="009E16FC"/>
    <w:rsid w:val="009E5258"/>
    <w:rsid w:val="00A14B74"/>
    <w:rsid w:val="00AB13B7"/>
    <w:rsid w:val="00AD791F"/>
    <w:rsid w:val="00AE642C"/>
    <w:rsid w:val="00B166A9"/>
    <w:rsid w:val="00B17423"/>
    <w:rsid w:val="00B372A2"/>
    <w:rsid w:val="00B42A02"/>
    <w:rsid w:val="00B849EE"/>
    <w:rsid w:val="00BD6A5B"/>
    <w:rsid w:val="00BF28A4"/>
    <w:rsid w:val="00C33401"/>
    <w:rsid w:val="00C44F01"/>
    <w:rsid w:val="00C85A3B"/>
    <w:rsid w:val="00CA2D37"/>
    <w:rsid w:val="00CC5CB6"/>
    <w:rsid w:val="00D055EC"/>
    <w:rsid w:val="00D404ED"/>
    <w:rsid w:val="00D51261"/>
    <w:rsid w:val="00D5675C"/>
    <w:rsid w:val="00D748D3"/>
    <w:rsid w:val="00D75A56"/>
    <w:rsid w:val="00DD230F"/>
    <w:rsid w:val="00E32708"/>
    <w:rsid w:val="00E45FD0"/>
    <w:rsid w:val="00E81959"/>
    <w:rsid w:val="00EA5418"/>
    <w:rsid w:val="00ED65D7"/>
    <w:rsid w:val="00F474E9"/>
    <w:rsid w:val="00F96944"/>
    <w:rsid w:val="00FA3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 [32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F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Default">
    <w:name w:val="Default"/>
    <w:rsid w:val="00196D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196D0F"/>
    <w:pPr>
      <w:spacing w:after="0" w:line="240" w:lineRule="auto"/>
    </w:pPr>
    <w:rPr>
      <w:rFonts w:eastAsia="Batang"/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Concurrencia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8FCC3-78BB-4317-9A5B-63B041316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803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Griselda</cp:lastModifiedBy>
  <cp:revision>22</cp:revision>
  <cp:lastPrinted>2017-10-05T14:57:00Z</cp:lastPrinted>
  <dcterms:created xsi:type="dcterms:W3CDTF">2014-09-01T14:30:00Z</dcterms:created>
  <dcterms:modified xsi:type="dcterms:W3CDTF">2017-12-22T18:23:00Z</dcterms:modified>
</cp:coreProperties>
</file>