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p w:rsidR="007D6E9A" w:rsidRDefault="004372F6" w:rsidP="003D5DBF">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55pt;height:416.75pt" o:ole="">
            <v:imagedata r:id="rId9" o:title=""/>
          </v:shape>
          <o:OLEObject Type="Embed" ProgID="Excel.Sheet.12" ShapeID="_x0000_i1025" DrawAspect="Content" ObjectID="_1561457943" r:id="rId10"/>
        </w:object>
      </w:r>
      <w:bookmarkEnd w:id="0"/>
    </w:p>
    <w:p w:rsidR="00EA5418" w:rsidRDefault="00EA5418" w:rsidP="00372F40">
      <w:pPr>
        <w:jc w:val="center"/>
      </w:pPr>
    </w:p>
    <w:bookmarkStart w:id="1" w:name="_MON_1470805999"/>
    <w:bookmarkEnd w:id="1"/>
    <w:p w:rsidR="00EA5418" w:rsidRDefault="00F021A4" w:rsidP="0044253C">
      <w:pPr>
        <w:jc w:val="center"/>
      </w:pPr>
      <w:r>
        <w:object w:dxaOrig="25156" w:dyaOrig="18907">
          <v:shape id="_x0000_i1026" type="#_x0000_t75" style="width:622.6pt;height:438.45pt" o:ole="">
            <v:imagedata r:id="rId11" o:title=""/>
          </v:shape>
          <o:OLEObject Type="Embed" ProgID="Excel.Sheet.12" ShapeID="_x0000_i1026" DrawAspect="Content" ObjectID="_1561457944" r:id="rId12"/>
        </w:object>
      </w:r>
    </w:p>
    <w:bookmarkStart w:id="2" w:name="_MON_1470806992"/>
    <w:bookmarkEnd w:id="2"/>
    <w:p w:rsidR="00372F40" w:rsidRDefault="00D141C1" w:rsidP="003E7FD0">
      <w:pPr>
        <w:jc w:val="center"/>
      </w:pPr>
      <w:r>
        <w:object w:dxaOrig="21997" w:dyaOrig="15462">
          <v:shape id="_x0000_i1027" type="#_x0000_t75" style="width:648.9pt;height:456pt" o:ole="">
            <v:imagedata r:id="rId13" o:title=""/>
          </v:shape>
          <o:OLEObject Type="Embed" ProgID="Excel.Sheet.12" ShapeID="_x0000_i1027" DrawAspect="Content" ObjectID="_1561457945" r:id="rId14"/>
        </w:object>
      </w:r>
    </w:p>
    <w:p w:rsidR="00372F40" w:rsidRDefault="00FE05F2" w:rsidP="00066038">
      <w:r>
        <w:rPr>
          <w:noProof/>
          <w:lang w:eastAsia="es-MX"/>
        </w:rPr>
        <w:lastRenderedPageBreak/>
        <w:pict>
          <v:shape id="_x0000_s1109" type="#_x0000_t75" style="position:absolute;margin-left:-42.6pt;margin-top:61.2pt;width:761.7pt;height:399pt;z-index:251664384">
            <v:imagedata r:id="rId15" o:title=""/>
            <w10:wrap type="square" side="left"/>
          </v:shape>
          <o:OLEObject Type="Embed" ProgID="Excel.Sheet.12" ShapeID="_x0000_s1109" DrawAspect="Content" ObjectID="_1561457949" r:id="rId16"/>
        </w:pict>
      </w:r>
    </w:p>
    <w:bookmarkStart w:id="3" w:name="_MON_1470809138"/>
    <w:bookmarkEnd w:id="3"/>
    <w:p w:rsidR="00372F40" w:rsidRDefault="003674B7" w:rsidP="00522632">
      <w:pPr>
        <w:jc w:val="center"/>
      </w:pPr>
      <w:r>
        <w:object w:dxaOrig="17807" w:dyaOrig="12235">
          <v:shape id="_x0000_i1029" type="#_x0000_t75" style="width:632.3pt;height:439.4pt" o:ole="">
            <v:imagedata r:id="rId17" o:title=""/>
          </v:shape>
          <o:OLEObject Type="Embed" ProgID="Excel.Sheet.12" ShapeID="_x0000_i1029" DrawAspect="Content" ObjectID="_1561457946" r:id="rId18"/>
        </w:object>
      </w:r>
    </w:p>
    <w:p w:rsidR="00372F40" w:rsidRDefault="00372F40" w:rsidP="002A70B3">
      <w:pPr>
        <w:tabs>
          <w:tab w:val="left" w:pos="2430"/>
        </w:tabs>
      </w:pPr>
    </w:p>
    <w:bookmarkStart w:id="4" w:name="_MON_1470814596"/>
    <w:bookmarkEnd w:id="4"/>
    <w:p w:rsidR="00E32708" w:rsidRDefault="00D141C1" w:rsidP="00E32708">
      <w:pPr>
        <w:tabs>
          <w:tab w:val="left" w:pos="2430"/>
        </w:tabs>
        <w:jc w:val="center"/>
      </w:pPr>
      <w:r>
        <w:object w:dxaOrig="18231" w:dyaOrig="11187">
          <v:shape id="_x0000_i1030" type="#_x0000_t75" style="width:635.55pt;height:389.1pt" o:ole="">
            <v:imagedata r:id="rId19" o:title=""/>
          </v:shape>
          <o:OLEObject Type="Embed" ProgID="Excel.Sheet.12" ShapeID="_x0000_i1030" DrawAspect="Content" ObjectID="_1561457947" r:id="rId20"/>
        </w:object>
      </w:r>
    </w:p>
    <w:bookmarkStart w:id="5" w:name="_MON_1470810366"/>
    <w:bookmarkEnd w:id="5"/>
    <w:p w:rsidR="00E32708" w:rsidRDefault="00B82C20" w:rsidP="00E32708">
      <w:pPr>
        <w:tabs>
          <w:tab w:val="left" w:pos="2430"/>
        </w:tabs>
        <w:jc w:val="center"/>
      </w:pPr>
      <w:r>
        <w:object w:dxaOrig="25925" w:dyaOrig="13369">
          <v:shape id="_x0000_i1031" type="#_x0000_t75" style="width:731.1pt;height:377.55pt" o:ole="">
            <v:imagedata r:id="rId21" o:title=""/>
          </v:shape>
          <o:OLEObject Type="Embed" ProgID="Excel.Sheet.12" ShapeID="_x0000_i1031" DrawAspect="Content" ObjectID="_1561457948" r:id="rId22"/>
        </w:object>
      </w:r>
    </w:p>
    <w:p w:rsidR="00372F40" w:rsidRDefault="00372F40"/>
    <w:p w:rsidR="00CB5593" w:rsidRDefault="00CB5593"/>
    <w:p w:rsidR="00CB5593" w:rsidRDefault="00CB5593"/>
    <w:p w:rsidR="00372F40" w:rsidRPr="00AF6A66" w:rsidRDefault="00540418" w:rsidP="00540418">
      <w:pPr>
        <w:jc w:val="center"/>
        <w:rPr>
          <w:rFonts w:ascii="Arial" w:hAnsi="Arial" w:cs="Arial"/>
          <w:sz w:val="18"/>
          <w:szCs w:val="18"/>
        </w:rPr>
      </w:pPr>
      <w:r w:rsidRPr="00AF6A66">
        <w:rPr>
          <w:rFonts w:ascii="Arial" w:hAnsi="Arial" w:cs="Arial"/>
          <w:sz w:val="18"/>
          <w:szCs w:val="18"/>
        </w:rPr>
        <w:lastRenderedPageBreak/>
        <w:t>Informe de Pasivos Contingentes</w:t>
      </w:r>
    </w:p>
    <w:p w:rsidR="004A2FBE" w:rsidRPr="00AF6A66" w:rsidRDefault="004A2FBE" w:rsidP="00540418">
      <w:pPr>
        <w:jc w:val="center"/>
        <w:rPr>
          <w:rFonts w:ascii="Arial" w:hAnsi="Arial" w:cs="Arial"/>
          <w:sz w:val="18"/>
          <w:szCs w:val="18"/>
        </w:rPr>
      </w:pPr>
    </w:p>
    <w:p w:rsidR="00BE0605" w:rsidRPr="00AF6A66" w:rsidRDefault="00BE0605" w:rsidP="00BE0605">
      <w:pPr>
        <w:jc w:val="both"/>
        <w:rPr>
          <w:rFonts w:ascii="Arial" w:hAnsi="Arial" w:cs="Arial"/>
          <w:sz w:val="18"/>
          <w:szCs w:val="18"/>
        </w:rPr>
      </w:pPr>
      <w:r w:rsidRPr="00AF6A66">
        <w:rPr>
          <w:rFonts w:ascii="Arial" w:hAnsi="Arial" w:cs="Arial"/>
          <w:sz w:val="18"/>
          <w:szCs w:val="18"/>
        </w:rPr>
        <w:t xml:space="preserve">La Comisión Estatal de Derechos Humanos del Estado de Tlaxcala cuenta con Pasivos Contingentes </w:t>
      </w:r>
      <w:r w:rsidR="003B1216" w:rsidRPr="00AF6A66">
        <w:rPr>
          <w:rFonts w:ascii="Arial" w:hAnsi="Arial" w:cs="Arial"/>
          <w:sz w:val="18"/>
          <w:szCs w:val="18"/>
        </w:rPr>
        <w:t xml:space="preserve">que </w:t>
      </w:r>
      <w:r w:rsidR="004A2FBE" w:rsidRPr="00AF6A66">
        <w:rPr>
          <w:rFonts w:ascii="Arial" w:hAnsi="Arial" w:cs="Arial"/>
          <w:sz w:val="18"/>
          <w:szCs w:val="18"/>
        </w:rPr>
        <w:t xml:space="preserve">ascienden a $ </w:t>
      </w:r>
      <w:r w:rsidR="00AF6A66" w:rsidRPr="00AF6A66">
        <w:rPr>
          <w:rFonts w:ascii="Arial" w:hAnsi="Arial" w:cs="Arial"/>
          <w:sz w:val="18"/>
          <w:szCs w:val="18"/>
        </w:rPr>
        <w:t>1</w:t>
      </w:r>
      <w:r w:rsidR="00D50470">
        <w:rPr>
          <w:rFonts w:ascii="Arial" w:hAnsi="Arial" w:cs="Arial"/>
          <w:sz w:val="18"/>
          <w:szCs w:val="18"/>
        </w:rPr>
        <w:t>2</w:t>
      </w:r>
      <w:r w:rsidR="00AF6A66" w:rsidRPr="00AF6A66">
        <w:rPr>
          <w:rFonts w:ascii="Arial" w:hAnsi="Arial" w:cs="Arial"/>
          <w:sz w:val="18"/>
          <w:szCs w:val="18"/>
        </w:rPr>
        <w:t xml:space="preserve">, </w:t>
      </w:r>
      <w:r w:rsidR="00BD5769">
        <w:rPr>
          <w:rFonts w:ascii="Arial" w:hAnsi="Arial" w:cs="Arial"/>
          <w:sz w:val="18"/>
          <w:szCs w:val="18"/>
        </w:rPr>
        <w:t>0</w:t>
      </w:r>
      <w:r w:rsidR="00AF6A66" w:rsidRPr="00AF6A66">
        <w:rPr>
          <w:rFonts w:ascii="Arial" w:hAnsi="Arial" w:cs="Arial"/>
          <w:sz w:val="18"/>
          <w:szCs w:val="18"/>
        </w:rPr>
        <w:t>00,000</w:t>
      </w:r>
      <w:r w:rsidR="00343189" w:rsidRPr="00AF6A66">
        <w:rPr>
          <w:rFonts w:ascii="Arial" w:hAnsi="Arial" w:cs="Arial"/>
          <w:sz w:val="18"/>
          <w:szCs w:val="18"/>
        </w:rPr>
        <w:t xml:space="preserve"> </w:t>
      </w:r>
      <w:r w:rsidRPr="00AF6A66">
        <w:rPr>
          <w:rFonts w:ascii="Arial" w:hAnsi="Arial" w:cs="Arial"/>
          <w:sz w:val="18"/>
          <w:szCs w:val="18"/>
        </w:rPr>
        <w:t>debido</w:t>
      </w:r>
      <w:r w:rsidR="00343189" w:rsidRPr="00AF6A66">
        <w:rPr>
          <w:rFonts w:ascii="Arial" w:hAnsi="Arial" w:cs="Arial"/>
          <w:sz w:val="18"/>
          <w:szCs w:val="18"/>
        </w:rPr>
        <w:t xml:space="preserve"> a condenas por</w:t>
      </w:r>
      <w:r w:rsidRPr="00AF6A66">
        <w:rPr>
          <w:rFonts w:ascii="Arial" w:hAnsi="Arial" w:cs="Arial"/>
          <w:sz w:val="18"/>
          <w:szCs w:val="18"/>
        </w:rPr>
        <w:t xml:space="preserve"> </w:t>
      </w:r>
      <w:r w:rsidR="003B1216" w:rsidRPr="00AF6A66">
        <w:rPr>
          <w:rFonts w:ascii="Arial" w:hAnsi="Arial" w:cs="Arial"/>
          <w:sz w:val="18"/>
          <w:szCs w:val="18"/>
        </w:rPr>
        <w:t>laudos laborales en contra de esta Comisión</w:t>
      </w:r>
      <w:r w:rsidR="00343189" w:rsidRPr="00AF6A66">
        <w:rPr>
          <w:rFonts w:ascii="Arial" w:hAnsi="Arial" w:cs="Arial"/>
          <w:sz w:val="18"/>
          <w:szCs w:val="18"/>
        </w:rPr>
        <w:t>, cuyos conflictos fueron heredados por</w:t>
      </w:r>
      <w:r w:rsidR="004A2FBE" w:rsidRPr="00AF6A66">
        <w:rPr>
          <w:rFonts w:ascii="Arial" w:hAnsi="Arial" w:cs="Arial"/>
          <w:sz w:val="18"/>
          <w:szCs w:val="18"/>
        </w:rPr>
        <w:t xml:space="preserve"> </w:t>
      </w:r>
      <w:r w:rsidR="003B1216" w:rsidRPr="00AF6A66">
        <w:rPr>
          <w:rFonts w:ascii="Arial" w:hAnsi="Arial" w:cs="Arial"/>
          <w:sz w:val="18"/>
          <w:szCs w:val="18"/>
        </w:rPr>
        <w:t xml:space="preserve">administraciones pasadas, </w:t>
      </w:r>
      <w:r w:rsidR="00343189" w:rsidRPr="00AF6A66">
        <w:rPr>
          <w:rFonts w:ascii="Arial" w:hAnsi="Arial" w:cs="Arial"/>
          <w:sz w:val="18"/>
          <w:szCs w:val="18"/>
        </w:rPr>
        <w:t>sin omitir mencionar que la cantidad aludida no es exacta, toda vez que se actualiza día a día, en razón del tiempo que transcurre</w:t>
      </w:r>
      <w:r w:rsidR="004A2FBE" w:rsidRPr="00AF6A66">
        <w:rPr>
          <w:rFonts w:ascii="Arial" w:hAnsi="Arial" w:cs="Arial"/>
          <w:sz w:val="18"/>
          <w:szCs w:val="18"/>
        </w:rPr>
        <w:t>,</w:t>
      </w:r>
      <w:r w:rsidR="00343189" w:rsidRPr="00AF6A66">
        <w:rPr>
          <w:rFonts w:ascii="Arial" w:hAnsi="Arial" w:cs="Arial"/>
          <w:sz w:val="18"/>
          <w:szCs w:val="18"/>
        </w:rPr>
        <w:t xml:space="preserve"> </w:t>
      </w:r>
      <w:r w:rsidR="004A2FBE" w:rsidRPr="00AF6A66">
        <w:rPr>
          <w:rFonts w:ascii="Arial" w:hAnsi="Arial" w:cs="Arial"/>
          <w:sz w:val="18"/>
          <w:szCs w:val="18"/>
        </w:rPr>
        <w:t xml:space="preserve"> sin embargo se debe contemplar dicho monto para efectos de registrar el valo</w:t>
      </w:r>
      <w:r w:rsidR="00C76D92">
        <w:rPr>
          <w:rFonts w:ascii="Arial" w:hAnsi="Arial" w:cs="Arial"/>
          <w:sz w:val="18"/>
          <w:szCs w:val="18"/>
        </w:rPr>
        <w:t xml:space="preserve">r estimado y provisionarlo </w:t>
      </w:r>
      <w:r w:rsidR="004A2FBE" w:rsidRPr="00AF6A66">
        <w:rPr>
          <w:rFonts w:ascii="Arial" w:hAnsi="Arial" w:cs="Arial"/>
          <w:sz w:val="18"/>
          <w:szCs w:val="18"/>
        </w:rPr>
        <w:t>para a</w:t>
      </w:r>
      <w:r w:rsidR="003B1216" w:rsidRPr="00AF6A66">
        <w:rPr>
          <w:rFonts w:ascii="Arial" w:hAnsi="Arial" w:cs="Arial"/>
          <w:sz w:val="18"/>
          <w:szCs w:val="18"/>
        </w:rPr>
        <w:t>tender dichos pasivos porque</w:t>
      </w:r>
      <w:r w:rsidR="004A2FBE" w:rsidRPr="00AF6A66">
        <w:rPr>
          <w:rFonts w:ascii="Arial" w:hAnsi="Arial" w:cs="Arial"/>
          <w:sz w:val="18"/>
          <w:szCs w:val="18"/>
        </w:rPr>
        <w:t xml:space="preserve"> son una obligación a futuro de esta Comisión.</w:t>
      </w: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rsidR="00AF6A66" w:rsidRDefault="00AF6A66" w:rsidP="00AF6A66">
      <w:pPr>
        <w:spacing w:line="240" w:lineRule="auto"/>
        <w:jc w:val="center"/>
        <w:rPr>
          <w:rFonts w:ascii="Arial" w:hAnsi="Arial" w:cs="Arial"/>
          <w:sz w:val="18"/>
          <w:szCs w:val="18"/>
        </w:rPr>
      </w:pPr>
    </w:p>
    <w:p w:rsidR="00AF6A66" w:rsidRDefault="00AF6A66" w:rsidP="00AF6A66">
      <w:pPr>
        <w:spacing w:line="240" w:lineRule="auto"/>
        <w:jc w:val="center"/>
        <w:rPr>
          <w:rFonts w:ascii="Arial" w:hAnsi="Arial" w:cs="Arial"/>
          <w:sz w:val="18"/>
          <w:szCs w:val="18"/>
        </w:rPr>
      </w:pPr>
    </w:p>
    <w:p w:rsidR="00AF6A66" w:rsidRDefault="00FE05F2" w:rsidP="00AF6A66">
      <w:pPr>
        <w:spacing w:line="240" w:lineRule="auto"/>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51" type="#_x0000_t32" style="position:absolute;left:0;text-align:left;margin-left:445.5pt;margin-top:16.35pt;width:194.25pt;height:0;z-index:251657216" o:connectortype="straight"/>
        </w:pict>
      </w:r>
      <w:r>
        <w:rPr>
          <w:rFonts w:ascii="Arial" w:hAnsi="Arial" w:cs="Arial"/>
          <w:noProof/>
          <w:sz w:val="18"/>
          <w:szCs w:val="18"/>
          <w:lang w:eastAsia="es-MX"/>
        </w:rPr>
        <w:pict>
          <v:shape id="_x0000_s1050" type="#_x0000_t32" style="position:absolute;left:0;text-align:left;margin-left:45.75pt;margin-top:15.6pt;width:194.25pt;height:0;z-index:251654144" o:connectortype="straight"/>
        </w:pict>
      </w:r>
    </w:p>
    <w:p w:rsidR="00540418" w:rsidRPr="00AF6A66" w:rsidRDefault="00A71541" w:rsidP="00D91F64">
      <w:pPr>
        <w:spacing w:line="240" w:lineRule="auto"/>
        <w:jc w:val="center"/>
        <w:rPr>
          <w:rFonts w:ascii="Arial" w:hAnsi="Arial" w:cs="Arial"/>
          <w:sz w:val="18"/>
          <w:szCs w:val="18"/>
        </w:rPr>
      </w:pPr>
      <w:r>
        <w:rPr>
          <w:rFonts w:ascii="Arial" w:hAnsi="Arial" w:cs="Arial"/>
          <w:sz w:val="18"/>
          <w:szCs w:val="18"/>
        </w:rPr>
        <w:t xml:space="preserve">Lic. </w:t>
      </w:r>
      <w:proofErr w:type="spellStart"/>
      <w:r w:rsidR="00CB5593">
        <w:rPr>
          <w:rFonts w:ascii="Arial" w:hAnsi="Arial" w:cs="Arial"/>
          <w:sz w:val="18"/>
          <w:szCs w:val="18"/>
        </w:rPr>
        <w:t>Victor</w:t>
      </w:r>
      <w:proofErr w:type="spellEnd"/>
      <w:r w:rsidR="00CB5593">
        <w:rPr>
          <w:rFonts w:ascii="Arial" w:hAnsi="Arial" w:cs="Arial"/>
          <w:sz w:val="18"/>
          <w:szCs w:val="18"/>
        </w:rPr>
        <w:t xml:space="preserve"> Manuel Cid del Prado </w:t>
      </w:r>
      <w:proofErr w:type="spellStart"/>
      <w:r w:rsidR="00CB5593">
        <w:rPr>
          <w:rFonts w:ascii="Arial" w:hAnsi="Arial" w:cs="Arial"/>
          <w:sz w:val="18"/>
          <w:szCs w:val="18"/>
        </w:rPr>
        <w:t>PIneda</w:t>
      </w:r>
      <w:proofErr w:type="spellEnd"/>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B4710C">
        <w:rPr>
          <w:rFonts w:ascii="Arial" w:hAnsi="Arial" w:cs="Arial"/>
          <w:sz w:val="18"/>
          <w:szCs w:val="18"/>
        </w:rPr>
        <w:t>Lic. A</w:t>
      </w:r>
      <w:r w:rsidR="00CB5593">
        <w:rPr>
          <w:rFonts w:ascii="Arial" w:hAnsi="Arial" w:cs="Arial"/>
          <w:sz w:val="18"/>
          <w:szCs w:val="18"/>
        </w:rPr>
        <w:t xml:space="preserve">ngélica María Juárez </w:t>
      </w:r>
      <w:proofErr w:type="spellStart"/>
      <w:r w:rsidR="00D91F64">
        <w:rPr>
          <w:rFonts w:ascii="Arial" w:hAnsi="Arial" w:cs="Arial"/>
          <w:sz w:val="18"/>
          <w:szCs w:val="18"/>
        </w:rPr>
        <w:t>Texis</w:t>
      </w:r>
      <w:proofErr w:type="spellEnd"/>
      <w:r w:rsidR="00B4710C">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sidRPr="009A1EA8">
        <w:rPr>
          <w:rFonts w:ascii="Arial" w:hAnsi="Arial" w:cs="Arial"/>
          <w:color w:val="FFFFFF" w:themeColor="background1"/>
          <w:sz w:val="18"/>
          <w:szCs w:val="18"/>
        </w:rPr>
        <w:t>a</w:t>
      </w:r>
      <w:r w:rsidR="009A1EA8">
        <w:rPr>
          <w:rFonts w:ascii="Arial" w:hAnsi="Arial" w:cs="Arial"/>
          <w:sz w:val="18"/>
          <w:szCs w:val="18"/>
        </w:rPr>
        <w:t xml:space="preserve">              </w:t>
      </w:r>
      <w:r>
        <w:rPr>
          <w:rFonts w:ascii="Arial" w:hAnsi="Arial" w:cs="Arial"/>
          <w:sz w:val="18"/>
          <w:szCs w:val="18"/>
        </w:rPr>
        <w:t>President</w:t>
      </w:r>
      <w:r w:rsidR="00D91F64">
        <w:rPr>
          <w:rFonts w:ascii="Arial" w:hAnsi="Arial" w:cs="Arial"/>
          <w:sz w:val="18"/>
          <w:szCs w:val="18"/>
        </w:rPr>
        <w:t>e</w:t>
      </w:r>
      <w:r>
        <w:rPr>
          <w:rFonts w:ascii="Arial" w:hAnsi="Arial" w:cs="Arial"/>
          <w:sz w:val="18"/>
          <w:szCs w:val="18"/>
        </w:rPr>
        <w:t xml:space="preserve"> </w:t>
      </w:r>
      <w:r w:rsidR="0030166A" w:rsidRPr="00AF6A66">
        <w:rPr>
          <w:rFonts w:ascii="Arial" w:hAnsi="Arial" w:cs="Arial"/>
          <w:sz w:val="18"/>
          <w:szCs w:val="18"/>
        </w:rPr>
        <w:t>de la C</w:t>
      </w:r>
      <w:r w:rsidR="00AF6A66" w:rsidRPr="00AF6A66">
        <w:rPr>
          <w:rFonts w:ascii="Arial" w:hAnsi="Arial" w:cs="Arial"/>
          <w:sz w:val="18"/>
          <w:szCs w:val="18"/>
        </w:rPr>
        <w:t>.</w:t>
      </w:r>
      <w:r w:rsidR="0030166A" w:rsidRPr="00AF6A66">
        <w:rPr>
          <w:rFonts w:ascii="Arial" w:hAnsi="Arial" w:cs="Arial"/>
          <w:sz w:val="18"/>
          <w:szCs w:val="18"/>
        </w:rPr>
        <w:t>E</w:t>
      </w:r>
      <w:r w:rsidR="00AF6A66" w:rsidRPr="00AF6A66">
        <w:rPr>
          <w:rFonts w:ascii="Arial" w:hAnsi="Arial" w:cs="Arial"/>
          <w:sz w:val="18"/>
          <w:szCs w:val="18"/>
        </w:rPr>
        <w:t>.</w:t>
      </w:r>
      <w:r w:rsidR="0030166A" w:rsidRPr="00AF6A66">
        <w:rPr>
          <w:rFonts w:ascii="Arial" w:hAnsi="Arial" w:cs="Arial"/>
          <w:sz w:val="18"/>
          <w:szCs w:val="18"/>
        </w:rPr>
        <w:t>D</w:t>
      </w:r>
      <w:r w:rsidR="00AF6A66" w:rsidRPr="00AF6A66">
        <w:rPr>
          <w:rFonts w:ascii="Arial" w:hAnsi="Arial" w:cs="Arial"/>
          <w:sz w:val="18"/>
          <w:szCs w:val="18"/>
        </w:rPr>
        <w:t>.</w:t>
      </w:r>
      <w:r w:rsidR="0030166A" w:rsidRPr="00AF6A66">
        <w:rPr>
          <w:rFonts w:ascii="Arial" w:hAnsi="Arial" w:cs="Arial"/>
          <w:sz w:val="18"/>
          <w:szCs w:val="18"/>
        </w:rPr>
        <w:t>H</w:t>
      </w:r>
      <w:r w:rsidR="00AF6A66" w:rsidRPr="00AF6A66">
        <w:rPr>
          <w:rFonts w:ascii="Arial" w:hAnsi="Arial" w:cs="Arial"/>
          <w:sz w:val="18"/>
          <w:szCs w:val="18"/>
        </w:rPr>
        <w:t>.</w:t>
      </w:r>
      <w:r w:rsidR="0030166A" w:rsidRPr="00AF6A66">
        <w:rPr>
          <w:rFonts w:ascii="Arial" w:hAnsi="Arial" w:cs="Arial"/>
          <w:sz w:val="18"/>
          <w:szCs w:val="18"/>
        </w:rPr>
        <w:t>T</w:t>
      </w:r>
      <w:r w:rsidR="00AF6A66" w:rsidRPr="00AF6A66">
        <w:rPr>
          <w:rFonts w:ascii="Arial" w:hAnsi="Arial" w:cs="Arial"/>
          <w:sz w:val="18"/>
          <w:szCs w:val="18"/>
        </w:rPr>
        <w:t>.</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sidRPr="00AF6A66">
        <w:rPr>
          <w:rFonts w:ascii="Arial" w:hAnsi="Arial" w:cs="Arial"/>
          <w:sz w:val="18"/>
          <w:szCs w:val="18"/>
        </w:rPr>
        <w:t xml:space="preserve">                        </w:t>
      </w:r>
      <w:r w:rsidR="009A1EA8">
        <w:rPr>
          <w:rFonts w:ascii="Arial" w:hAnsi="Arial" w:cs="Arial"/>
          <w:sz w:val="18"/>
          <w:szCs w:val="18"/>
        </w:rPr>
        <w:t>Encargad</w:t>
      </w:r>
      <w:r w:rsidR="00B4710C">
        <w:rPr>
          <w:rFonts w:ascii="Arial" w:hAnsi="Arial" w:cs="Arial"/>
          <w:sz w:val="18"/>
          <w:szCs w:val="18"/>
        </w:rPr>
        <w:t>a</w:t>
      </w:r>
      <w:r w:rsidR="009A1EA8">
        <w:rPr>
          <w:rFonts w:ascii="Arial" w:hAnsi="Arial" w:cs="Arial"/>
          <w:sz w:val="18"/>
          <w:szCs w:val="18"/>
        </w:rPr>
        <w:t xml:space="preserve"> de La Dirección Administrativa</w:t>
      </w:r>
    </w:p>
    <w:p w:rsidR="0030166A" w:rsidRDefault="0030166A" w:rsidP="0030166A">
      <w:pPr>
        <w:jc w:val="center"/>
        <w:rPr>
          <w:rFonts w:ascii="Soberana Sans Light" w:hAnsi="Soberana Sans Light"/>
        </w:rPr>
      </w:pPr>
    </w:p>
    <w:p w:rsidR="00AF6A66" w:rsidRDefault="00AF6A66" w:rsidP="0030166A">
      <w:pPr>
        <w:jc w:val="center"/>
        <w:rPr>
          <w:rFonts w:ascii="Soberana Sans Light" w:hAnsi="Soberana Sans Light"/>
        </w:rPr>
      </w:pPr>
    </w:p>
    <w:p w:rsidR="00CB5593" w:rsidRDefault="00CB5593" w:rsidP="0030166A">
      <w:pPr>
        <w:jc w:val="center"/>
        <w:rPr>
          <w:rFonts w:ascii="Soberana Sans Light" w:hAnsi="Soberana Sans Light"/>
        </w:rPr>
      </w:pPr>
    </w:p>
    <w:p w:rsidR="00A668D1"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lastRenderedPageBreak/>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rsidR="00A668D1" w:rsidRPr="00AF6A66"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01 de Enero al 3</w:t>
      </w:r>
      <w:r w:rsidR="00D91F64">
        <w:rPr>
          <w:rFonts w:ascii="Soberana Sans Light" w:hAnsi="Soberana Sans Light"/>
          <w:sz w:val="22"/>
          <w:szCs w:val="22"/>
        </w:rPr>
        <w:t>0</w:t>
      </w:r>
      <w:r>
        <w:rPr>
          <w:rFonts w:ascii="Soberana Sans Light" w:hAnsi="Soberana Sans Light"/>
          <w:sz w:val="22"/>
          <w:szCs w:val="22"/>
        </w:rPr>
        <w:t xml:space="preserve"> de </w:t>
      </w:r>
      <w:r w:rsidR="00D91F64">
        <w:rPr>
          <w:rFonts w:ascii="Soberana Sans Light" w:hAnsi="Soberana Sans Light"/>
          <w:sz w:val="22"/>
          <w:szCs w:val="22"/>
        </w:rPr>
        <w:t xml:space="preserve">Junio </w:t>
      </w:r>
      <w:r>
        <w:rPr>
          <w:rFonts w:ascii="Soberana Sans Light" w:hAnsi="Soberana Sans Light"/>
          <w:sz w:val="22"/>
          <w:szCs w:val="22"/>
        </w:rPr>
        <w:t>201</w:t>
      </w:r>
      <w:r w:rsidR="00CB4F8A">
        <w:rPr>
          <w:rFonts w:ascii="Soberana Sans Light" w:hAnsi="Soberana Sans Light"/>
          <w:sz w:val="22"/>
          <w:szCs w:val="22"/>
        </w:rPr>
        <w:t>7</w:t>
      </w:r>
    </w:p>
    <w:p w:rsidR="00A668D1" w:rsidRPr="002F31D1" w:rsidRDefault="00A668D1" w:rsidP="00A668D1">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rsidR="00A668D1" w:rsidRPr="002F31D1" w:rsidRDefault="00A668D1" w:rsidP="00A668D1">
      <w:pPr>
        <w:pStyle w:val="Prrafodelista"/>
        <w:autoSpaceDE w:val="0"/>
        <w:autoSpaceDN w:val="0"/>
        <w:adjustRightInd w:val="0"/>
        <w:spacing w:before="240" w:after="12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rsidR="00A668D1" w:rsidRPr="002F31D1" w:rsidRDefault="00A668D1" w:rsidP="00A668D1">
      <w:pPr>
        <w:pStyle w:val="Prrafodelista"/>
        <w:autoSpaceDE w:val="0"/>
        <w:autoSpaceDN w:val="0"/>
        <w:adjustRightInd w:val="0"/>
        <w:spacing w:before="240" w:after="120"/>
        <w:ind w:left="1069"/>
        <w:jc w:val="both"/>
        <w:rPr>
          <w:rFonts w:ascii="Arial" w:hAnsi="Arial" w:cs="Arial"/>
          <w:b/>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A668D1" w:rsidRPr="002F31D1" w:rsidTr="00D141C1">
        <w:trPr>
          <w:trHeight w:val="231"/>
          <w:jc w:val="center"/>
        </w:trPr>
        <w:tc>
          <w:tcPr>
            <w:tcW w:w="0" w:type="auto"/>
            <w:shd w:val="clear" w:color="auto" w:fill="632423" w:themeFill="accent2" w:themeFillShade="80"/>
            <w:noWrap/>
            <w:vAlign w:val="center"/>
            <w:hideMark/>
          </w:tcPr>
          <w:p w:rsidR="00A668D1" w:rsidRPr="00D141C1" w:rsidRDefault="00A668D1" w:rsidP="00822DAF">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632423" w:themeFill="accent2" w:themeFillShade="8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6D1C8D" w:rsidRPr="00D141C1">
              <w:rPr>
                <w:rFonts w:ascii="Arial" w:hAnsi="Arial" w:cs="Arial"/>
                <w:b/>
                <w:bCs/>
                <w:color w:val="FFFFFF" w:themeColor="background1"/>
                <w:sz w:val="18"/>
                <w:szCs w:val="18"/>
              </w:rPr>
              <w:t>7</w:t>
            </w:r>
          </w:p>
        </w:tc>
        <w:tc>
          <w:tcPr>
            <w:tcW w:w="1418" w:type="dxa"/>
            <w:shd w:val="clear" w:color="auto" w:fill="632423" w:themeFill="accent2" w:themeFillShade="8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6D1C8D" w:rsidRPr="00D141C1">
              <w:rPr>
                <w:rFonts w:ascii="Arial" w:hAnsi="Arial" w:cs="Arial"/>
                <w:b/>
                <w:bCs/>
                <w:color w:val="FFFFFF" w:themeColor="background1"/>
                <w:sz w:val="18"/>
                <w:szCs w:val="18"/>
              </w:rPr>
              <w:t>6</w:t>
            </w:r>
          </w:p>
        </w:tc>
      </w:tr>
      <w:tr w:rsidR="00A668D1" w:rsidRPr="002F31D1" w:rsidTr="00822DAF">
        <w:trPr>
          <w:trHeight w:val="427"/>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rsidR="00A668D1" w:rsidRPr="002F31D1" w:rsidRDefault="006D1C8D" w:rsidP="00A92A1C">
            <w:pPr>
              <w:autoSpaceDE w:val="0"/>
              <w:autoSpaceDN w:val="0"/>
              <w:adjustRightInd w:val="0"/>
              <w:spacing w:before="80"/>
              <w:jc w:val="right"/>
              <w:rPr>
                <w:rFonts w:ascii="Arial" w:hAnsi="Arial" w:cs="Arial"/>
                <w:sz w:val="18"/>
                <w:szCs w:val="18"/>
              </w:rPr>
            </w:pPr>
            <w:r>
              <w:rPr>
                <w:rFonts w:ascii="Arial" w:hAnsi="Arial" w:cs="Arial"/>
                <w:sz w:val="18"/>
                <w:szCs w:val="18"/>
              </w:rPr>
              <w:t>1,</w:t>
            </w:r>
            <w:r w:rsidR="00800EAD">
              <w:rPr>
                <w:rFonts w:ascii="Arial" w:hAnsi="Arial" w:cs="Arial"/>
                <w:sz w:val="18"/>
                <w:szCs w:val="18"/>
              </w:rPr>
              <w:t>3</w:t>
            </w:r>
            <w:r w:rsidR="00A92A1C">
              <w:rPr>
                <w:rFonts w:ascii="Arial" w:hAnsi="Arial" w:cs="Arial"/>
                <w:sz w:val="18"/>
                <w:szCs w:val="18"/>
              </w:rPr>
              <w:t>45</w:t>
            </w:r>
            <w:r>
              <w:rPr>
                <w:rFonts w:ascii="Arial" w:hAnsi="Arial" w:cs="Arial"/>
                <w:sz w:val="18"/>
                <w:szCs w:val="18"/>
              </w:rPr>
              <w:t>,</w:t>
            </w:r>
            <w:r w:rsidR="00800EAD">
              <w:rPr>
                <w:rFonts w:ascii="Arial" w:hAnsi="Arial" w:cs="Arial"/>
                <w:sz w:val="18"/>
                <w:szCs w:val="18"/>
              </w:rPr>
              <w:t>901</w:t>
            </w:r>
          </w:p>
        </w:tc>
        <w:tc>
          <w:tcPr>
            <w:tcW w:w="1418" w:type="dxa"/>
            <w:shd w:val="clear" w:color="auto" w:fill="auto"/>
            <w:noWrap/>
            <w:vAlign w:val="center"/>
            <w:hideMark/>
          </w:tcPr>
          <w:p w:rsidR="00A668D1" w:rsidRPr="002F31D1" w:rsidRDefault="00A668D1" w:rsidP="006D1C8D">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6D1C8D">
              <w:rPr>
                <w:rFonts w:ascii="Arial" w:hAnsi="Arial" w:cs="Arial"/>
                <w:sz w:val="18"/>
                <w:szCs w:val="18"/>
              </w:rPr>
              <w:t>310,364</w:t>
            </w:r>
          </w:p>
        </w:tc>
      </w:tr>
      <w:tr w:rsidR="00A668D1" w:rsidRPr="002F31D1" w:rsidTr="00822DAF">
        <w:trPr>
          <w:trHeight w:val="231"/>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rsidR="00A668D1" w:rsidRPr="002F31D1" w:rsidRDefault="00800EAD" w:rsidP="00A92A1C">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1</w:t>
            </w:r>
            <w:r w:rsidR="006D1C8D">
              <w:rPr>
                <w:rFonts w:ascii="Arial" w:hAnsi="Arial" w:cs="Arial"/>
                <w:b/>
                <w:sz w:val="18"/>
                <w:szCs w:val="18"/>
                <w:u w:val="double"/>
              </w:rPr>
              <w:t>,</w:t>
            </w:r>
            <w:r w:rsidR="00A92A1C">
              <w:rPr>
                <w:rFonts w:ascii="Arial" w:hAnsi="Arial" w:cs="Arial"/>
                <w:b/>
                <w:sz w:val="18"/>
                <w:szCs w:val="18"/>
                <w:u w:val="double"/>
              </w:rPr>
              <w:t>345</w:t>
            </w:r>
            <w:r w:rsidR="006D1C8D">
              <w:rPr>
                <w:rFonts w:ascii="Arial" w:hAnsi="Arial" w:cs="Arial"/>
                <w:b/>
                <w:sz w:val="18"/>
                <w:szCs w:val="18"/>
                <w:u w:val="double"/>
              </w:rPr>
              <w:t>,</w:t>
            </w:r>
            <w:r>
              <w:rPr>
                <w:rFonts w:ascii="Arial" w:hAnsi="Arial" w:cs="Arial"/>
                <w:b/>
                <w:sz w:val="18"/>
                <w:szCs w:val="18"/>
                <w:u w:val="double"/>
              </w:rPr>
              <w:t>901</w:t>
            </w:r>
          </w:p>
        </w:tc>
        <w:tc>
          <w:tcPr>
            <w:tcW w:w="1418" w:type="dxa"/>
            <w:shd w:val="clear" w:color="auto" w:fill="auto"/>
            <w:noWrap/>
            <w:hideMark/>
          </w:tcPr>
          <w:p w:rsidR="00A668D1" w:rsidRPr="002F31D1" w:rsidRDefault="006D1C8D" w:rsidP="00822DAF">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310,364</w:t>
            </w:r>
            <w:r w:rsidR="00A668D1" w:rsidRPr="002F31D1">
              <w:rPr>
                <w:rFonts w:ascii="Arial" w:hAnsi="Arial" w:cs="Arial"/>
                <w:b/>
                <w:sz w:val="18"/>
                <w:szCs w:val="18"/>
                <w:u w:val="double"/>
              </w:rPr>
              <w:t xml:space="preserve"> </w:t>
            </w:r>
          </w:p>
        </w:tc>
      </w:tr>
    </w:tbl>
    <w:p w:rsidR="00A668D1" w:rsidRPr="00AF6A66"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y Equivalentes: </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A668D1" w:rsidRPr="002F31D1" w:rsidTr="00D141C1">
        <w:trPr>
          <w:trHeight w:val="251"/>
          <w:jc w:val="center"/>
        </w:trPr>
        <w:tc>
          <w:tcPr>
            <w:tcW w:w="0" w:type="auto"/>
            <w:shd w:val="clear" w:color="auto" w:fill="632423" w:themeFill="accent2" w:themeFillShade="8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632423" w:themeFill="accent2" w:themeFillShade="80"/>
            <w:noWrap/>
            <w:vAlign w:val="center"/>
            <w:hideMark/>
          </w:tcPr>
          <w:p w:rsidR="00A668D1" w:rsidRPr="002F31D1" w:rsidRDefault="00A668D1"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2F2FD7">
              <w:rPr>
                <w:rFonts w:ascii="Arial" w:hAnsi="Arial" w:cs="Arial"/>
                <w:b/>
                <w:bCs/>
                <w:color w:val="FFFFFF"/>
                <w:sz w:val="18"/>
                <w:szCs w:val="18"/>
              </w:rPr>
              <w:t>7</w:t>
            </w:r>
          </w:p>
        </w:tc>
        <w:tc>
          <w:tcPr>
            <w:tcW w:w="1418" w:type="dxa"/>
            <w:shd w:val="clear" w:color="auto" w:fill="632423" w:themeFill="accent2" w:themeFillShade="8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2F2FD7">
              <w:rPr>
                <w:rFonts w:ascii="Arial" w:hAnsi="Arial" w:cs="Arial"/>
                <w:b/>
                <w:bCs/>
                <w:color w:val="FFFFFF"/>
                <w:sz w:val="18"/>
                <w:szCs w:val="18"/>
              </w:rPr>
              <w:t>6</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Deudores por anticipo de la tesorería a Corto Plazo</w:t>
            </w:r>
          </w:p>
        </w:tc>
        <w:tc>
          <w:tcPr>
            <w:tcW w:w="1418" w:type="dxa"/>
            <w:shd w:val="clear" w:color="auto" w:fill="auto"/>
            <w:noWrap/>
            <w:vAlign w:val="bottom"/>
            <w:hideMark/>
          </w:tcPr>
          <w:p w:rsidR="00A668D1" w:rsidRPr="002F31D1" w:rsidRDefault="004B0A5D" w:rsidP="00822DAF">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hideMark/>
          </w:tcPr>
          <w:p w:rsidR="00A668D1" w:rsidRPr="002F31D1" w:rsidRDefault="004B0A5D"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tcPr>
          <w:p w:rsidR="00A668D1" w:rsidRPr="002F31D1" w:rsidRDefault="00A668D1" w:rsidP="00822DAF">
            <w:pPr>
              <w:rPr>
                <w:rFonts w:ascii="Arial" w:hAnsi="Arial" w:cs="Arial"/>
                <w:sz w:val="18"/>
                <w:szCs w:val="18"/>
              </w:rPr>
            </w:pPr>
            <w:r w:rsidRPr="002F31D1">
              <w:rPr>
                <w:rFonts w:ascii="Arial" w:hAnsi="Arial" w:cs="Arial"/>
                <w:sz w:val="18"/>
                <w:szCs w:val="18"/>
              </w:rPr>
              <w:t>Deudores diversos por cobrar a Corto Plazo (Gastos a Comprobar )</w:t>
            </w:r>
          </w:p>
        </w:tc>
        <w:tc>
          <w:tcPr>
            <w:tcW w:w="1418" w:type="dxa"/>
            <w:shd w:val="clear" w:color="auto" w:fill="auto"/>
            <w:noWrap/>
            <w:vAlign w:val="bottom"/>
          </w:tcPr>
          <w:p w:rsidR="00A668D1" w:rsidRPr="002F31D1" w:rsidRDefault="00800EAD" w:rsidP="00800EAD">
            <w:pPr>
              <w:jc w:val="center"/>
              <w:rPr>
                <w:rFonts w:ascii="Arial" w:hAnsi="Arial" w:cs="Arial"/>
                <w:sz w:val="18"/>
                <w:szCs w:val="18"/>
              </w:rPr>
            </w:pPr>
            <w:r>
              <w:rPr>
                <w:rFonts w:ascii="Arial" w:hAnsi="Arial" w:cs="Arial"/>
                <w:sz w:val="18"/>
                <w:szCs w:val="18"/>
              </w:rPr>
              <w:t xml:space="preserve">                2,735</w:t>
            </w:r>
          </w:p>
        </w:tc>
        <w:tc>
          <w:tcPr>
            <w:tcW w:w="1418" w:type="dxa"/>
            <w:shd w:val="clear" w:color="auto" w:fill="auto"/>
            <w:noWrap/>
            <w:vAlign w:val="bottom"/>
          </w:tcPr>
          <w:p w:rsidR="00A668D1" w:rsidRPr="002F31D1" w:rsidRDefault="002F2FD7"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Préstamos otorgados a Corto Plazo (Préstamos Personales)</w:t>
            </w:r>
          </w:p>
        </w:tc>
        <w:tc>
          <w:tcPr>
            <w:tcW w:w="1418" w:type="dxa"/>
            <w:shd w:val="clear" w:color="auto" w:fill="auto"/>
            <w:noWrap/>
            <w:vAlign w:val="bottom"/>
            <w:hideMark/>
          </w:tcPr>
          <w:p w:rsidR="00A668D1" w:rsidRPr="002F31D1" w:rsidRDefault="0047014A" w:rsidP="00C50E63">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hideMark/>
          </w:tcPr>
          <w:p w:rsidR="00A668D1" w:rsidRPr="002F31D1" w:rsidRDefault="00C50E63"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Otros derechos a recibir efectivo o equivalentes a Cort</w:t>
            </w:r>
            <w:r>
              <w:rPr>
                <w:rFonts w:ascii="Arial" w:hAnsi="Arial" w:cs="Arial"/>
                <w:sz w:val="18"/>
                <w:szCs w:val="18"/>
              </w:rPr>
              <w:t>o Plazo (Subsidio al empleo</w:t>
            </w:r>
            <w:r w:rsidRPr="002F31D1">
              <w:rPr>
                <w:rFonts w:ascii="Arial" w:hAnsi="Arial" w:cs="Arial"/>
                <w:sz w:val="18"/>
                <w:szCs w:val="18"/>
              </w:rPr>
              <w:t>)</w:t>
            </w:r>
          </w:p>
        </w:tc>
        <w:tc>
          <w:tcPr>
            <w:tcW w:w="1418" w:type="dxa"/>
            <w:shd w:val="clear" w:color="auto" w:fill="auto"/>
            <w:noWrap/>
            <w:vAlign w:val="bottom"/>
            <w:hideMark/>
          </w:tcPr>
          <w:p w:rsidR="00A668D1" w:rsidRPr="002F31D1" w:rsidRDefault="00800EAD" w:rsidP="00800EAD">
            <w:pPr>
              <w:jc w:val="center"/>
              <w:rPr>
                <w:rFonts w:ascii="Arial" w:hAnsi="Arial" w:cs="Arial"/>
                <w:sz w:val="18"/>
                <w:szCs w:val="18"/>
              </w:rPr>
            </w:pPr>
            <w:r>
              <w:rPr>
                <w:rFonts w:ascii="Arial" w:hAnsi="Arial" w:cs="Arial"/>
                <w:sz w:val="18"/>
                <w:szCs w:val="18"/>
              </w:rPr>
              <w:t xml:space="preserve">                   117</w:t>
            </w:r>
          </w:p>
        </w:tc>
        <w:tc>
          <w:tcPr>
            <w:tcW w:w="1418" w:type="dxa"/>
            <w:shd w:val="clear" w:color="auto" w:fill="auto"/>
            <w:noWrap/>
            <w:vAlign w:val="bottom"/>
            <w:hideMark/>
          </w:tcPr>
          <w:p w:rsidR="00A668D1" w:rsidRPr="002F31D1" w:rsidRDefault="002F2FD7" w:rsidP="00822DAF">
            <w:pPr>
              <w:jc w:val="right"/>
              <w:rPr>
                <w:rFonts w:ascii="Arial" w:hAnsi="Arial" w:cs="Arial"/>
                <w:sz w:val="18"/>
                <w:szCs w:val="18"/>
              </w:rPr>
            </w:pPr>
            <w:r>
              <w:rPr>
                <w:rFonts w:ascii="Arial" w:hAnsi="Arial" w:cs="Arial"/>
                <w:sz w:val="18"/>
                <w:szCs w:val="18"/>
              </w:rPr>
              <w:t>240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rsidR="00A668D1" w:rsidRPr="002F31D1" w:rsidRDefault="00800EAD" w:rsidP="00800EAD">
            <w:pPr>
              <w:ind w:left="708"/>
              <w:jc w:val="center"/>
              <w:rPr>
                <w:rFonts w:ascii="Arial" w:hAnsi="Arial" w:cs="Arial"/>
                <w:b/>
                <w:bCs/>
                <w:sz w:val="18"/>
                <w:szCs w:val="18"/>
                <w:u w:val="double"/>
              </w:rPr>
            </w:pPr>
            <w:r>
              <w:rPr>
                <w:rFonts w:ascii="Arial" w:hAnsi="Arial" w:cs="Arial"/>
                <w:b/>
                <w:bCs/>
                <w:sz w:val="18"/>
                <w:szCs w:val="18"/>
                <w:u w:val="double"/>
              </w:rPr>
              <w:t xml:space="preserve"> 2,852</w:t>
            </w:r>
          </w:p>
        </w:tc>
        <w:tc>
          <w:tcPr>
            <w:tcW w:w="1418" w:type="dxa"/>
            <w:shd w:val="clear" w:color="auto" w:fill="auto"/>
            <w:noWrap/>
            <w:vAlign w:val="bottom"/>
            <w:hideMark/>
          </w:tcPr>
          <w:p w:rsidR="00A668D1" w:rsidRPr="002F31D1" w:rsidRDefault="00A668D1" w:rsidP="002F2FD7">
            <w:pPr>
              <w:jc w:val="right"/>
              <w:rPr>
                <w:rFonts w:ascii="Arial" w:hAnsi="Arial" w:cs="Arial"/>
                <w:b/>
                <w:bCs/>
                <w:sz w:val="18"/>
                <w:szCs w:val="18"/>
                <w:u w:val="double"/>
              </w:rPr>
            </w:pPr>
            <w:r w:rsidRPr="002F31D1">
              <w:rPr>
                <w:rFonts w:ascii="Arial" w:hAnsi="Arial" w:cs="Arial"/>
                <w:b/>
                <w:bCs/>
                <w:sz w:val="18"/>
                <w:szCs w:val="18"/>
              </w:rPr>
              <w:t xml:space="preserve">       </w:t>
            </w:r>
            <w:r w:rsidR="002F2FD7">
              <w:rPr>
                <w:rFonts w:ascii="Arial" w:hAnsi="Arial" w:cs="Arial"/>
                <w:b/>
                <w:bCs/>
                <w:sz w:val="18"/>
                <w:szCs w:val="18"/>
                <w:u w:val="double"/>
              </w:rPr>
              <w:t>240</w:t>
            </w:r>
          </w:p>
        </w:tc>
      </w:tr>
    </w:tbl>
    <w:p w:rsidR="00A668D1" w:rsidRPr="00AF6A66"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6C5B47" w:rsidRDefault="00A668D1" w:rsidP="00A668D1">
      <w:pPr>
        <w:autoSpaceDE w:val="0"/>
        <w:autoSpaceDN w:val="0"/>
        <w:adjustRightInd w:val="0"/>
        <w:spacing w:before="80" w:after="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lastRenderedPageBreak/>
        <w:t>Bienes Muebles e Inmuebles:</w:t>
      </w:r>
    </w:p>
    <w:p w:rsidR="00A668D1" w:rsidRPr="00396B1A" w:rsidRDefault="00A668D1" w:rsidP="00A668D1">
      <w:pPr>
        <w:pStyle w:val="Prrafodelista"/>
        <w:autoSpaceDE w:val="0"/>
        <w:autoSpaceDN w:val="0"/>
        <w:adjustRightInd w:val="0"/>
        <w:spacing w:before="80"/>
        <w:ind w:left="1418"/>
        <w:rPr>
          <w:rFonts w:ascii="Arial" w:hAnsi="Arial" w:cs="Arial"/>
          <w:b/>
          <w:sz w:val="12"/>
          <w:szCs w:val="12"/>
        </w:rPr>
      </w:pPr>
    </w:p>
    <w:tbl>
      <w:tblPr>
        <w:tblW w:w="6783" w:type="dxa"/>
        <w:jc w:val="center"/>
        <w:tblCellMar>
          <w:left w:w="70" w:type="dxa"/>
          <w:right w:w="70" w:type="dxa"/>
        </w:tblCellMar>
        <w:tblLook w:val="04A0" w:firstRow="1" w:lastRow="0" w:firstColumn="1" w:lastColumn="0" w:noHBand="0" w:noVBand="1"/>
      </w:tblPr>
      <w:tblGrid>
        <w:gridCol w:w="3882"/>
        <w:gridCol w:w="1626"/>
        <w:gridCol w:w="1275"/>
      </w:tblGrid>
      <w:tr w:rsidR="00A668D1" w:rsidRPr="002F31D1" w:rsidTr="00D141C1">
        <w:trPr>
          <w:trHeight w:val="102"/>
          <w:jc w:val="center"/>
        </w:trPr>
        <w:tc>
          <w:tcPr>
            <w:tcW w:w="3882" w:type="dxa"/>
            <w:shd w:val="clear" w:color="auto" w:fill="632423" w:themeFill="accent2" w:themeFillShade="8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Bienes Muebles</w:t>
            </w:r>
          </w:p>
        </w:tc>
        <w:tc>
          <w:tcPr>
            <w:tcW w:w="1626" w:type="dxa"/>
            <w:shd w:val="clear" w:color="auto" w:fill="632423" w:themeFill="accent2" w:themeFillShade="80"/>
            <w:noWrap/>
            <w:vAlign w:val="center"/>
            <w:hideMark/>
          </w:tcPr>
          <w:p w:rsidR="00A668D1" w:rsidRPr="002F31D1" w:rsidRDefault="00A668D1" w:rsidP="00E83AE6">
            <w:pPr>
              <w:jc w:val="center"/>
              <w:rPr>
                <w:rFonts w:ascii="Arial" w:hAnsi="Arial" w:cs="Arial"/>
                <w:b/>
                <w:bCs/>
                <w:color w:val="FFFFFF"/>
                <w:sz w:val="18"/>
                <w:szCs w:val="18"/>
              </w:rPr>
            </w:pPr>
            <w:r>
              <w:rPr>
                <w:rFonts w:ascii="Arial" w:hAnsi="Arial" w:cs="Arial"/>
                <w:b/>
                <w:bCs/>
                <w:color w:val="FFFFFF"/>
                <w:sz w:val="18"/>
                <w:szCs w:val="18"/>
              </w:rPr>
              <w:t>201</w:t>
            </w:r>
            <w:r w:rsidR="002F2FD7">
              <w:rPr>
                <w:rFonts w:ascii="Arial" w:hAnsi="Arial" w:cs="Arial"/>
                <w:b/>
                <w:bCs/>
                <w:color w:val="FFFFFF"/>
                <w:sz w:val="18"/>
                <w:szCs w:val="18"/>
              </w:rPr>
              <w:t>7</w:t>
            </w:r>
          </w:p>
        </w:tc>
        <w:tc>
          <w:tcPr>
            <w:tcW w:w="0" w:type="auto"/>
            <w:shd w:val="clear" w:color="auto" w:fill="632423" w:themeFill="accent2" w:themeFillShade="80"/>
            <w:vAlign w:val="center"/>
            <w:hideMark/>
          </w:tcPr>
          <w:p w:rsidR="00A668D1" w:rsidRPr="002F31D1" w:rsidRDefault="00A668D1" w:rsidP="002F2FD7">
            <w:pPr>
              <w:rPr>
                <w:rFonts w:ascii="Arial" w:hAnsi="Arial" w:cs="Arial"/>
                <w:b/>
                <w:bCs/>
                <w:color w:val="FFFFFF"/>
                <w:sz w:val="18"/>
                <w:szCs w:val="18"/>
              </w:rPr>
            </w:pPr>
            <w:r w:rsidRPr="002F31D1">
              <w:rPr>
                <w:rFonts w:ascii="Arial" w:hAnsi="Arial" w:cs="Arial"/>
                <w:b/>
                <w:bCs/>
                <w:color w:val="FFFFFF"/>
                <w:sz w:val="18"/>
                <w:szCs w:val="18"/>
              </w:rPr>
              <w:t>201</w:t>
            </w:r>
            <w:r w:rsidR="002F2FD7">
              <w:rPr>
                <w:rFonts w:ascii="Arial" w:hAnsi="Arial" w:cs="Arial"/>
                <w:b/>
                <w:bCs/>
                <w:color w:val="FFFFFF"/>
                <w:sz w:val="18"/>
                <w:szCs w:val="18"/>
              </w:rPr>
              <w:t>6</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26" w:type="dxa"/>
            <w:shd w:val="clear" w:color="auto" w:fill="auto"/>
            <w:noWrap/>
            <w:vAlign w:val="bottom"/>
            <w:hideMark/>
          </w:tcPr>
          <w:p w:rsidR="00A668D1" w:rsidRPr="002F31D1" w:rsidRDefault="00FD179C" w:rsidP="00800EAD">
            <w:pPr>
              <w:jc w:val="right"/>
              <w:rPr>
                <w:rFonts w:ascii="Arial" w:hAnsi="Arial" w:cs="Arial"/>
                <w:color w:val="000000"/>
                <w:sz w:val="18"/>
                <w:szCs w:val="18"/>
              </w:rPr>
            </w:pPr>
            <w:r>
              <w:rPr>
                <w:rFonts w:ascii="Arial" w:hAnsi="Arial" w:cs="Arial"/>
                <w:color w:val="000000"/>
                <w:sz w:val="18"/>
                <w:szCs w:val="18"/>
              </w:rPr>
              <w:t>7</w:t>
            </w:r>
            <w:r w:rsidR="00800EAD">
              <w:rPr>
                <w:rFonts w:ascii="Arial" w:hAnsi="Arial" w:cs="Arial"/>
                <w:color w:val="000000"/>
                <w:sz w:val="18"/>
                <w:szCs w:val="18"/>
              </w:rPr>
              <w:t>72</w:t>
            </w:r>
            <w:r w:rsidR="002F2FD7">
              <w:rPr>
                <w:rFonts w:ascii="Arial" w:hAnsi="Arial" w:cs="Arial"/>
                <w:color w:val="000000"/>
                <w:sz w:val="18"/>
                <w:szCs w:val="18"/>
              </w:rPr>
              <w:t>,</w:t>
            </w:r>
            <w:r w:rsidR="00800EAD">
              <w:rPr>
                <w:rFonts w:ascii="Arial" w:hAnsi="Arial" w:cs="Arial"/>
                <w:color w:val="000000"/>
                <w:sz w:val="18"/>
                <w:szCs w:val="18"/>
              </w:rPr>
              <w:t>38</w:t>
            </w:r>
            <w:r w:rsidR="00A92A1C">
              <w:rPr>
                <w:rFonts w:ascii="Arial" w:hAnsi="Arial" w:cs="Arial"/>
                <w:color w:val="000000"/>
                <w:sz w:val="18"/>
                <w:szCs w:val="18"/>
              </w:rPr>
              <w:t>2</w:t>
            </w:r>
          </w:p>
        </w:tc>
        <w:tc>
          <w:tcPr>
            <w:tcW w:w="0" w:type="auto"/>
            <w:shd w:val="clear" w:color="auto" w:fill="auto"/>
            <w:noWrap/>
            <w:vAlign w:val="bottom"/>
          </w:tcPr>
          <w:p w:rsidR="00A668D1" w:rsidRPr="002F31D1" w:rsidRDefault="002F2FD7" w:rsidP="00822DAF">
            <w:pPr>
              <w:jc w:val="right"/>
              <w:rPr>
                <w:rFonts w:ascii="Arial" w:hAnsi="Arial" w:cs="Arial"/>
                <w:color w:val="000000"/>
                <w:sz w:val="18"/>
                <w:szCs w:val="18"/>
              </w:rPr>
            </w:pPr>
            <w:r w:rsidRPr="00FC392C">
              <w:rPr>
                <w:rFonts w:ascii="Arial" w:hAnsi="Arial" w:cs="Arial"/>
                <w:color w:val="000000"/>
                <w:sz w:val="18"/>
                <w:szCs w:val="18"/>
              </w:rPr>
              <w:t>710,522</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26" w:type="dxa"/>
            <w:shd w:val="clear" w:color="auto" w:fill="auto"/>
            <w:noWrap/>
            <w:vAlign w:val="bottom"/>
            <w:hideMark/>
          </w:tcPr>
          <w:p w:rsidR="00A668D1" w:rsidRPr="002F31D1" w:rsidRDefault="00A668D1" w:rsidP="00FD179C">
            <w:pPr>
              <w:jc w:val="right"/>
              <w:rPr>
                <w:rFonts w:ascii="Arial" w:hAnsi="Arial" w:cs="Arial"/>
                <w:color w:val="000000"/>
                <w:sz w:val="18"/>
                <w:szCs w:val="18"/>
              </w:rPr>
            </w:pPr>
            <w:r w:rsidRPr="002F31D1">
              <w:rPr>
                <w:rFonts w:ascii="Arial" w:hAnsi="Arial" w:cs="Arial"/>
                <w:color w:val="000000"/>
                <w:sz w:val="18"/>
                <w:szCs w:val="18"/>
              </w:rPr>
              <w:t xml:space="preserve">         </w:t>
            </w:r>
            <w:r w:rsidR="00FD179C">
              <w:rPr>
                <w:rFonts w:ascii="Arial" w:hAnsi="Arial" w:cs="Arial"/>
                <w:color w:val="000000"/>
                <w:sz w:val="18"/>
                <w:szCs w:val="18"/>
              </w:rPr>
              <w:t>23,365</w:t>
            </w:r>
            <w:r w:rsidRPr="002F31D1">
              <w:rPr>
                <w:rFonts w:ascii="Arial" w:hAnsi="Arial" w:cs="Arial"/>
                <w:color w:val="000000"/>
                <w:sz w:val="18"/>
                <w:szCs w:val="18"/>
              </w:rPr>
              <w:t xml:space="preserve"> </w:t>
            </w:r>
          </w:p>
        </w:tc>
        <w:tc>
          <w:tcPr>
            <w:tcW w:w="0" w:type="auto"/>
            <w:shd w:val="clear" w:color="auto" w:fill="auto"/>
            <w:noWrap/>
            <w:vAlign w:val="bottom"/>
          </w:tcPr>
          <w:p w:rsidR="00A668D1" w:rsidRPr="002F31D1" w:rsidRDefault="00A668D1" w:rsidP="002F2FD7">
            <w:pPr>
              <w:jc w:val="right"/>
              <w:rPr>
                <w:rFonts w:ascii="Arial" w:hAnsi="Arial" w:cs="Arial"/>
                <w:color w:val="000000"/>
                <w:sz w:val="18"/>
                <w:szCs w:val="18"/>
              </w:rPr>
            </w:pPr>
            <w:r w:rsidRPr="002F31D1">
              <w:rPr>
                <w:rFonts w:ascii="Arial" w:hAnsi="Arial" w:cs="Arial"/>
                <w:color w:val="000000"/>
                <w:sz w:val="18"/>
                <w:szCs w:val="18"/>
              </w:rPr>
              <w:t xml:space="preserve">         </w:t>
            </w:r>
            <w:r w:rsidR="002F2FD7">
              <w:rPr>
                <w:rFonts w:ascii="Arial" w:hAnsi="Arial" w:cs="Arial"/>
                <w:color w:val="000000"/>
                <w:sz w:val="18"/>
                <w:szCs w:val="18"/>
              </w:rPr>
              <w:t>23,365</w:t>
            </w:r>
            <w:r w:rsidRPr="002F31D1">
              <w:rPr>
                <w:rFonts w:ascii="Arial" w:hAnsi="Arial" w:cs="Arial"/>
                <w:color w:val="000000"/>
                <w:sz w:val="18"/>
                <w:szCs w:val="18"/>
              </w:rPr>
              <w:t xml:space="preserve">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26" w:type="dxa"/>
            <w:shd w:val="clear" w:color="auto" w:fill="auto"/>
            <w:noWrap/>
            <w:vAlign w:val="bottom"/>
            <w:hideMark/>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5,900 </w:t>
            </w:r>
          </w:p>
        </w:tc>
        <w:tc>
          <w:tcPr>
            <w:tcW w:w="0" w:type="auto"/>
            <w:shd w:val="clear" w:color="auto" w:fill="auto"/>
            <w:noWrap/>
            <w:vAlign w:val="bottom"/>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5,900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Equipo de Transporte</w:t>
            </w:r>
          </w:p>
        </w:tc>
        <w:tc>
          <w:tcPr>
            <w:tcW w:w="1626" w:type="dxa"/>
            <w:shd w:val="clear" w:color="auto" w:fill="auto"/>
            <w:noWrap/>
            <w:vAlign w:val="bottom"/>
            <w:hideMark/>
          </w:tcPr>
          <w:p w:rsidR="00A668D1" w:rsidRPr="002F31D1" w:rsidRDefault="00A668D1" w:rsidP="00800EAD">
            <w:pPr>
              <w:jc w:val="right"/>
              <w:rPr>
                <w:rFonts w:ascii="Arial" w:hAnsi="Arial" w:cs="Arial"/>
                <w:color w:val="000000"/>
                <w:sz w:val="18"/>
                <w:szCs w:val="18"/>
              </w:rPr>
            </w:pPr>
            <w:r>
              <w:rPr>
                <w:rFonts w:ascii="Arial" w:hAnsi="Arial" w:cs="Arial"/>
                <w:color w:val="000000"/>
                <w:sz w:val="18"/>
                <w:szCs w:val="18"/>
              </w:rPr>
              <w:t xml:space="preserve">      </w:t>
            </w:r>
            <w:r w:rsidR="00800EAD">
              <w:rPr>
                <w:rFonts w:ascii="Arial" w:hAnsi="Arial" w:cs="Arial"/>
                <w:color w:val="000000"/>
                <w:sz w:val="18"/>
                <w:szCs w:val="18"/>
              </w:rPr>
              <w:t>2</w:t>
            </w:r>
            <w:r w:rsidR="00FD179C">
              <w:rPr>
                <w:rFonts w:ascii="Arial" w:hAnsi="Arial" w:cs="Arial"/>
                <w:color w:val="000000"/>
                <w:sz w:val="18"/>
                <w:szCs w:val="18"/>
              </w:rPr>
              <w:t>,</w:t>
            </w:r>
            <w:r w:rsidR="00800EAD">
              <w:rPr>
                <w:rFonts w:ascii="Arial" w:hAnsi="Arial" w:cs="Arial"/>
                <w:color w:val="000000"/>
                <w:sz w:val="18"/>
                <w:szCs w:val="18"/>
              </w:rPr>
              <w:t>287</w:t>
            </w:r>
            <w:r w:rsidR="00FD179C">
              <w:rPr>
                <w:rFonts w:ascii="Arial" w:hAnsi="Arial" w:cs="Arial"/>
                <w:color w:val="000000"/>
                <w:sz w:val="18"/>
                <w:szCs w:val="18"/>
              </w:rPr>
              <w:t>,</w:t>
            </w:r>
            <w:r w:rsidR="00800EAD">
              <w:rPr>
                <w:rFonts w:ascii="Arial" w:hAnsi="Arial" w:cs="Arial"/>
                <w:color w:val="000000"/>
                <w:sz w:val="18"/>
                <w:szCs w:val="18"/>
              </w:rPr>
              <w:t>2</w:t>
            </w:r>
            <w:r w:rsidR="00FD179C">
              <w:rPr>
                <w:rFonts w:ascii="Arial" w:hAnsi="Arial" w:cs="Arial"/>
                <w:color w:val="000000"/>
                <w:sz w:val="18"/>
                <w:szCs w:val="18"/>
              </w:rPr>
              <w:t>98</w:t>
            </w:r>
            <w:r w:rsidRPr="002F31D1">
              <w:rPr>
                <w:rFonts w:ascii="Arial" w:hAnsi="Arial" w:cs="Arial"/>
                <w:color w:val="000000"/>
                <w:sz w:val="18"/>
                <w:szCs w:val="18"/>
              </w:rPr>
              <w:t xml:space="preserve"> </w:t>
            </w:r>
          </w:p>
        </w:tc>
        <w:tc>
          <w:tcPr>
            <w:tcW w:w="0" w:type="auto"/>
            <w:shd w:val="clear" w:color="auto" w:fill="auto"/>
            <w:noWrap/>
            <w:vAlign w:val="bottom"/>
          </w:tcPr>
          <w:p w:rsidR="00A668D1" w:rsidRPr="002F31D1" w:rsidRDefault="00A668D1" w:rsidP="002F2FD7">
            <w:pPr>
              <w:jc w:val="right"/>
              <w:rPr>
                <w:rFonts w:ascii="Arial" w:hAnsi="Arial" w:cs="Arial"/>
                <w:color w:val="000000"/>
                <w:sz w:val="18"/>
                <w:szCs w:val="18"/>
              </w:rPr>
            </w:pPr>
            <w:r w:rsidRPr="002F31D1">
              <w:rPr>
                <w:rFonts w:ascii="Arial" w:hAnsi="Arial" w:cs="Arial"/>
                <w:color w:val="000000"/>
                <w:sz w:val="18"/>
                <w:szCs w:val="18"/>
              </w:rPr>
              <w:t xml:space="preserve">      </w:t>
            </w:r>
            <w:r w:rsidR="002F2FD7">
              <w:rPr>
                <w:rFonts w:ascii="Arial" w:hAnsi="Arial" w:cs="Arial"/>
                <w:color w:val="000000"/>
                <w:sz w:val="18"/>
                <w:szCs w:val="18"/>
              </w:rPr>
              <w:t>1,940,698</w:t>
            </w:r>
            <w:r w:rsidRPr="002F31D1">
              <w:rPr>
                <w:rFonts w:ascii="Arial" w:hAnsi="Arial" w:cs="Arial"/>
                <w:color w:val="000000"/>
                <w:sz w:val="18"/>
                <w:szCs w:val="18"/>
              </w:rPr>
              <w:t xml:space="preserve">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26" w:type="dxa"/>
            <w:shd w:val="clear" w:color="auto" w:fill="auto"/>
            <w:noWrap/>
            <w:vAlign w:val="bottom"/>
            <w:hideMark/>
          </w:tcPr>
          <w:p w:rsidR="00A668D1" w:rsidRPr="002F31D1" w:rsidRDefault="00A668D1" w:rsidP="00800EAD">
            <w:pPr>
              <w:jc w:val="right"/>
              <w:rPr>
                <w:rFonts w:ascii="Arial" w:hAnsi="Arial" w:cs="Arial"/>
                <w:color w:val="000000"/>
                <w:sz w:val="18"/>
                <w:szCs w:val="18"/>
              </w:rPr>
            </w:pPr>
            <w:r w:rsidRPr="002F31D1">
              <w:rPr>
                <w:rFonts w:ascii="Arial" w:hAnsi="Arial" w:cs="Arial"/>
                <w:color w:val="000000"/>
                <w:sz w:val="18"/>
                <w:szCs w:val="18"/>
              </w:rPr>
              <w:t xml:space="preserve">       4</w:t>
            </w:r>
            <w:r w:rsidR="00800EAD">
              <w:rPr>
                <w:rFonts w:ascii="Arial" w:hAnsi="Arial" w:cs="Arial"/>
                <w:color w:val="000000"/>
                <w:sz w:val="18"/>
                <w:szCs w:val="18"/>
              </w:rPr>
              <w:t>5</w:t>
            </w:r>
            <w:r w:rsidRPr="002F31D1">
              <w:rPr>
                <w:rFonts w:ascii="Arial" w:hAnsi="Arial" w:cs="Arial"/>
                <w:color w:val="000000"/>
                <w:sz w:val="18"/>
                <w:szCs w:val="18"/>
              </w:rPr>
              <w:t>,62</w:t>
            </w:r>
            <w:r w:rsidR="00A92A1C">
              <w:rPr>
                <w:rFonts w:ascii="Arial" w:hAnsi="Arial" w:cs="Arial"/>
                <w:color w:val="000000"/>
                <w:sz w:val="18"/>
                <w:szCs w:val="18"/>
              </w:rPr>
              <w:t>2</w:t>
            </w:r>
            <w:r w:rsidRPr="002F31D1">
              <w:rPr>
                <w:rFonts w:ascii="Arial" w:hAnsi="Arial" w:cs="Arial"/>
                <w:color w:val="000000"/>
                <w:sz w:val="18"/>
                <w:szCs w:val="18"/>
              </w:rPr>
              <w:t xml:space="preserve"> </w:t>
            </w:r>
          </w:p>
        </w:tc>
        <w:tc>
          <w:tcPr>
            <w:tcW w:w="0" w:type="auto"/>
            <w:shd w:val="clear" w:color="auto" w:fill="auto"/>
            <w:noWrap/>
            <w:vAlign w:val="bottom"/>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43,623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b/>
                <w:sz w:val="18"/>
                <w:szCs w:val="18"/>
              </w:rPr>
              <w:t>Total</w:t>
            </w:r>
          </w:p>
        </w:tc>
        <w:tc>
          <w:tcPr>
            <w:tcW w:w="1626" w:type="dxa"/>
            <w:shd w:val="clear" w:color="auto" w:fill="auto"/>
            <w:noWrap/>
            <w:vAlign w:val="center"/>
            <w:hideMark/>
          </w:tcPr>
          <w:p w:rsidR="00A668D1" w:rsidRPr="002F31D1" w:rsidRDefault="00A668D1" w:rsidP="00800EAD">
            <w:pPr>
              <w:jc w:val="right"/>
              <w:rPr>
                <w:rFonts w:ascii="Arial" w:hAnsi="Arial" w:cs="Arial"/>
                <w:b/>
                <w:bCs/>
                <w:sz w:val="18"/>
                <w:szCs w:val="18"/>
                <w:u w:val="double"/>
              </w:rPr>
            </w:pPr>
            <w:r>
              <w:rPr>
                <w:rFonts w:ascii="Arial" w:hAnsi="Arial" w:cs="Arial"/>
                <w:b/>
                <w:bCs/>
                <w:sz w:val="18"/>
                <w:szCs w:val="18"/>
                <w:u w:val="double"/>
              </w:rPr>
              <w:t xml:space="preserve">  </w:t>
            </w:r>
            <w:r w:rsidR="00800EAD">
              <w:rPr>
                <w:rFonts w:ascii="Arial" w:hAnsi="Arial" w:cs="Arial"/>
                <w:b/>
                <w:bCs/>
                <w:sz w:val="18"/>
                <w:szCs w:val="18"/>
                <w:u w:val="double"/>
              </w:rPr>
              <w:t>3</w:t>
            </w:r>
            <w:r w:rsidR="005917DB">
              <w:rPr>
                <w:rFonts w:ascii="Arial" w:hAnsi="Arial" w:cs="Arial"/>
                <w:b/>
                <w:bCs/>
                <w:sz w:val="18"/>
                <w:szCs w:val="18"/>
                <w:u w:val="double"/>
              </w:rPr>
              <w:t>,</w:t>
            </w:r>
            <w:r w:rsidR="00800EAD">
              <w:rPr>
                <w:rFonts w:ascii="Arial" w:hAnsi="Arial" w:cs="Arial"/>
                <w:b/>
                <w:bCs/>
                <w:sz w:val="18"/>
                <w:szCs w:val="18"/>
                <w:u w:val="double"/>
              </w:rPr>
              <w:t>134</w:t>
            </w:r>
            <w:r w:rsidR="005917DB">
              <w:rPr>
                <w:rFonts w:ascii="Arial" w:hAnsi="Arial" w:cs="Arial"/>
                <w:b/>
                <w:bCs/>
                <w:sz w:val="18"/>
                <w:szCs w:val="18"/>
                <w:u w:val="double"/>
              </w:rPr>
              <w:t>,5</w:t>
            </w:r>
            <w:r w:rsidR="00800EAD">
              <w:rPr>
                <w:rFonts w:ascii="Arial" w:hAnsi="Arial" w:cs="Arial"/>
                <w:b/>
                <w:bCs/>
                <w:sz w:val="18"/>
                <w:szCs w:val="18"/>
                <w:u w:val="double"/>
              </w:rPr>
              <w:t>65</w:t>
            </w:r>
          </w:p>
        </w:tc>
        <w:tc>
          <w:tcPr>
            <w:tcW w:w="0" w:type="auto"/>
            <w:shd w:val="clear" w:color="auto" w:fill="auto"/>
            <w:noWrap/>
            <w:vAlign w:val="center"/>
            <w:hideMark/>
          </w:tcPr>
          <w:p w:rsidR="00A668D1" w:rsidRPr="002F31D1" w:rsidRDefault="00A668D1" w:rsidP="002F2FD7">
            <w:pPr>
              <w:jc w:val="right"/>
              <w:rPr>
                <w:rFonts w:ascii="Arial" w:hAnsi="Arial" w:cs="Arial"/>
                <w:b/>
                <w:bCs/>
                <w:sz w:val="18"/>
                <w:szCs w:val="18"/>
                <w:u w:val="double"/>
              </w:rPr>
            </w:pPr>
            <w:r w:rsidRPr="002F31D1">
              <w:rPr>
                <w:rFonts w:ascii="Arial" w:hAnsi="Arial" w:cs="Arial"/>
                <w:b/>
                <w:bCs/>
                <w:sz w:val="18"/>
                <w:szCs w:val="18"/>
                <w:u w:val="double"/>
              </w:rPr>
              <w:t xml:space="preserve">  </w:t>
            </w:r>
            <w:r w:rsidR="00C50E63">
              <w:rPr>
                <w:rFonts w:ascii="Arial" w:hAnsi="Arial" w:cs="Arial"/>
                <w:b/>
                <w:bCs/>
                <w:sz w:val="18"/>
                <w:szCs w:val="18"/>
                <w:u w:val="double"/>
              </w:rPr>
              <w:t>2,</w:t>
            </w:r>
            <w:r w:rsidR="002F2FD7">
              <w:rPr>
                <w:rFonts w:ascii="Arial" w:hAnsi="Arial" w:cs="Arial"/>
                <w:b/>
                <w:bCs/>
                <w:sz w:val="18"/>
                <w:szCs w:val="18"/>
                <w:u w:val="double"/>
              </w:rPr>
              <w:t>724,108</w:t>
            </w:r>
            <w:r w:rsidRPr="002F31D1">
              <w:rPr>
                <w:rFonts w:ascii="Arial" w:hAnsi="Arial" w:cs="Arial"/>
                <w:b/>
                <w:bCs/>
                <w:sz w:val="18"/>
                <w:szCs w:val="18"/>
                <w:u w:val="double"/>
              </w:rPr>
              <w:t xml:space="preserve"> </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pStyle w:val="Prrafodelista"/>
        <w:numPr>
          <w:ilvl w:val="1"/>
          <w:numId w:val="20"/>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rsidR="00A668D1" w:rsidRDefault="00A668D1" w:rsidP="00A668D1">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822DAF" w:rsidRPr="002F31D1" w:rsidTr="00D141C1">
        <w:trPr>
          <w:trHeight w:val="383"/>
          <w:jc w:val="center"/>
        </w:trPr>
        <w:tc>
          <w:tcPr>
            <w:tcW w:w="3710" w:type="dxa"/>
            <w:shd w:val="clear" w:color="auto" w:fill="632423" w:themeFill="accent2" w:themeFillShade="80"/>
            <w:noWrap/>
            <w:vAlign w:val="center"/>
            <w:hideMark/>
          </w:tcPr>
          <w:p w:rsidR="00822DAF" w:rsidRPr="002F31D1" w:rsidRDefault="00822DAF" w:rsidP="00822DAF">
            <w:pP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632423" w:themeFill="accent2" w:themeFillShade="80"/>
          </w:tcPr>
          <w:p w:rsidR="00822DAF"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7</w:t>
            </w:r>
          </w:p>
        </w:tc>
        <w:tc>
          <w:tcPr>
            <w:tcW w:w="1554" w:type="dxa"/>
            <w:shd w:val="clear" w:color="auto" w:fill="632423" w:themeFill="accent2" w:themeFillShade="80"/>
            <w:noWrap/>
            <w:vAlign w:val="center"/>
            <w:hideMark/>
          </w:tcPr>
          <w:p w:rsidR="00822DAF" w:rsidRPr="002F31D1"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6</w:t>
            </w:r>
          </w:p>
        </w:tc>
      </w:tr>
      <w:tr w:rsidR="00822DAF" w:rsidRPr="002F31D1" w:rsidTr="00822DAF">
        <w:trPr>
          <w:trHeight w:val="100"/>
          <w:jc w:val="center"/>
        </w:trPr>
        <w:tc>
          <w:tcPr>
            <w:tcW w:w="3710" w:type="dxa"/>
            <w:shd w:val="clear" w:color="auto" w:fill="auto"/>
            <w:noWrap/>
            <w:vAlign w:val="bottom"/>
            <w:hideMark/>
          </w:tcPr>
          <w:p w:rsidR="00822DAF" w:rsidRPr="002F31D1" w:rsidRDefault="00822DAF" w:rsidP="00822DAF">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rsidR="00822DAF" w:rsidRDefault="00FC392C" w:rsidP="00FC392C">
            <w:pPr>
              <w:jc w:val="right"/>
              <w:rPr>
                <w:rFonts w:ascii="Arial" w:hAnsi="Arial" w:cs="Arial"/>
                <w:color w:val="000000"/>
                <w:sz w:val="18"/>
                <w:szCs w:val="18"/>
              </w:rPr>
            </w:pPr>
            <w:r>
              <w:rPr>
                <w:rFonts w:ascii="Arial" w:hAnsi="Arial" w:cs="Arial"/>
                <w:color w:val="000000"/>
                <w:sz w:val="18"/>
                <w:szCs w:val="18"/>
              </w:rPr>
              <w:t>-77</w:t>
            </w:r>
            <w:r w:rsidR="00617C0A">
              <w:rPr>
                <w:rFonts w:ascii="Arial" w:hAnsi="Arial" w:cs="Arial"/>
                <w:color w:val="000000"/>
                <w:sz w:val="18"/>
                <w:szCs w:val="18"/>
              </w:rPr>
              <w:t>,</w:t>
            </w:r>
            <w:r>
              <w:rPr>
                <w:rFonts w:ascii="Arial" w:hAnsi="Arial" w:cs="Arial"/>
                <w:color w:val="000000"/>
                <w:sz w:val="18"/>
                <w:szCs w:val="18"/>
              </w:rPr>
              <w:t>638</w:t>
            </w:r>
          </w:p>
        </w:tc>
        <w:tc>
          <w:tcPr>
            <w:tcW w:w="1554" w:type="dxa"/>
            <w:shd w:val="clear" w:color="auto" w:fill="auto"/>
            <w:noWrap/>
            <w:vAlign w:val="bottom"/>
            <w:hideMark/>
          </w:tcPr>
          <w:p w:rsidR="00822DAF" w:rsidRPr="002F31D1" w:rsidRDefault="00822DAF" w:rsidP="00A92A1C">
            <w:pPr>
              <w:jc w:val="right"/>
              <w:rPr>
                <w:rFonts w:ascii="Arial" w:hAnsi="Arial" w:cs="Arial"/>
                <w:color w:val="000000"/>
                <w:sz w:val="18"/>
                <w:szCs w:val="18"/>
              </w:rPr>
            </w:pPr>
            <w:r w:rsidRPr="00FC392C">
              <w:rPr>
                <w:rFonts w:ascii="Arial" w:hAnsi="Arial" w:cs="Arial"/>
                <w:color w:val="000000"/>
                <w:sz w:val="18"/>
                <w:szCs w:val="18"/>
              </w:rPr>
              <w:t>-</w:t>
            </w:r>
            <w:r w:rsidR="00A92A1C">
              <w:rPr>
                <w:rFonts w:ascii="Arial" w:hAnsi="Arial" w:cs="Arial"/>
                <w:color w:val="000000"/>
                <w:sz w:val="18"/>
                <w:szCs w:val="18"/>
              </w:rPr>
              <w:t>77,638</w:t>
            </w:r>
          </w:p>
        </w:tc>
      </w:tr>
      <w:tr w:rsidR="00FC392C" w:rsidRPr="002F31D1" w:rsidTr="00822DAF">
        <w:trPr>
          <w:trHeight w:val="100"/>
          <w:jc w:val="center"/>
        </w:trPr>
        <w:tc>
          <w:tcPr>
            <w:tcW w:w="3710" w:type="dxa"/>
            <w:shd w:val="clear" w:color="auto" w:fill="auto"/>
            <w:noWrap/>
            <w:vAlign w:val="bottom"/>
            <w:hideMark/>
          </w:tcPr>
          <w:p w:rsidR="00FC392C" w:rsidRPr="002F31D1" w:rsidRDefault="00FC392C" w:rsidP="00822DAF">
            <w:pPr>
              <w:rPr>
                <w:rFonts w:ascii="Arial" w:hAnsi="Arial" w:cs="Arial"/>
                <w:color w:val="000000"/>
                <w:sz w:val="18"/>
                <w:szCs w:val="18"/>
              </w:rPr>
            </w:pPr>
            <w:r>
              <w:rPr>
                <w:rFonts w:ascii="Arial" w:hAnsi="Arial" w:cs="Arial"/>
                <w:color w:val="000000"/>
                <w:sz w:val="18"/>
                <w:szCs w:val="18"/>
              </w:rPr>
              <w:t>Equipo de transporte</w:t>
            </w:r>
          </w:p>
        </w:tc>
        <w:tc>
          <w:tcPr>
            <w:tcW w:w="1554" w:type="dxa"/>
          </w:tcPr>
          <w:p w:rsidR="00FC392C" w:rsidRPr="00A92A1C" w:rsidRDefault="00A92A1C" w:rsidP="00A92A1C">
            <w:pPr>
              <w:pStyle w:val="Prrafodelista"/>
              <w:ind w:left="450"/>
              <w:jc w:val="center"/>
              <w:rPr>
                <w:rFonts w:ascii="Arial" w:hAnsi="Arial" w:cs="Arial"/>
                <w:color w:val="000000"/>
                <w:sz w:val="18"/>
                <w:szCs w:val="18"/>
              </w:rPr>
            </w:pPr>
            <w:r>
              <w:rPr>
                <w:rFonts w:ascii="Arial" w:hAnsi="Arial" w:cs="Arial"/>
                <w:color w:val="000000"/>
                <w:sz w:val="18"/>
                <w:szCs w:val="18"/>
              </w:rPr>
              <w:t xml:space="preserve">     -</w:t>
            </w:r>
            <w:r w:rsidR="00FC392C" w:rsidRPr="00A92A1C">
              <w:rPr>
                <w:rFonts w:ascii="Arial" w:hAnsi="Arial" w:cs="Arial"/>
                <w:color w:val="000000"/>
                <w:sz w:val="18"/>
                <w:szCs w:val="18"/>
              </w:rPr>
              <w:t>352,100</w:t>
            </w:r>
          </w:p>
        </w:tc>
        <w:tc>
          <w:tcPr>
            <w:tcW w:w="1554" w:type="dxa"/>
            <w:shd w:val="clear" w:color="auto" w:fill="auto"/>
            <w:noWrap/>
            <w:vAlign w:val="bottom"/>
            <w:hideMark/>
          </w:tcPr>
          <w:p w:rsidR="00FC392C" w:rsidRPr="00FC392C" w:rsidRDefault="00A92A1C" w:rsidP="005917DB">
            <w:pPr>
              <w:jc w:val="right"/>
              <w:rPr>
                <w:rFonts w:ascii="Arial" w:hAnsi="Arial" w:cs="Arial"/>
                <w:color w:val="000000"/>
                <w:sz w:val="18"/>
                <w:szCs w:val="18"/>
              </w:rPr>
            </w:pPr>
            <w:r>
              <w:rPr>
                <w:rFonts w:ascii="Arial" w:hAnsi="Arial" w:cs="Arial"/>
                <w:color w:val="000000"/>
                <w:sz w:val="18"/>
                <w:szCs w:val="18"/>
              </w:rPr>
              <w:t>-352,100</w:t>
            </w:r>
          </w:p>
        </w:tc>
      </w:tr>
      <w:tr w:rsidR="00822DAF" w:rsidRPr="002F31D1" w:rsidTr="00822DAF">
        <w:trPr>
          <w:trHeight w:val="100"/>
          <w:jc w:val="center"/>
        </w:trPr>
        <w:tc>
          <w:tcPr>
            <w:tcW w:w="3710" w:type="dxa"/>
            <w:shd w:val="clear" w:color="auto" w:fill="auto"/>
            <w:noWrap/>
            <w:vAlign w:val="bottom"/>
            <w:hideMark/>
          </w:tcPr>
          <w:p w:rsidR="00822DAF" w:rsidRPr="002F31D1" w:rsidRDefault="00822DAF" w:rsidP="00822DAF">
            <w:pPr>
              <w:rPr>
                <w:rFonts w:ascii="Arial" w:hAnsi="Arial" w:cs="Arial"/>
                <w:sz w:val="18"/>
                <w:szCs w:val="18"/>
              </w:rPr>
            </w:pPr>
            <w:r w:rsidRPr="002F31D1">
              <w:rPr>
                <w:rFonts w:ascii="Arial" w:hAnsi="Arial" w:cs="Arial"/>
                <w:b/>
                <w:sz w:val="18"/>
                <w:szCs w:val="18"/>
              </w:rPr>
              <w:t>Total</w:t>
            </w:r>
          </w:p>
        </w:tc>
        <w:tc>
          <w:tcPr>
            <w:tcW w:w="1554" w:type="dxa"/>
          </w:tcPr>
          <w:p w:rsidR="00822DAF" w:rsidRDefault="00617C0A" w:rsidP="00617C0A">
            <w:pPr>
              <w:jc w:val="right"/>
              <w:rPr>
                <w:rFonts w:ascii="Arial" w:hAnsi="Arial" w:cs="Arial"/>
                <w:b/>
                <w:bCs/>
                <w:sz w:val="18"/>
                <w:szCs w:val="18"/>
                <w:u w:val="double"/>
              </w:rPr>
            </w:pPr>
            <w:r>
              <w:rPr>
                <w:rFonts w:ascii="Arial" w:hAnsi="Arial" w:cs="Arial"/>
                <w:b/>
                <w:bCs/>
                <w:sz w:val="18"/>
                <w:szCs w:val="18"/>
                <w:u w:val="double"/>
              </w:rPr>
              <w:t>429,738</w:t>
            </w:r>
          </w:p>
        </w:tc>
        <w:tc>
          <w:tcPr>
            <w:tcW w:w="1554" w:type="dxa"/>
            <w:shd w:val="clear" w:color="auto" w:fill="auto"/>
            <w:noWrap/>
            <w:vAlign w:val="center"/>
            <w:hideMark/>
          </w:tcPr>
          <w:p w:rsidR="00822DAF" w:rsidRPr="002F31D1" w:rsidRDefault="00822DAF" w:rsidP="005917DB">
            <w:pPr>
              <w:jc w:val="right"/>
              <w:rPr>
                <w:rFonts w:ascii="Arial" w:hAnsi="Arial" w:cs="Arial"/>
                <w:b/>
                <w:bCs/>
                <w:sz w:val="18"/>
                <w:szCs w:val="18"/>
                <w:u w:val="double"/>
              </w:rPr>
            </w:pPr>
            <w:r>
              <w:rPr>
                <w:rFonts w:ascii="Arial" w:hAnsi="Arial" w:cs="Arial"/>
                <w:b/>
                <w:bCs/>
                <w:sz w:val="18"/>
                <w:szCs w:val="18"/>
                <w:u w:val="double"/>
              </w:rPr>
              <w:t xml:space="preserve"> -</w:t>
            </w:r>
            <w:r w:rsidR="00417047">
              <w:rPr>
                <w:rFonts w:ascii="Arial" w:hAnsi="Arial" w:cs="Arial"/>
                <w:b/>
                <w:bCs/>
                <w:sz w:val="18"/>
                <w:szCs w:val="18"/>
                <w:u w:val="double"/>
              </w:rPr>
              <w:t>429,738</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rsidR="00A668D1" w:rsidRPr="00410B74" w:rsidRDefault="00A668D1" w:rsidP="00A668D1">
      <w:pPr>
        <w:autoSpaceDE w:val="0"/>
        <w:autoSpaceDN w:val="0"/>
        <w:adjustRightInd w:val="0"/>
        <w:spacing w:before="80"/>
        <w:ind w:left="426"/>
        <w:jc w:val="both"/>
        <w:rPr>
          <w:rFonts w:ascii="Arial" w:hAnsi="Arial" w:cs="Arial"/>
          <w:sz w:val="18"/>
          <w:szCs w:val="18"/>
        </w:rPr>
      </w:pPr>
      <w:r>
        <w:rPr>
          <w:rFonts w:ascii="Arial" w:hAnsi="Arial" w:cs="Arial"/>
          <w:b/>
          <w:sz w:val="18"/>
          <w:szCs w:val="18"/>
        </w:rPr>
        <w:tab/>
      </w:r>
      <w:r w:rsidRPr="00410B74">
        <w:rPr>
          <w:rFonts w:ascii="Arial" w:hAnsi="Arial" w:cs="Arial"/>
          <w:sz w:val="18"/>
          <w:szCs w:val="18"/>
        </w:rPr>
        <w:t>Se realizó la depreciación al 100% de los bienes mueb</w:t>
      </w:r>
      <w:r w:rsidR="005917DB">
        <w:rPr>
          <w:rFonts w:ascii="Arial" w:hAnsi="Arial" w:cs="Arial"/>
          <w:sz w:val="18"/>
          <w:szCs w:val="18"/>
        </w:rPr>
        <w:t xml:space="preserve">les adquiridos en el ejercicio </w:t>
      </w:r>
      <w:r w:rsidR="00FD584B">
        <w:rPr>
          <w:rFonts w:ascii="Arial" w:hAnsi="Arial" w:cs="Arial"/>
          <w:sz w:val="18"/>
          <w:szCs w:val="18"/>
        </w:rPr>
        <w:t xml:space="preserve"> 2016</w:t>
      </w:r>
      <w:r w:rsidRPr="00410B74">
        <w:rPr>
          <w:rFonts w:ascii="Arial" w:hAnsi="Arial" w:cs="Arial"/>
          <w:sz w:val="18"/>
          <w:szCs w:val="18"/>
        </w:rPr>
        <w:t xml:space="preserve"> en base a un  acuerdo emitido por el Consejo de este Organismo</w:t>
      </w:r>
      <w:r>
        <w:rPr>
          <w:rFonts w:ascii="Arial" w:hAnsi="Arial" w:cs="Arial"/>
          <w:sz w:val="18"/>
          <w:szCs w:val="18"/>
        </w:rPr>
        <w:t>.</w:t>
      </w:r>
    </w:p>
    <w:p w:rsidR="00A668D1" w:rsidRDefault="00A668D1" w:rsidP="00A668D1">
      <w:pPr>
        <w:pStyle w:val="Prrafodelista"/>
        <w:autoSpaceDE w:val="0"/>
        <w:autoSpaceDN w:val="0"/>
        <w:adjustRightInd w:val="0"/>
        <w:spacing w:before="80"/>
        <w:jc w:val="both"/>
        <w:rPr>
          <w:rFonts w:ascii="Arial" w:hAnsi="Arial" w:cs="Arial"/>
          <w:sz w:val="18"/>
          <w:szCs w:val="18"/>
        </w:rPr>
      </w:pPr>
    </w:p>
    <w:p w:rsidR="00A668D1" w:rsidRDefault="00A668D1" w:rsidP="00A668D1">
      <w:pPr>
        <w:autoSpaceDE w:val="0"/>
        <w:autoSpaceDN w:val="0"/>
        <w:adjustRightInd w:val="0"/>
        <w:spacing w:before="80"/>
        <w:jc w:val="both"/>
        <w:rPr>
          <w:rFonts w:ascii="Arial" w:hAnsi="Arial" w:cs="Arial"/>
          <w:b/>
          <w:sz w:val="18"/>
          <w:szCs w:val="18"/>
        </w:rPr>
      </w:pPr>
    </w:p>
    <w:p w:rsidR="00A668D1" w:rsidRPr="009F72AC" w:rsidRDefault="00A668D1" w:rsidP="00A668D1">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A668D1" w:rsidRPr="002F31D1" w:rsidTr="00D141C1">
        <w:trPr>
          <w:trHeight w:val="199"/>
          <w:jc w:val="center"/>
        </w:trPr>
        <w:tc>
          <w:tcPr>
            <w:tcW w:w="0" w:type="auto"/>
            <w:shd w:val="clear" w:color="auto" w:fill="632423" w:themeFill="accent2" w:themeFillShade="8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lastRenderedPageBreak/>
              <w:t>Bienes Inmuebles</w:t>
            </w:r>
          </w:p>
        </w:tc>
        <w:tc>
          <w:tcPr>
            <w:tcW w:w="1418" w:type="dxa"/>
            <w:shd w:val="clear" w:color="auto" w:fill="632423" w:themeFill="accent2" w:themeFillShade="80"/>
            <w:noWrap/>
            <w:vAlign w:val="center"/>
            <w:hideMark/>
          </w:tcPr>
          <w:p w:rsidR="00A668D1" w:rsidRPr="002F31D1" w:rsidRDefault="00A668D1" w:rsidP="00822DAF">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7</w:t>
            </w:r>
          </w:p>
        </w:tc>
        <w:tc>
          <w:tcPr>
            <w:tcW w:w="1418" w:type="dxa"/>
            <w:shd w:val="clear" w:color="auto" w:fill="632423" w:themeFill="accent2" w:themeFillShade="80"/>
            <w:vAlign w:val="center"/>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6</w:t>
            </w:r>
          </w:p>
        </w:tc>
      </w:tr>
      <w:tr w:rsidR="00A668D1" w:rsidRPr="002F31D1" w:rsidTr="00822DAF">
        <w:trPr>
          <w:trHeight w:val="199"/>
          <w:jc w:val="center"/>
        </w:trPr>
        <w:tc>
          <w:tcPr>
            <w:tcW w:w="0" w:type="auto"/>
            <w:shd w:val="clear" w:color="auto" w:fill="auto"/>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rsidR="00A668D1" w:rsidRPr="002F31D1" w:rsidRDefault="00A668D1" w:rsidP="0082294D">
            <w:pPr>
              <w:jc w:val="right"/>
              <w:rPr>
                <w:rFonts w:ascii="Arial" w:hAnsi="Arial" w:cs="Arial"/>
                <w:sz w:val="18"/>
                <w:szCs w:val="18"/>
              </w:rPr>
            </w:pPr>
            <w:r w:rsidRPr="002F31D1">
              <w:rPr>
                <w:rFonts w:ascii="Arial" w:hAnsi="Arial" w:cs="Arial"/>
                <w:sz w:val="18"/>
                <w:szCs w:val="18"/>
              </w:rPr>
              <w:t>1,140,000</w:t>
            </w:r>
          </w:p>
        </w:tc>
        <w:tc>
          <w:tcPr>
            <w:tcW w:w="1418" w:type="dxa"/>
            <w:vAlign w:val="center"/>
          </w:tcPr>
          <w:p w:rsidR="00A668D1" w:rsidRPr="002F31D1" w:rsidRDefault="00A668D1" w:rsidP="00822DAF">
            <w:pPr>
              <w:jc w:val="right"/>
              <w:rPr>
                <w:rFonts w:ascii="Arial" w:hAnsi="Arial" w:cs="Arial"/>
                <w:sz w:val="18"/>
                <w:szCs w:val="18"/>
              </w:rPr>
            </w:pPr>
            <w:r w:rsidRPr="002F31D1">
              <w:rPr>
                <w:rFonts w:ascii="Arial" w:hAnsi="Arial" w:cs="Arial"/>
                <w:sz w:val="18"/>
                <w:szCs w:val="18"/>
              </w:rPr>
              <w:t>1,140,000</w:t>
            </w:r>
          </w:p>
        </w:tc>
      </w:tr>
      <w:tr w:rsidR="00A668D1" w:rsidRPr="00AF6A66" w:rsidTr="00822DAF">
        <w:trPr>
          <w:trHeight w:val="235"/>
          <w:jc w:val="center"/>
        </w:trPr>
        <w:tc>
          <w:tcPr>
            <w:tcW w:w="0" w:type="auto"/>
            <w:shd w:val="clear" w:color="auto" w:fill="auto"/>
            <w:noWrap/>
            <w:vAlign w:val="bottom"/>
            <w:hideMark/>
          </w:tcPr>
          <w:p w:rsidR="00A668D1" w:rsidRPr="00D71C75" w:rsidRDefault="00A668D1" w:rsidP="00822DAF">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rsidR="00A668D1" w:rsidRPr="00D71C75" w:rsidRDefault="00A668D1" w:rsidP="00822DAF">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rsidR="00A668D1" w:rsidRPr="00D71C75" w:rsidRDefault="00A668D1" w:rsidP="00822DAF">
            <w:pPr>
              <w:jc w:val="right"/>
              <w:rPr>
                <w:rFonts w:ascii="Arial" w:hAnsi="Arial" w:cs="Arial"/>
                <w:b/>
                <w:bCs/>
                <w:sz w:val="18"/>
                <w:szCs w:val="18"/>
                <w:u w:val="double"/>
              </w:rPr>
            </w:pPr>
            <w:r w:rsidRPr="00D71C75">
              <w:rPr>
                <w:rFonts w:ascii="Arial" w:hAnsi="Arial" w:cs="Arial"/>
                <w:b/>
                <w:sz w:val="18"/>
                <w:szCs w:val="18"/>
                <w:u w:val="double"/>
              </w:rPr>
              <w:t>1,140,000</w:t>
            </w:r>
          </w:p>
        </w:tc>
      </w:tr>
    </w:tbl>
    <w:p w:rsidR="00A668D1" w:rsidRPr="006C3DDB"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rsidR="00A668D1" w:rsidRPr="00D355FA" w:rsidRDefault="00A668D1" w:rsidP="00A668D1">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56"/>
        <w:gridCol w:w="1365"/>
        <w:gridCol w:w="1418"/>
        <w:gridCol w:w="1418"/>
      </w:tblGrid>
      <w:tr w:rsidR="00A668D1" w:rsidRPr="002F31D1" w:rsidTr="00D141C1">
        <w:trPr>
          <w:trHeight w:val="312"/>
          <w:jc w:val="center"/>
        </w:trPr>
        <w:tc>
          <w:tcPr>
            <w:tcW w:w="0" w:type="auto"/>
            <w:shd w:val="clear" w:color="auto" w:fill="632423" w:themeFill="accent2" w:themeFillShade="8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632423" w:themeFill="accent2" w:themeFillShade="8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632423" w:themeFill="accent2" w:themeFillShade="8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7</w:t>
            </w:r>
          </w:p>
        </w:tc>
        <w:tc>
          <w:tcPr>
            <w:tcW w:w="1418" w:type="dxa"/>
            <w:shd w:val="clear" w:color="auto" w:fill="632423" w:themeFill="accent2" w:themeFillShade="8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6</w:t>
            </w:r>
            <w:r w:rsidRPr="002F31D1">
              <w:rPr>
                <w:rFonts w:ascii="Arial" w:hAnsi="Arial" w:cs="Arial"/>
                <w:b/>
                <w:bCs/>
                <w:color w:val="FFFFFF"/>
                <w:sz w:val="18"/>
                <w:szCs w:val="18"/>
              </w:rPr>
              <w:t xml:space="preserve"> </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1459C9" w:rsidP="001459C9">
            <w:pPr>
              <w:jc w:val="right"/>
              <w:rPr>
                <w:rFonts w:ascii="Arial" w:hAnsi="Arial" w:cs="Arial"/>
                <w:sz w:val="18"/>
                <w:szCs w:val="18"/>
              </w:rPr>
            </w:pPr>
            <w:r>
              <w:rPr>
                <w:rFonts w:ascii="Arial" w:hAnsi="Arial" w:cs="Arial"/>
                <w:sz w:val="18"/>
                <w:szCs w:val="18"/>
              </w:rPr>
              <w:t>94</w:t>
            </w:r>
            <w:r w:rsidR="00725078">
              <w:rPr>
                <w:rFonts w:ascii="Arial" w:hAnsi="Arial" w:cs="Arial"/>
                <w:sz w:val="18"/>
                <w:szCs w:val="18"/>
              </w:rPr>
              <w:t>,</w:t>
            </w:r>
            <w:r>
              <w:rPr>
                <w:rFonts w:ascii="Arial" w:hAnsi="Arial" w:cs="Arial"/>
                <w:sz w:val="18"/>
                <w:szCs w:val="18"/>
              </w:rPr>
              <w:t>763</w:t>
            </w:r>
          </w:p>
        </w:tc>
        <w:tc>
          <w:tcPr>
            <w:tcW w:w="1418" w:type="dxa"/>
            <w:shd w:val="clear" w:color="000000" w:fill="FFFFFF"/>
            <w:noWrap/>
            <w:vAlign w:val="bottom"/>
          </w:tcPr>
          <w:p w:rsidR="005917DB" w:rsidRPr="002F31D1" w:rsidRDefault="005917DB" w:rsidP="00800EAD">
            <w:pPr>
              <w:jc w:val="right"/>
              <w:rPr>
                <w:rFonts w:ascii="Arial" w:hAnsi="Arial" w:cs="Arial"/>
                <w:sz w:val="18"/>
                <w:szCs w:val="18"/>
              </w:rPr>
            </w:pPr>
            <w:r>
              <w:rPr>
                <w:rFonts w:ascii="Arial" w:hAnsi="Arial" w:cs="Arial"/>
                <w:sz w:val="18"/>
                <w:szCs w:val="18"/>
              </w:rPr>
              <w:t>336,534</w:t>
            </w:r>
          </w:p>
        </w:tc>
      </w:tr>
      <w:tr w:rsidR="005917DB" w:rsidRPr="002F31D1" w:rsidTr="00822DAF">
        <w:trPr>
          <w:trHeight w:val="312"/>
          <w:jc w:val="center"/>
        </w:trPr>
        <w:tc>
          <w:tcPr>
            <w:tcW w:w="0" w:type="auto"/>
            <w:shd w:val="clear" w:color="000000" w:fill="FFFFFF"/>
            <w:noWrap/>
            <w:vAlign w:val="bottom"/>
          </w:tcPr>
          <w:p w:rsidR="005917DB" w:rsidRPr="002F31D1" w:rsidRDefault="005917DB" w:rsidP="0082294D">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p>
        </w:tc>
        <w:tc>
          <w:tcPr>
            <w:tcW w:w="0" w:type="auto"/>
            <w:shd w:val="clear" w:color="000000" w:fill="FFFFFF"/>
            <w:noWrap/>
            <w:vAlign w:val="bottom"/>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1459C9" w:rsidP="00822DAF">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5917DB" w:rsidRPr="002F31D1" w:rsidRDefault="005917DB" w:rsidP="00800EAD">
            <w:pPr>
              <w:jc w:val="right"/>
              <w:rPr>
                <w:rFonts w:ascii="Arial" w:hAnsi="Arial" w:cs="Arial"/>
                <w:sz w:val="18"/>
                <w:szCs w:val="18"/>
              </w:rPr>
            </w:pPr>
            <w:r>
              <w:rPr>
                <w:rFonts w:ascii="Arial" w:hAnsi="Arial" w:cs="Arial"/>
                <w:sz w:val="18"/>
                <w:szCs w:val="18"/>
              </w:rPr>
              <w:t>3,888</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1459C9" w:rsidP="00725078">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5917DB" w:rsidRPr="002F31D1" w:rsidRDefault="005917DB" w:rsidP="00800EAD">
            <w:pPr>
              <w:jc w:val="right"/>
              <w:rPr>
                <w:rFonts w:ascii="Arial" w:hAnsi="Arial" w:cs="Arial"/>
                <w:sz w:val="18"/>
                <w:szCs w:val="18"/>
              </w:rPr>
            </w:pPr>
            <w:r>
              <w:rPr>
                <w:rFonts w:ascii="Arial" w:hAnsi="Arial" w:cs="Arial"/>
                <w:sz w:val="18"/>
                <w:szCs w:val="18"/>
              </w:rPr>
              <w:t>89</w:t>
            </w:r>
            <w:r w:rsidR="00417047">
              <w:rPr>
                <w:rFonts w:ascii="Arial" w:hAnsi="Arial" w:cs="Arial"/>
                <w:sz w:val="18"/>
                <w:szCs w:val="18"/>
              </w:rPr>
              <w:t>8</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De 365 Días</w:t>
            </w:r>
          </w:p>
        </w:tc>
        <w:tc>
          <w:tcPr>
            <w:tcW w:w="1418" w:type="dxa"/>
            <w:shd w:val="clear" w:color="000000" w:fill="FFFFFF"/>
            <w:noWrap/>
            <w:vAlign w:val="bottom"/>
          </w:tcPr>
          <w:p w:rsidR="005917DB" w:rsidRDefault="005917DB" w:rsidP="00504A40">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5917DB" w:rsidRDefault="005917DB" w:rsidP="00800EAD">
            <w:pPr>
              <w:jc w:val="right"/>
              <w:rPr>
                <w:rFonts w:ascii="Arial" w:hAnsi="Arial" w:cs="Arial"/>
                <w:sz w:val="18"/>
                <w:szCs w:val="18"/>
              </w:rPr>
            </w:pPr>
            <w:r>
              <w:rPr>
                <w:rFonts w:ascii="Arial" w:hAnsi="Arial" w:cs="Arial"/>
                <w:sz w:val="18"/>
                <w:szCs w:val="18"/>
              </w:rPr>
              <w:t>0</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rsidR="005917DB" w:rsidRPr="002F31D1" w:rsidRDefault="001459C9" w:rsidP="00822DAF">
            <w:pPr>
              <w:jc w:val="right"/>
              <w:rPr>
                <w:rFonts w:ascii="Arial" w:hAnsi="Arial" w:cs="Arial"/>
                <w:sz w:val="18"/>
                <w:szCs w:val="18"/>
              </w:rPr>
            </w:pPr>
            <w:r>
              <w:rPr>
                <w:rFonts w:ascii="Arial" w:hAnsi="Arial" w:cs="Arial"/>
                <w:sz w:val="18"/>
                <w:szCs w:val="18"/>
              </w:rPr>
              <w:t>63,764</w:t>
            </w:r>
          </w:p>
        </w:tc>
        <w:tc>
          <w:tcPr>
            <w:tcW w:w="1418" w:type="dxa"/>
            <w:shd w:val="clear" w:color="000000" w:fill="FFFFFF"/>
            <w:noWrap/>
            <w:vAlign w:val="center"/>
          </w:tcPr>
          <w:p w:rsidR="005917DB" w:rsidRPr="002F31D1" w:rsidRDefault="005917DB" w:rsidP="00800EAD">
            <w:pPr>
              <w:jc w:val="right"/>
              <w:rPr>
                <w:rFonts w:ascii="Arial" w:hAnsi="Arial" w:cs="Arial"/>
                <w:sz w:val="18"/>
                <w:szCs w:val="18"/>
              </w:rPr>
            </w:pPr>
            <w:r>
              <w:rPr>
                <w:rFonts w:ascii="Arial" w:hAnsi="Arial" w:cs="Arial"/>
                <w:sz w:val="18"/>
                <w:szCs w:val="18"/>
              </w:rPr>
              <w:t>51,739</w:t>
            </w:r>
          </w:p>
        </w:tc>
      </w:tr>
      <w:tr w:rsidR="00A668D1" w:rsidRPr="002F31D1" w:rsidTr="00822DAF">
        <w:trPr>
          <w:trHeight w:val="312"/>
          <w:jc w:val="center"/>
        </w:trPr>
        <w:tc>
          <w:tcPr>
            <w:tcW w:w="0" w:type="auto"/>
            <w:shd w:val="clear" w:color="000000" w:fill="FFFFFF"/>
            <w:noWrap/>
            <w:hideMark/>
          </w:tcPr>
          <w:p w:rsidR="00A668D1" w:rsidRPr="002F31D1" w:rsidRDefault="00A668D1" w:rsidP="00822DAF">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rsidR="00A668D1" w:rsidRPr="002F31D1" w:rsidRDefault="00A668D1" w:rsidP="00822DAF">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rsidR="00A668D1" w:rsidRPr="008B1EB7" w:rsidRDefault="001459C9" w:rsidP="00F1495B">
            <w:pPr>
              <w:jc w:val="right"/>
              <w:rPr>
                <w:rFonts w:ascii="Arial" w:hAnsi="Arial" w:cs="Arial"/>
                <w:b/>
                <w:bCs/>
                <w:sz w:val="18"/>
                <w:szCs w:val="18"/>
                <w:u w:val="double"/>
              </w:rPr>
            </w:pPr>
            <w:r>
              <w:rPr>
                <w:rFonts w:ascii="Arial" w:hAnsi="Arial" w:cs="Arial"/>
                <w:b/>
                <w:bCs/>
                <w:sz w:val="18"/>
                <w:szCs w:val="18"/>
                <w:u w:val="double"/>
              </w:rPr>
              <w:t>158,527</w:t>
            </w:r>
          </w:p>
        </w:tc>
        <w:tc>
          <w:tcPr>
            <w:tcW w:w="1418" w:type="dxa"/>
            <w:shd w:val="clear" w:color="000000" w:fill="FFFFFF"/>
            <w:noWrap/>
            <w:hideMark/>
          </w:tcPr>
          <w:p w:rsidR="00A668D1" w:rsidRPr="008B1EB7" w:rsidRDefault="005917DB" w:rsidP="00822DAF">
            <w:pPr>
              <w:jc w:val="right"/>
              <w:rPr>
                <w:rFonts w:ascii="Arial" w:hAnsi="Arial" w:cs="Arial"/>
                <w:b/>
                <w:bCs/>
                <w:sz w:val="18"/>
                <w:szCs w:val="18"/>
                <w:u w:val="double"/>
              </w:rPr>
            </w:pPr>
            <w:r>
              <w:rPr>
                <w:rFonts w:ascii="Arial" w:hAnsi="Arial" w:cs="Arial"/>
                <w:b/>
                <w:bCs/>
                <w:sz w:val="18"/>
                <w:szCs w:val="18"/>
                <w:u w:val="double"/>
              </w:rPr>
              <w:t>393,05</w:t>
            </w:r>
            <w:r w:rsidR="00417047">
              <w:rPr>
                <w:rFonts w:ascii="Arial" w:hAnsi="Arial" w:cs="Arial"/>
                <w:b/>
                <w:bCs/>
                <w:sz w:val="18"/>
                <w:szCs w:val="18"/>
                <w:u w:val="double"/>
              </w:rPr>
              <w:t>9</w:t>
            </w:r>
          </w:p>
        </w:tc>
      </w:tr>
    </w:tbl>
    <w:p w:rsidR="00A668D1" w:rsidRDefault="00A668D1" w:rsidP="00A668D1">
      <w:pPr>
        <w:autoSpaceDE w:val="0"/>
        <w:autoSpaceDN w:val="0"/>
        <w:adjustRightInd w:val="0"/>
        <w:spacing w:before="80"/>
        <w:jc w:val="both"/>
        <w:rPr>
          <w:rFonts w:ascii="Arial" w:hAnsi="Arial" w:cs="Arial"/>
          <w:color w:val="000000"/>
          <w:sz w:val="18"/>
          <w:szCs w:val="18"/>
        </w:rPr>
      </w:pPr>
    </w:p>
    <w:p w:rsidR="00A668D1" w:rsidRPr="002F31D1" w:rsidRDefault="00A668D1" w:rsidP="00A668D1">
      <w:pPr>
        <w:autoSpaceDE w:val="0"/>
        <w:autoSpaceDN w:val="0"/>
        <w:adjustRightInd w:val="0"/>
        <w:spacing w:before="80"/>
        <w:jc w:val="both"/>
        <w:rPr>
          <w:rFonts w:ascii="Arial" w:hAnsi="Arial" w:cs="Arial"/>
          <w:color w:val="000000"/>
          <w:sz w:val="18"/>
          <w:szCs w:val="18"/>
        </w:rPr>
      </w:pPr>
    </w:p>
    <w:p w:rsidR="00A668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firstRow="1" w:lastRow="0" w:firstColumn="1" w:lastColumn="0" w:noHBand="0" w:noVBand="1"/>
      </w:tblPr>
      <w:tblGrid>
        <w:gridCol w:w="7376"/>
        <w:gridCol w:w="1856"/>
        <w:gridCol w:w="2128"/>
      </w:tblGrid>
      <w:tr w:rsidR="00A668D1" w:rsidRPr="002F31D1" w:rsidTr="005D2D96">
        <w:trPr>
          <w:trHeight w:val="255"/>
        </w:trPr>
        <w:tc>
          <w:tcPr>
            <w:tcW w:w="7376" w:type="dxa"/>
            <w:tcBorders>
              <w:top w:val="nil"/>
              <w:left w:val="nil"/>
              <w:bottom w:val="nil"/>
              <w:right w:val="nil"/>
            </w:tcBorders>
            <w:shd w:val="clear" w:color="auto" w:fill="632423" w:themeFill="accent2" w:themeFillShade="8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auto" w:fill="632423" w:themeFill="accent2" w:themeFillShade="80"/>
            <w:noWrap/>
            <w:vAlign w:val="center"/>
            <w:hideMark/>
          </w:tcPr>
          <w:p w:rsidR="00A668D1" w:rsidRPr="002F31D1" w:rsidRDefault="00A668D1" w:rsidP="00160E1E">
            <w:pPr>
              <w:jc w:val="center"/>
              <w:rPr>
                <w:rFonts w:ascii="Arial" w:hAnsi="Arial" w:cs="Arial"/>
                <w:b/>
                <w:bCs/>
                <w:color w:val="FFFFFF"/>
                <w:sz w:val="18"/>
                <w:szCs w:val="18"/>
              </w:rPr>
            </w:pPr>
            <w:r>
              <w:rPr>
                <w:rFonts w:ascii="Arial" w:hAnsi="Arial" w:cs="Arial"/>
                <w:b/>
                <w:bCs/>
                <w:color w:val="FFFFFF"/>
                <w:sz w:val="18"/>
                <w:szCs w:val="18"/>
              </w:rPr>
              <w:t>201</w:t>
            </w:r>
            <w:r w:rsidR="00BC78FC">
              <w:rPr>
                <w:rFonts w:ascii="Arial" w:hAnsi="Arial" w:cs="Arial"/>
                <w:b/>
                <w:bCs/>
                <w:color w:val="FFFFFF"/>
                <w:sz w:val="18"/>
                <w:szCs w:val="18"/>
              </w:rPr>
              <w:t>7</w:t>
            </w:r>
          </w:p>
        </w:tc>
        <w:tc>
          <w:tcPr>
            <w:tcW w:w="2128" w:type="dxa"/>
            <w:tcBorders>
              <w:top w:val="nil"/>
              <w:left w:val="nil"/>
              <w:bottom w:val="nil"/>
              <w:right w:val="nil"/>
            </w:tcBorders>
            <w:shd w:val="clear" w:color="auto" w:fill="632423" w:themeFill="accent2" w:themeFillShade="80"/>
            <w:vAlign w:val="center"/>
            <w:hideMark/>
          </w:tcPr>
          <w:p w:rsidR="00A668D1" w:rsidRPr="002F31D1" w:rsidRDefault="00A668D1" w:rsidP="0034464C">
            <w:pPr>
              <w:jc w:val="center"/>
              <w:rPr>
                <w:rFonts w:ascii="Arial" w:hAnsi="Arial" w:cs="Arial"/>
                <w:b/>
                <w:bCs/>
                <w:color w:val="FFFFFF"/>
                <w:sz w:val="18"/>
                <w:szCs w:val="18"/>
              </w:rPr>
            </w:pPr>
            <w:r>
              <w:rPr>
                <w:rFonts w:ascii="Arial" w:hAnsi="Arial" w:cs="Arial"/>
                <w:b/>
                <w:bCs/>
                <w:color w:val="FFFFFF"/>
                <w:sz w:val="18"/>
                <w:szCs w:val="18"/>
              </w:rPr>
              <w:t>201</w:t>
            </w:r>
            <w:r w:rsidR="00BC78FC">
              <w:rPr>
                <w:rFonts w:ascii="Arial" w:hAnsi="Arial" w:cs="Arial"/>
                <w:b/>
                <w:bCs/>
                <w:color w:val="FFFFFF"/>
                <w:sz w:val="18"/>
                <w:szCs w:val="18"/>
              </w:rPr>
              <w:t>6</w:t>
            </w:r>
          </w:p>
        </w:tc>
      </w:tr>
      <w:tr w:rsidR="00A668D1" w:rsidRPr="002F31D1" w:rsidTr="00822DAF">
        <w:trPr>
          <w:trHeight w:val="255"/>
        </w:trPr>
        <w:tc>
          <w:tcPr>
            <w:tcW w:w="7376" w:type="dxa"/>
            <w:tcBorders>
              <w:top w:val="nil"/>
              <w:left w:val="nil"/>
              <w:bottom w:val="nil"/>
              <w:right w:val="nil"/>
            </w:tcBorders>
            <w:shd w:val="clear" w:color="000000" w:fill="FFFFFF"/>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Transferencias, Asignaciones, Subsidios y Otras Ayudas</w:t>
            </w:r>
          </w:p>
        </w:tc>
        <w:tc>
          <w:tcPr>
            <w:tcW w:w="1856" w:type="dxa"/>
            <w:tcBorders>
              <w:top w:val="nil"/>
              <w:left w:val="nil"/>
              <w:bottom w:val="nil"/>
              <w:right w:val="nil"/>
            </w:tcBorders>
            <w:shd w:val="clear" w:color="000000" w:fill="FFFFFF"/>
            <w:noWrap/>
            <w:vAlign w:val="center"/>
            <w:hideMark/>
          </w:tcPr>
          <w:p w:rsidR="00A668D1" w:rsidRPr="002F31D1" w:rsidRDefault="001459C9" w:rsidP="001459C9">
            <w:pPr>
              <w:jc w:val="right"/>
              <w:rPr>
                <w:rFonts w:ascii="Arial" w:hAnsi="Arial" w:cs="Arial"/>
                <w:color w:val="000000"/>
                <w:sz w:val="18"/>
                <w:szCs w:val="18"/>
              </w:rPr>
            </w:pPr>
            <w:r>
              <w:rPr>
                <w:rFonts w:ascii="Arial" w:hAnsi="Arial" w:cs="Arial"/>
                <w:color w:val="000000"/>
                <w:sz w:val="18"/>
                <w:szCs w:val="18"/>
              </w:rPr>
              <w:t>11</w:t>
            </w:r>
            <w:r w:rsidR="00BC78FC">
              <w:rPr>
                <w:rFonts w:ascii="Arial" w:hAnsi="Arial" w:cs="Arial"/>
                <w:color w:val="000000"/>
                <w:sz w:val="18"/>
                <w:szCs w:val="18"/>
              </w:rPr>
              <w:t>,</w:t>
            </w:r>
            <w:r>
              <w:rPr>
                <w:rFonts w:ascii="Arial" w:hAnsi="Arial" w:cs="Arial"/>
                <w:color w:val="000000"/>
                <w:sz w:val="18"/>
                <w:szCs w:val="18"/>
              </w:rPr>
              <w:t>545</w:t>
            </w:r>
            <w:r w:rsidR="00BC78FC">
              <w:rPr>
                <w:rFonts w:ascii="Arial" w:hAnsi="Arial" w:cs="Arial"/>
                <w:color w:val="000000"/>
                <w:sz w:val="18"/>
                <w:szCs w:val="18"/>
              </w:rPr>
              <w:t>,5</w:t>
            </w:r>
            <w:r>
              <w:rPr>
                <w:rFonts w:ascii="Arial" w:hAnsi="Arial" w:cs="Arial"/>
                <w:color w:val="000000"/>
                <w:sz w:val="18"/>
                <w:szCs w:val="18"/>
              </w:rPr>
              <w:t>0</w:t>
            </w:r>
            <w:r w:rsidR="00BC78FC">
              <w:rPr>
                <w:rFonts w:ascii="Arial" w:hAnsi="Arial" w:cs="Arial"/>
                <w:color w:val="000000"/>
                <w:sz w:val="18"/>
                <w:szCs w:val="18"/>
              </w:rPr>
              <w:t>2</w:t>
            </w:r>
          </w:p>
        </w:tc>
        <w:tc>
          <w:tcPr>
            <w:tcW w:w="2128" w:type="dxa"/>
            <w:tcBorders>
              <w:top w:val="nil"/>
              <w:left w:val="nil"/>
              <w:bottom w:val="nil"/>
              <w:right w:val="nil"/>
            </w:tcBorders>
            <w:shd w:val="clear" w:color="000000" w:fill="FFFFFF"/>
            <w:noWrap/>
            <w:vAlign w:val="center"/>
            <w:hideMark/>
          </w:tcPr>
          <w:p w:rsidR="00A668D1" w:rsidRPr="002F31D1" w:rsidRDefault="00BC78FC" w:rsidP="00822DAF">
            <w:pPr>
              <w:jc w:val="right"/>
              <w:rPr>
                <w:rFonts w:ascii="Arial" w:hAnsi="Arial" w:cs="Arial"/>
                <w:color w:val="000000"/>
                <w:sz w:val="18"/>
                <w:szCs w:val="18"/>
              </w:rPr>
            </w:pPr>
            <w:r>
              <w:rPr>
                <w:rFonts w:ascii="Arial" w:hAnsi="Arial" w:cs="Arial"/>
                <w:color w:val="000000"/>
                <w:sz w:val="18"/>
                <w:szCs w:val="18"/>
              </w:rPr>
              <w:t>21,560,980</w:t>
            </w:r>
          </w:p>
        </w:tc>
      </w:tr>
      <w:tr w:rsidR="00A668D1" w:rsidRPr="002F31D1" w:rsidTr="00822DAF">
        <w:trPr>
          <w:trHeight w:val="255"/>
        </w:trPr>
        <w:tc>
          <w:tcPr>
            <w:tcW w:w="7376" w:type="dxa"/>
            <w:tcBorders>
              <w:top w:val="nil"/>
              <w:left w:val="nil"/>
              <w:bottom w:val="nil"/>
              <w:right w:val="nil"/>
            </w:tcBorders>
            <w:shd w:val="clear" w:color="000000" w:fill="FFFFFF"/>
            <w:noWrap/>
            <w:vAlign w:val="center"/>
            <w:hideMark/>
          </w:tcPr>
          <w:p w:rsidR="00A668D1" w:rsidRPr="002F31D1" w:rsidRDefault="00A668D1" w:rsidP="00822DAF">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rsidR="00A668D1" w:rsidRPr="00EA6951" w:rsidRDefault="001459C9" w:rsidP="001459C9">
            <w:pPr>
              <w:jc w:val="right"/>
              <w:rPr>
                <w:rFonts w:ascii="Arial" w:hAnsi="Arial" w:cs="Arial"/>
                <w:b/>
                <w:color w:val="000000"/>
                <w:sz w:val="18"/>
                <w:szCs w:val="18"/>
                <w:u w:val="double"/>
              </w:rPr>
            </w:pPr>
            <w:r>
              <w:rPr>
                <w:rFonts w:ascii="Arial" w:hAnsi="Arial" w:cs="Arial"/>
                <w:b/>
                <w:color w:val="000000"/>
                <w:sz w:val="18"/>
                <w:szCs w:val="18"/>
                <w:u w:val="double"/>
              </w:rPr>
              <w:t>11</w:t>
            </w:r>
            <w:r w:rsidR="00BC78FC">
              <w:rPr>
                <w:rFonts w:ascii="Arial" w:hAnsi="Arial" w:cs="Arial"/>
                <w:b/>
                <w:color w:val="000000"/>
                <w:sz w:val="18"/>
                <w:szCs w:val="18"/>
                <w:u w:val="double"/>
              </w:rPr>
              <w:t>,</w:t>
            </w:r>
            <w:r>
              <w:rPr>
                <w:rFonts w:ascii="Arial" w:hAnsi="Arial" w:cs="Arial"/>
                <w:b/>
                <w:color w:val="000000"/>
                <w:sz w:val="18"/>
                <w:szCs w:val="18"/>
                <w:u w:val="double"/>
              </w:rPr>
              <w:t>545</w:t>
            </w:r>
            <w:r w:rsidR="00BC78FC">
              <w:rPr>
                <w:rFonts w:ascii="Arial" w:hAnsi="Arial" w:cs="Arial"/>
                <w:b/>
                <w:color w:val="000000"/>
                <w:sz w:val="18"/>
                <w:szCs w:val="18"/>
                <w:u w:val="double"/>
              </w:rPr>
              <w:t>,5</w:t>
            </w:r>
            <w:r>
              <w:rPr>
                <w:rFonts w:ascii="Arial" w:hAnsi="Arial" w:cs="Arial"/>
                <w:b/>
                <w:color w:val="000000"/>
                <w:sz w:val="18"/>
                <w:szCs w:val="18"/>
                <w:u w:val="double"/>
              </w:rPr>
              <w:t>0</w:t>
            </w:r>
            <w:r w:rsidR="00BC78FC">
              <w:rPr>
                <w:rFonts w:ascii="Arial" w:hAnsi="Arial" w:cs="Arial"/>
                <w:b/>
                <w:color w:val="000000"/>
                <w:sz w:val="18"/>
                <w:szCs w:val="18"/>
                <w:u w:val="double"/>
              </w:rPr>
              <w:t>2</w:t>
            </w:r>
          </w:p>
        </w:tc>
        <w:tc>
          <w:tcPr>
            <w:tcW w:w="2128" w:type="dxa"/>
            <w:tcBorders>
              <w:top w:val="nil"/>
              <w:left w:val="nil"/>
              <w:bottom w:val="nil"/>
              <w:right w:val="nil"/>
            </w:tcBorders>
            <w:shd w:val="clear" w:color="000000" w:fill="FFFFFF"/>
            <w:noWrap/>
            <w:vAlign w:val="center"/>
            <w:hideMark/>
          </w:tcPr>
          <w:p w:rsidR="00A668D1" w:rsidRPr="002F31D1" w:rsidRDefault="00BC78FC" w:rsidP="00822DAF">
            <w:pPr>
              <w:jc w:val="right"/>
              <w:rPr>
                <w:rFonts w:ascii="Arial" w:hAnsi="Arial" w:cs="Arial"/>
                <w:b/>
                <w:color w:val="000000"/>
                <w:sz w:val="18"/>
                <w:szCs w:val="18"/>
                <w:u w:val="double"/>
              </w:rPr>
            </w:pPr>
            <w:r>
              <w:rPr>
                <w:rFonts w:ascii="Arial" w:hAnsi="Arial" w:cs="Arial"/>
                <w:b/>
                <w:color w:val="000000"/>
                <w:sz w:val="18"/>
                <w:szCs w:val="18"/>
                <w:u w:val="double"/>
              </w:rPr>
              <w:t>21,560,980</w:t>
            </w:r>
          </w:p>
        </w:tc>
      </w:tr>
    </w:tbl>
    <w:p w:rsidR="00A668D1"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autoSpaceDE w:val="0"/>
        <w:autoSpaceDN w:val="0"/>
        <w:adjustRightInd w:val="0"/>
        <w:spacing w:before="80"/>
        <w:jc w:val="both"/>
        <w:rPr>
          <w:rFonts w:ascii="Arial" w:hAnsi="Arial" w:cs="Arial"/>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3553"/>
        <w:gridCol w:w="1191"/>
        <w:gridCol w:w="701"/>
        <w:gridCol w:w="1191"/>
        <w:gridCol w:w="751"/>
      </w:tblGrid>
      <w:tr w:rsidR="00A668D1" w:rsidRPr="002F31D1" w:rsidTr="005D2D96">
        <w:trPr>
          <w:trHeight w:val="255"/>
          <w:jc w:val="center"/>
        </w:trPr>
        <w:tc>
          <w:tcPr>
            <w:tcW w:w="0" w:type="auto"/>
            <w:tcBorders>
              <w:top w:val="nil"/>
              <w:left w:val="nil"/>
              <w:bottom w:val="nil"/>
              <w:right w:val="nil"/>
            </w:tcBorders>
            <w:shd w:val="clear" w:color="auto" w:fill="632423" w:themeFill="accent2" w:themeFillShade="8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632423" w:themeFill="accent2" w:themeFillShade="80"/>
            <w:noWrap/>
            <w:vAlign w:val="center"/>
            <w:hideMark/>
          </w:tcPr>
          <w:p w:rsidR="00A668D1" w:rsidRPr="002F31D1" w:rsidRDefault="00A668D1" w:rsidP="00404B94">
            <w:pPr>
              <w:jc w:val="center"/>
              <w:rPr>
                <w:rFonts w:ascii="Arial" w:hAnsi="Arial" w:cs="Arial"/>
                <w:b/>
                <w:bCs/>
                <w:color w:val="FFFFFF"/>
                <w:sz w:val="18"/>
                <w:szCs w:val="18"/>
              </w:rPr>
            </w:pPr>
            <w:r>
              <w:rPr>
                <w:rFonts w:ascii="Arial" w:hAnsi="Arial" w:cs="Arial"/>
                <w:b/>
                <w:bCs/>
                <w:color w:val="FFFFFF"/>
                <w:sz w:val="18"/>
                <w:szCs w:val="18"/>
              </w:rPr>
              <w:t>201</w:t>
            </w:r>
            <w:r w:rsidR="00404B94">
              <w:rPr>
                <w:rFonts w:ascii="Arial" w:hAnsi="Arial" w:cs="Arial"/>
                <w:b/>
                <w:bCs/>
                <w:color w:val="FFFFFF"/>
                <w:sz w:val="18"/>
                <w:szCs w:val="18"/>
              </w:rPr>
              <w:t>7</w:t>
            </w:r>
          </w:p>
        </w:tc>
        <w:tc>
          <w:tcPr>
            <w:tcW w:w="0" w:type="auto"/>
            <w:tcBorders>
              <w:top w:val="nil"/>
              <w:left w:val="nil"/>
              <w:bottom w:val="nil"/>
              <w:right w:val="nil"/>
            </w:tcBorders>
            <w:shd w:val="clear" w:color="auto" w:fill="632423" w:themeFill="accent2" w:themeFillShade="8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632423" w:themeFill="accent2" w:themeFillShade="80"/>
            <w:noWrap/>
            <w:vAlign w:val="center"/>
            <w:hideMark/>
          </w:tcPr>
          <w:p w:rsidR="00A668D1" w:rsidRPr="002F31D1" w:rsidRDefault="00A668D1" w:rsidP="00404B94">
            <w:pPr>
              <w:jc w:val="center"/>
              <w:rPr>
                <w:rFonts w:ascii="Arial" w:hAnsi="Arial" w:cs="Arial"/>
                <w:b/>
                <w:bCs/>
                <w:color w:val="FFFFFF"/>
                <w:sz w:val="18"/>
                <w:szCs w:val="18"/>
              </w:rPr>
            </w:pPr>
            <w:r w:rsidRPr="002F31D1">
              <w:rPr>
                <w:rFonts w:ascii="Arial" w:hAnsi="Arial" w:cs="Arial"/>
                <w:b/>
                <w:bCs/>
                <w:color w:val="FFFFFF"/>
                <w:sz w:val="18"/>
                <w:szCs w:val="18"/>
              </w:rPr>
              <w:t>201</w:t>
            </w:r>
            <w:r w:rsidR="00404B94">
              <w:rPr>
                <w:rFonts w:ascii="Arial" w:hAnsi="Arial" w:cs="Arial"/>
                <w:b/>
                <w:bCs/>
                <w:color w:val="FFFFFF"/>
                <w:sz w:val="18"/>
                <w:szCs w:val="18"/>
              </w:rPr>
              <w:t>6</w:t>
            </w:r>
          </w:p>
        </w:tc>
        <w:tc>
          <w:tcPr>
            <w:tcW w:w="0" w:type="auto"/>
            <w:tcBorders>
              <w:top w:val="nil"/>
              <w:left w:val="nil"/>
              <w:bottom w:val="nil"/>
              <w:right w:val="nil"/>
            </w:tcBorders>
            <w:shd w:val="clear" w:color="auto" w:fill="632423" w:themeFill="accent2" w:themeFillShade="8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r>
      <w:tr w:rsidR="00404B94" w:rsidRPr="002F31D1" w:rsidTr="00822DAF">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hideMark/>
          </w:tcPr>
          <w:p w:rsidR="00404B94" w:rsidRPr="002F31D1" w:rsidRDefault="00C73DE1" w:rsidP="00C73DE1">
            <w:pPr>
              <w:jc w:val="right"/>
              <w:rPr>
                <w:rFonts w:ascii="Arial" w:hAnsi="Arial" w:cs="Arial"/>
                <w:sz w:val="18"/>
                <w:szCs w:val="18"/>
              </w:rPr>
            </w:pPr>
            <w:r>
              <w:rPr>
                <w:rFonts w:ascii="Arial" w:hAnsi="Arial" w:cs="Arial"/>
                <w:sz w:val="18"/>
                <w:szCs w:val="18"/>
              </w:rPr>
              <w:t>8</w:t>
            </w:r>
            <w:r w:rsidR="00404B94">
              <w:rPr>
                <w:rFonts w:ascii="Arial" w:hAnsi="Arial" w:cs="Arial"/>
                <w:sz w:val="18"/>
                <w:szCs w:val="18"/>
              </w:rPr>
              <w:t>,</w:t>
            </w:r>
            <w:r>
              <w:rPr>
                <w:rFonts w:ascii="Arial" w:hAnsi="Arial" w:cs="Arial"/>
                <w:sz w:val="18"/>
                <w:szCs w:val="18"/>
              </w:rPr>
              <w:t>230</w:t>
            </w:r>
            <w:r w:rsidR="00404B94">
              <w:rPr>
                <w:rFonts w:ascii="Arial" w:hAnsi="Arial" w:cs="Arial"/>
                <w:sz w:val="18"/>
                <w:szCs w:val="18"/>
              </w:rPr>
              <w:t>,</w:t>
            </w:r>
            <w:r>
              <w:rPr>
                <w:rFonts w:ascii="Arial" w:hAnsi="Arial" w:cs="Arial"/>
                <w:sz w:val="18"/>
                <w:szCs w:val="18"/>
              </w:rPr>
              <w:t>143</w:t>
            </w:r>
            <w:r w:rsidR="00404B94"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tcPr>
          <w:p w:rsidR="00404B94" w:rsidRPr="002F31D1" w:rsidRDefault="00F4166C" w:rsidP="00F4166C">
            <w:pPr>
              <w:jc w:val="right"/>
              <w:rPr>
                <w:rFonts w:ascii="Arial" w:hAnsi="Arial" w:cs="Arial"/>
                <w:sz w:val="18"/>
                <w:szCs w:val="18"/>
              </w:rPr>
            </w:pPr>
            <w:r>
              <w:rPr>
                <w:rFonts w:ascii="Arial" w:hAnsi="Arial" w:cs="Arial"/>
                <w:sz w:val="18"/>
                <w:szCs w:val="18"/>
              </w:rPr>
              <w:t>80.1</w:t>
            </w:r>
            <w:r w:rsidR="00404B94">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404B94" w:rsidRPr="002F31D1" w:rsidRDefault="00404B94" w:rsidP="00800EAD">
            <w:pPr>
              <w:jc w:val="right"/>
              <w:rPr>
                <w:rFonts w:ascii="Arial" w:hAnsi="Arial" w:cs="Arial"/>
                <w:sz w:val="18"/>
                <w:szCs w:val="18"/>
              </w:rPr>
            </w:pPr>
            <w:r>
              <w:rPr>
                <w:rFonts w:ascii="Arial" w:hAnsi="Arial" w:cs="Arial"/>
                <w:sz w:val="18"/>
                <w:szCs w:val="18"/>
              </w:rPr>
              <w:t>18,780,517</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404B94" w:rsidRPr="002F31D1" w:rsidRDefault="00404B94" w:rsidP="00800EAD">
            <w:pPr>
              <w:jc w:val="right"/>
              <w:rPr>
                <w:rFonts w:ascii="Arial" w:hAnsi="Arial" w:cs="Arial"/>
                <w:sz w:val="18"/>
                <w:szCs w:val="18"/>
              </w:rPr>
            </w:pPr>
            <w:r>
              <w:rPr>
                <w:rFonts w:ascii="Arial" w:hAnsi="Arial" w:cs="Arial"/>
                <w:sz w:val="18"/>
                <w:szCs w:val="18"/>
              </w:rPr>
              <w:t>87.27%</w:t>
            </w:r>
          </w:p>
        </w:tc>
      </w:tr>
      <w:tr w:rsidR="00404B94" w:rsidRPr="002F31D1" w:rsidTr="00822DAF">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hideMark/>
          </w:tcPr>
          <w:p w:rsidR="00404B94" w:rsidRPr="002F31D1" w:rsidRDefault="00C73DE1" w:rsidP="00C73DE1">
            <w:pPr>
              <w:jc w:val="right"/>
              <w:rPr>
                <w:rFonts w:ascii="Arial" w:hAnsi="Arial" w:cs="Arial"/>
                <w:sz w:val="18"/>
                <w:szCs w:val="18"/>
              </w:rPr>
            </w:pPr>
            <w:r>
              <w:rPr>
                <w:rFonts w:ascii="Arial" w:hAnsi="Arial" w:cs="Arial"/>
                <w:sz w:val="18"/>
                <w:szCs w:val="18"/>
              </w:rPr>
              <w:t>508,117</w:t>
            </w:r>
            <w:r w:rsidR="00404B94"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tcPr>
          <w:p w:rsidR="00404B94" w:rsidRPr="002F31D1" w:rsidRDefault="00F4166C" w:rsidP="00C73DE1">
            <w:pPr>
              <w:jc w:val="right"/>
              <w:rPr>
                <w:rFonts w:ascii="Arial" w:hAnsi="Arial" w:cs="Arial"/>
                <w:sz w:val="18"/>
                <w:szCs w:val="18"/>
              </w:rPr>
            </w:pPr>
            <w:r>
              <w:rPr>
                <w:rFonts w:ascii="Arial" w:hAnsi="Arial" w:cs="Arial"/>
                <w:sz w:val="18"/>
                <w:szCs w:val="18"/>
              </w:rPr>
              <w:t>4.9</w:t>
            </w:r>
            <w:r w:rsidR="00404B94">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404B94" w:rsidRPr="002F31D1" w:rsidRDefault="00404B94" w:rsidP="00800EAD">
            <w:pPr>
              <w:jc w:val="right"/>
              <w:rPr>
                <w:rFonts w:ascii="Arial" w:hAnsi="Arial" w:cs="Arial"/>
                <w:sz w:val="18"/>
                <w:szCs w:val="18"/>
              </w:rPr>
            </w:pPr>
            <w:r>
              <w:rPr>
                <w:rFonts w:ascii="Arial" w:hAnsi="Arial" w:cs="Arial"/>
                <w:sz w:val="18"/>
                <w:szCs w:val="18"/>
              </w:rPr>
              <w:t>780,110</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404B94" w:rsidRPr="002F31D1" w:rsidRDefault="00404B94" w:rsidP="00800EAD">
            <w:pPr>
              <w:jc w:val="right"/>
              <w:rPr>
                <w:rFonts w:ascii="Arial" w:hAnsi="Arial" w:cs="Arial"/>
                <w:sz w:val="18"/>
                <w:szCs w:val="18"/>
              </w:rPr>
            </w:pPr>
            <w:r>
              <w:rPr>
                <w:rFonts w:ascii="Arial" w:hAnsi="Arial" w:cs="Arial"/>
                <w:sz w:val="18"/>
                <w:szCs w:val="18"/>
              </w:rPr>
              <w:t>3.63%</w:t>
            </w:r>
          </w:p>
        </w:tc>
      </w:tr>
      <w:tr w:rsidR="00404B94" w:rsidRPr="002F31D1" w:rsidTr="00822DAF">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hideMark/>
          </w:tcPr>
          <w:p w:rsidR="00404B94" w:rsidRPr="002F31D1" w:rsidRDefault="00C73DE1" w:rsidP="00851B03">
            <w:pPr>
              <w:jc w:val="right"/>
              <w:rPr>
                <w:rFonts w:ascii="Arial" w:hAnsi="Arial" w:cs="Arial"/>
                <w:sz w:val="18"/>
                <w:szCs w:val="18"/>
              </w:rPr>
            </w:pPr>
            <w:r>
              <w:rPr>
                <w:rFonts w:ascii="Arial" w:hAnsi="Arial" w:cs="Arial"/>
                <w:sz w:val="18"/>
                <w:szCs w:val="18"/>
              </w:rPr>
              <w:t>1,092,497</w:t>
            </w:r>
            <w:r w:rsidR="00404B94"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tcPr>
          <w:p w:rsidR="00404B94" w:rsidRPr="002F31D1" w:rsidRDefault="00F4166C" w:rsidP="0074627B">
            <w:pPr>
              <w:jc w:val="right"/>
              <w:rPr>
                <w:rFonts w:ascii="Arial" w:hAnsi="Arial" w:cs="Arial"/>
                <w:sz w:val="18"/>
                <w:szCs w:val="18"/>
              </w:rPr>
            </w:pPr>
            <w:r>
              <w:rPr>
                <w:rFonts w:ascii="Arial" w:hAnsi="Arial" w:cs="Arial"/>
                <w:sz w:val="18"/>
                <w:szCs w:val="18"/>
              </w:rPr>
              <w:t>10.7</w:t>
            </w:r>
            <w:r w:rsidR="00404B94">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404B94" w:rsidRPr="002F31D1" w:rsidRDefault="00404B94" w:rsidP="00800EAD">
            <w:pPr>
              <w:jc w:val="right"/>
              <w:rPr>
                <w:rFonts w:ascii="Arial" w:hAnsi="Arial" w:cs="Arial"/>
                <w:sz w:val="18"/>
                <w:szCs w:val="18"/>
              </w:rPr>
            </w:pPr>
            <w:r>
              <w:rPr>
                <w:rFonts w:ascii="Arial" w:hAnsi="Arial" w:cs="Arial"/>
                <w:sz w:val="18"/>
                <w:szCs w:val="18"/>
              </w:rPr>
              <w:t>1,959,171</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404B94" w:rsidRPr="002F31D1" w:rsidRDefault="00404B94" w:rsidP="00800EAD">
            <w:pPr>
              <w:jc w:val="right"/>
              <w:rPr>
                <w:rFonts w:ascii="Arial" w:hAnsi="Arial" w:cs="Arial"/>
                <w:sz w:val="18"/>
                <w:szCs w:val="18"/>
              </w:rPr>
            </w:pPr>
            <w:r>
              <w:rPr>
                <w:rFonts w:ascii="Arial" w:hAnsi="Arial" w:cs="Arial"/>
                <w:sz w:val="18"/>
                <w:szCs w:val="18"/>
              </w:rPr>
              <w:t>9.10%</w:t>
            </w:r>
          </w:p>
        </w:tc>
      </w:tr>
      <w:tr w:rsidR="00F4166C" w:rsidRPr="002F31D1" w:rsidTr="00822DAF">
        <w:trPr>
          <w:trHeight w:val="255"/>
          <w:jc w:val="center"/>
        </w:trPr>
        <w:tc>
          <w:tcPr>
            <w:tcW w:w="0" w:type="auto"/>
            <w:tcBorders>
              <w:top w:val="nil"/>
              <w:left w:val="nil"/>
              <w:bottom w:val="nil"/>
              <w:right w:val="nil"/>
            </w:tcBorders>
            <w:shd w:val="clear" w:color="auto" w:fill="auto"/>
            <w:noWrap/>
            <w:vAlign w:val="center"/>
            <w:hideMark/>
          </w:tcPr>
          <w:p w:rsidR="00F4166C" w:rsidRPr="002F31D1" w:rsidRDefault="00F4166C" w:rsidP="00822DAF">
            <w:pPr>
              <w:rPr>
                <w:rFonts w:ascii="Arial" w:hAnsi="Arial" w:cs="Arial"/>
                <w:sz w:val="18"/>
                <w:szCs w:val="18"/>
              </w:rPr>
            </w:pPr>
            <w:r>
              <w:rPr>
                <w:rFonts w:ascii="Arial" w:hAnsi="Arial" w:cs="Arial"/>
                <w:sz w:val="18"/>
                <w:szCs w:val="18"/>
              </w:rPr>
              <w:t xml:space="preserve">   Bienes muebles, inmuebles e intangibles</w:t>
            </w:r>
          </w:p>
        </w:tc>
        <w:tc>
          <w:tcPr>
            <w:tcW w:w="0" w:type="auto"/>
            <w:tcBorders>
              <w:top w:val="nil"/>
              <w:left w:val="nil"/>
              <w:bottom w:val="nil"/>
              <w:right w:val="nil"/>
            </w:tcBorders>
            <w:shd w:val="clear" w:color="auto" w:fill="auto"/>
            <w:noWrap/>
            <w:vAlign w:val="center"/>
            <w:hideMark/>
          </w:tcPr>
          <w:p w:rsidR="00F4166C" w:rsidRDefault="00F4166C" w:rsidP="00851B03">
            <w:pPr>
              <w:jc w:val="right"/>
              <w:rPr>
                <w:rFonts w:ascii="Arial" w:hAnsi="Arial" w:cs="Arial"/>
                <w:sz w:val="18"/>
                <w:szCs w:val="18"/>
              </w:rPr>
            </w:pPr>
            <w:r>
              <w:rPr>
                <w:rFonts w:ascii="Arial" w:hAnsi="Arial" w:cs="Arial"/>
                <w:sz w:val="18"/>
                <w:szCs w:val="18"/>
              </w:rPr>
              <w:t>427,063</w:t>
            </w:r>
          </w:p>
        </w:tc>
        <w:tc>
          <w:tcPr>
            <w:tcW w:w="0" w:type="auto"/>
            <w:tcBorders>
              <w:top w:val="nil"/>
              <w:left w:val="nil"/>
              <w:bottom w:val="nil"/>
              <w:right w:val="nil"/>
            </w:tcBorders>
            <w:shd w:val="clear" w:color="auto" w:fill="auto"/>
            <w:noWrap/>
            <w:vAlign w:val="center"/>
          </w:tcPr>
          <w:p w:rsidR="00F4166C" w:rsidRDefault="00F4166C" w:rsidP="0074627B">
            <w:pPr>
              <w:jc w:val="right"/>
              <w:rPr>
                <w:rFonts w:ascii="Arial" w:hAnsi="Arial" w:cs="Arial"/>
                <w:sz w:val="18"/>
                <w:szCs w:val="18"/>
              </w:rPr>
            </w:pPr>
            <w:r>
              <w:rPr>
                <w:rFonts w:ascii="Arial" w:hAnsi="Arial" w:cs="Arial"/>
                <w:sz w:val="18"/>
                <w:szCs w:val="18"/>
              </w:rPr>
              <w:t>4.3%</w:t>
            </w:r>
          </w:p>
        </w:tc>
        <w:tc>
          <w:tcPr>
            <w:tcW w:w="0" w:type="auto"/>
            <w:tcBorders>
              <w:top w:val="nil"/>
              <w:left w:val="nil"/>
              <w:bottom w:val="nil"/>
              <w:right w:val="nil"/>
            </w:tcBorders>
            <w:shd w:val="clear" w:color="auto" w:fill="auto"/>
            <w:noWrap/>
            <w:vAlign w:val="center"/>
            <w:hideMark/>
          </w:tcPr>
          <w:p w:rsidR="00F4166C" w:rsidRDefault="00F4166C" w:rsidP="00800EAD">
            <w:pPr>
              <w:jc w:val="right"/>
              <w:rPr>
                <w:rFonts w:ascii="Arial" w:hAnsi="Arial" w:cs="Arial"/>
                <w:sz w:val="18"/>
                <w:szCs w:val="18"/>
              </w:rPr>
            </w:pPr>
          </w:p>
        </w:tc>
        <w:tc>
          <w:tcPr>
            <w:tcW w:w="0" w:type="auto"/>
            <w:tcBorders>
              <w:top w:val="nil"/>
              <w:left w:val="nil"/>
              <w:bottom w:val="nil"/>
              <w:right w:val="nil"/>
            </w:tcBorders>
            <w:shd w:val="clear" w:color="auto" w:fill="auto"/>
            <w:noWrap/>
            <w:vAlign w:val="center"/>
            <w:hideMark/>
          </w:tcPr>
          <w:p w:rsidR="00F4166C" w:rsidRDefault="00F4166C" w:rsidP="00800EAD">
            <w:pPr>
              <w:jc w:val="right"/>
              <w:rPr>
                <w:rFonts w:ascii="Arial" w:hAnsi="Arial" w:cs="Arial"/>
                <w:sz w:val="18"/>
                <w:szCs w:val="18"/>
              </w:rPr>
            </w:pPr>
          </w:p>
        </w:tc>
      </w:tr>
      <w:tr w:rsidR="00404B94" w:rsidRPr="002F31D1" w:rsidTr="00822DAF">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rsidR="00404B94" w:rsidRPr="002F31D1" w:rsidRDefault="00404B94" w:rsidP="00C73DE1">
            <w:pPr>
              <w:spacing w:before="80"/>
              <w:jc w:val="right"/>
              <w:rPr>
                <w:rFonts w:ascii="Arial" w:hAnsi="Arial" w:cs="Arial"/>
                <w:b/>
                <w:bCs/>
                <w:sz w:val="18"/>
                <w:szCs w:val="18"/>
                <w:u w:val="double"/>
              </w:rPr>
            </w:pPr>
            <w:r w:rsidRPr="002F31D1">
              <w:rPr>
                <w:rFonts w:ascii="Arial" w:hAnsi="Arial" w:cs="Arial"/>
                <w:b/>
                <w:bCs/>
                <w:sz w:val="18"/>
                <w:szCs w:val="18"/>
                <w:u w:val="double"/>
              </w:rPr>
              <w:t xml:space="preserve">$ </w:t>
            </w:r>
            <w:r w:rsidR="00F4166C">
              <w:rPr>
                <w:rFonts w:ascii="Arial" w:hAnsi="Arial" w:cs="Arial"/>
                <w:b/>
                <w:bCs/>
                <w:sz w:val="18"/>
                <w:szCs w:val="18"/>
                <w:u w:val="double"/>
              </w:rPr>
              <w:t>10,257,820</w:t>
            </w:r>
          </w:p>
        </w:tc>
        <w:tc>
          <w:tcPr>
            <w:tcW w:w="0" w:type="auto"/>
            <w:tcBorders>
              <w:top w:val="nil"/>
              <w:left w:val="nil"/>
              <w:bottom w:val="nil"/>
              <w:right w:val="nil"/>
            </w:tcBorders>
            <w:shd w:val="clear" w:color="auto" w:fill="auto"/>
            <w:noWrap/>
            <w:vAlign w:val="center"/>
            <w:hideMark/>
          </w:tcPr>
          <w:p w:rsidR="00404B94" w:rsidRPr="002F31D1" w:rsidRDefault="00404B94" w:rsidP="00822DAF">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c>
          <w:tcPr>
            <w:tcW w:w="0" w:type="auto"/>
            <w:tcBorders>
              <w:top w:val="nil"/>
              <w:left w:val="nil"/>
              <w:bottom w:val="nil"/>
              <w:right w:val="nil"/>
            </w:tcBorders>
            <w:shd w:val="clear" w:color="auto" w:fill="auto"/>
            <w:noWrap/>
            <w:vAlign w:val="center"/>
            <w:hideMark/>
          </w:tcPr>
          <w:p w:rsidR="00404B94" w:rsidRPr="002F31D1" w:rsidRDefault="00404B94" w:rsidP="00800EAD">
            <w:pPr>
              <w:spacing w:before="80"/>
              <w:jc w:val="right"/>
              <w:rPr>
                <w:rFonts w:ascii="Arial" w:hAnsi="Arial" w:cs="Arial"/>
                <w:b/>
                <w:bCs/>
                <w:sz w:val="18"/>
                <w:szCs w:val="18"/>
                <w:u w:val="double"/>
              </w:rPr>
            </w:pPr>
            <w:r w:rsidRPr="002F31D1">
              <w:rPr>
                <w:rFonts w:ascii="Arial" w:hAnsi="Arial" w:cs="Arial"/>
                <w:b/>
                <w:bCs/>
                <w:sz w:val="18"/>
                <w:szCs w:val="18"/>
                <w:u w:val="double"/>
              </w:rPr>
              <w:t xml:space="preserve">$ </w:t>
            </w:r>
            <w:r>
              <w:rPr>
                <w:rFonts w:ascii="Arial" w:hAnsi="Arial" w:cs="Arial"/>
                <w:b/>
                <w:bCs/>
                <w:sz w:val="18"/>
                <w:szCs w:val="18"/>
                <w:u w:val="double"/>
              </w:rPr>
              <w:t>21,519,798</w:t>
            </w:r>
          </w:p>
        </w:tc>
        <w:tc>
          <w:tcPr>
            <w:tcW w:w="0" w:type="auto"/>
            <w:tcBorders>
              <w:top w:val="nil"/>
              <w:left w:val="nil"/>
              <w:bottom w:val="nil"/>
              <w:right w:val="nil"/>
            </w:tcBorders>
            <w:shd w:val="clear" w:color="auto" w:fill="auto"/>
            <w:noWrap/>
            <w:vAlign w:val="center"/>
            <w:hideMark/>
          </w:tcPr>
          <w:p w:rsidR="00404B94" w:rsidRPr="002F31D1" w:rsidRDefault="00404B94" w:rsidP="00800EAD">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r>
    </w:tbl>
    <w:p w:rsidR="00A668D1" w:rsidRPr="002F31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F6255B">
        <w:rPr>
          <w:rFonts w:ascii="Arial" w:hAnsi="Arial" w:cs="Arial"/>
          <w:sz w:val="18"/>
          <w:szCs w:val="18"/>
        </w:rPr>
        <w:t>segundo</w:t>
      </w:r>
      <w:r w:rsidR="00160E1E">
        <w:rPr>
          <w:rFonts w:ascii="Arial" w:hAnsi="Arial" w:cs="Arial"/>
          <w:sz w:val="18"/>
          <w:szCs w:val="18"/>
        </w:rPr>
        <w:t xml:space="preserve"> trimestre</w:t>
      </w:r>
      <w:r>
        <w:rPr>
          <w:rFonts w:ascii="Arial" w:hAnsi="Arial" w:cs="Arial"/>
          <w:sz w:val="18"/>
          <w:szCs w:val="18"/>
        </w:rPr>
        <w:t xml:space="preserve"> 201</w:t>
      </w:r>
      <w:r w:rsidR="00847F9B">
        <w:rPr>
          <w:rFonts w:ascii="Arial" w:hAnsi="Arial" w:cs="Arial"/>
          <w:sz w:val="18"/>
          <w:szCs w:val="18"/>
        </w:rPr>
        <w:t>7</w:t>
      </w:r>
      <w:r w:rsidRPr="002F31D1">
        <w:rPr>
          <w:rFonts w:ascii="Arial" w:hAnsi="Arial" w:cs="Arial"/>
          <w:sz w:val="18"/>
          <w:szCs w:val="18"/>
        </w:rPr>
        <w:t xml:space="preserve"> los Servicios Personales corresponden el </w:t>
      </w:r>
      <w:r w:rsidR="00160E1E">
        <w:rPr>
          <w:rFonts w:ascii="Arial" w:hAnsi="Arial" w:cs="Arial"/>
          <w:sz w:val="18"/>
          <w:szCs w:val="18"/>
        </w:rPr>
        <w:t>8</w:t>
      </w:r>
      <w:r w:rsidR="00C448D7">
        <w:rPr>
          <w:rFonts w:ascii="Arial" w:hAnsi="Arial" w:cs="Arial"/>
          <w:sz w:val="18"/>
          <w:szCs w:val="18"/>
        </w:rPr>
        <w:t>0</w:t>
      </w:r>
      <w:r w:rsidR="00AA7673">
        <w:rPr>
          <w:rFonts w:ascii="Arial" w:hAnsi="Arial" w:cs="Arial"/>
          <w:sz w:val="18"/>
          <w:szCs w:val="18"/>
        </w:rPr>
        <w:t>.</w:t>
      </w:r>
      <w:r w:rsidR="00C448D7">
        <w:rPr>
          <w:rFonts w:ascii="Arial" w:hAnsi="Arial" w:cs="Arial"/>
          <w:sz w:val="18"/>
          <w:szCs w:val="18"/>
        </w:rPr>
        <w:t>10</w:t>
      </w:r>
      <w:r>
        <w:rPr>
          <w:rFonts w:ascii="Arial" w:hAnsi="Arial" w:cs="Arial"/>
          <w:sz w:val="18"/>
          <w:szCs w:val="18"/>
        </w:rPr>
        <w:t>%, siendo</w:t>
      </w:r>
      <w:r w:rsidRPr="002F31D1">
        <w:rPr>
          <w:rFonts w:ascii="Arial" w:hAnsi="Arial" w:cs="Arial"/>
          <w:sz w:val="18"/>
          <w:szCs w:val="18"/>
        </w:rPr>
        <w:t xml:space="preserve"> el gasto más representativo de la Comisión, gasto razonable en función a las actividades que desempeña la CEDHT. </w:t>
      </w:r>
    </w:p>
    <w:p w:rsidR="00A668D1" w:rsidRDefault="00A668D1" w:rsidP="00A668D1">
      <w:pPr>
        <w:autoSpaceDE w:val="0"/>
        <w:autoSpaceDN w:val="0"/>
        <w:adjustRightInd w:val="0"/>
        <w:spacing w:before="80"/>
        <w:jc w:val="both"/>
        <w:rPr>
          <w:rFonts w:ascii="Arial" w:hAnsi="Arial" w:cs="Arial"/>
          <w:sz w:val="18"/>
          <w:szCs w:val="18"/>
        </w:rPr>
      </w:pPr>
    </w:p>
    <w:p w:rsidR="00A668D1" w:rsidRPr="00343189"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rsidR="00A668D1" w:rsidRDefault="00A668D1" w:rsidP="00A668D1">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201</w:t>
      </w:r>
      <w:r w:rsidR="00810568">
        <w:rPr>
          <w:rFonts w:ascii="Arial" w:hAnsi="Arial" w:cs="Arial"/>
          <w:sz w:val="18"/>
          <w:szCs w:val="18"/>
        </w:rPr>
        <w:t>7</w:t>
      </w:r>
      <w:r>
        <w:rPr>
          <w:rFonts w:ascii="Arial" w:hAnsi="Arial" w:cs="Arial"/>
          <w:sz w:val="18"/>
          <w:szCs w:val="18"/>
        </w:rPr>
        <w:t xml:space="preserve"> </w:t>
      </w:r>
      <w:r w:rsidRPr="002F31D1">
        <w:rPr>
          <w:rFonts w:ascii="Arial" w:hAnsi="Arial" w:cs="Arial"/>
          <w:sz w:val="18"/>
          <w:szCs w:val="18"/>
        </w:rPr>
        <w:t xml:space="preserve">de esta Comisión son los siguientes: </w:t>
      </w:r>
    </w:p>
    <w:p w:rsidR="00A668D1" w:rsidRPr="002F31D1" w:rsidRDefault="00A668D1" w:rsidP="00A668D1">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A668D1" w:rsidRPr="002F31D1" w:rsidTr="005D2D96">
        <w:trPr>
          <w:trHeight w:val="300"/>
          <w:jc w:val="center"/>
        </w:trPr>
        <w:tc>
          <w:tcPr>
            <w:tcW w:w="0" w:type="auto"/>
            <w:tcBorders>
              <w:top w:val="nil"/>
              <w:left w:val="nil"/>
              <w:bottom w:val="nil"/>
              <w:right w:val="nil"/>
            </w:tcBorders>
            <w:shd w:val="clear" w:color="auto" w:fill="632423" w:themeFill="accent2" w:themeFillShade="8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632423" w:themeFill="accent2" w:themeFillShade="80"/>
            <w:noWrap/>
            <w:vAlign w:val="center"/>
            <w:hideMark/>
          </w:tcPr>
          <w:p w:rsidR="00A668D1" w:rsidRPr="002F31D1" w:rsidRDefault="00A668D1" w:rsidP="00551984">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201</w:t>
            </w:r>
            <w:r w:rsidR="00551984">
              <w:rPr>
                <w:rFonts w:ascii="Arial" w:hAnsi="Arial" w:cs="Arial"/>
                <w:b/>
                <w:bCs/>
                <w:color w:val="FFFFFF"/>
                <w:sz w:val="18"/>
                <w:szCs w:val="18"/>
              </w:rPr>
              <w:t>7</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rsidR="00A668D1" w:rsidRPr="00BC617A" w:rsidRDefault="00551984" w:rsidP="0074627B">
            <w:pPr>
              <w:jc w:val="right"/>
              <w:rPr>
                <w:rFonts w:ascii="Arial" w:hAnsi="Arial" w:cs="Arial"/>
                <w:color w:val="000000"/>
                <w:sz w:val="18"/>
                <w:szCs w:val="18"/>
              </w:rPr>
            </w:pPr>
            <w:r w:rsidRPr="00BC617A">
              <w:rPr>
                <w:rFonts w:ascii="Arial" w:hAnsi="Arial" w:cs="Arial"/>
                <w:color w:val="000000"/>
                <w:sz w:val="18"/>
                <w:szCs w:val="18"/>
              </w:rPr>
              <w:t>3,</w:t>
            </w:r>
            <w:r w:rsidR="00BC617A" w:rsidRPr="00BC617A">
              <w:rPr>
                <w:rFonts w:ascii="Arial" w:hAnsi="Arial" w:cs="Arial"/>
                <w:color w:val="000000"/>
                <w:sz w:val="18"/>
                <w:szCs w:val="18"/>
              </w:rPr>
              <w:t>335</w:t>
            </w:r>
            <w:r w:rsidRPr="00BC617A">
              <w:rPr>
                <w:rFonts w:ascii="Arial" w:hAnsi="Arial" w:cs="Arial"/>
                <w:color w:val="000000"/>
                <w:sz w:val="18"/>
                <w:szCs w:val="18"/>
              </w:rPr>
              <w:t>,</w:t>
            </w:r>
            <w:r w:rsidR="00C448D7" w:rsidRPr="00BC617A">
              <w:rPr>
                <w:rFonts w:ascii="Arial" w:hAnsi="Arial" w:cs="Arial"/>
                <w:color w:val="000000"/>
                <w:sz w:val="18"/>
                <w:szCs w:val="18"/>
              </w:rPr>
              <w:t>915</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rsidR="00A668D1" w:rsidRPr="00BC617A" w:rsidRDefault="00551984" w:rsidP="009E3806">
            <w:pPr>
              <w:jc w:val="right"/>
              <w:rPr>
                <w:rFonts w:ascii="Arial" w:hAnsi="Arial" w:cs="Arial"/>
                <w:color w:val="000000"/>
                <w:sz w:val="18"/>
                <w:szCs w:val="18"/>
              </w:rPr>
            </w:pPr>
            <w:r w:rsidRPr="00BC617A">
              <w:rPr>
                <w:rFonts w:ascii="Arial" w:hAnsi="Arial" w:cs="Arial"/>
                <w:color w:val="000000"/>
                <w:sz w:val="18"/>
                <w:szCs w:val="18"/>
              </w:rPr>
              <w:t>1,</w:t>
            </w:r>
            <w:r w:rsidR="00C448D7" w:rsidRPr="00BC617A">
              <w:rPr>
                <w:rFonts w:ascii="Arial" w:hAnsi="Arial" w:cs="Arial"/>
                <w:color w:val="000000"/>
                <w:sz w:val="18"/>
                <w:szCs w:val="18"/>
              </w:rPr>
              <w:t>714,745</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rsidR="00A668D1" w:rsidRPr="00BC617A" w:rsidRDefault="00277404" w:rsidP="00551984">
            <w:pPr>
              <w:jc w:val="right"/>
              <w:rPr>
                <w:rFonts w:ascii="Arial" w:hAnsi="Arial" w:cs="Arial"/>
                <w:color w:val="000000"/>
                <w:sz w:val="18"/>
                <w:szCs w:val="18"/>
              </w:rPr>
            </w:pPr>
            <w:r w:rsidRPr="00BC617A">
              <w:rPr>
                <w:rFonts w:ascii="Arial" w:hAnsi="Arial" w:cs="Arial"/>
                <w:color w:val="000000"/>
                <w:sz w:val="18"/>
                <w:szCs w:val="18"/>
              </w:rPr>
              <w:t>-</w:t>
            </w:r>
            <w:r w:rsidR="00C448D7" w:rsidRPr="00BC617A">
              <w:rPr>
                <w:rFonts w:ascii="Arial" w:hAnsi="Arial" w:cs="Arial"/>
                <w:color w:val="000000"/>
                <w:sz w:val="18"/>
                <w:szCs w:val="18"/>
              </w:rPr>
              <w:t>82</w:t>
            </w:r>
            <w:r w:rsidR="00551984" w:rsidRPr="00BC617A">
              <w:rPr>
                <w:rFonts w:ascii="Arial" w:hAnsi="Arial" w:cs="Arial"/>
                <w:color w:val="000000"/>
                <w:sz w:val="18"/>
                <w:szCs w:val="18"/>
              </w:rPr>
              <w:t>,</w:t>
            </w:r>
            <w:r w:rsidR="00C448D7" w:rsidRPr="00BC617A">
              <w:rPr>
                <w:rFonts w:ascii="Arial" w:hAnsi="Arial" w:cs="Arial"/>
                <w:color w:val="000000"/>
                <w:sz w:val="18"/>
                <w:szCs w:val="18"/>
              </w:rPr>
              <w:t>454</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tcPr>
          <w:p w:rsidR="00A668D1" w:rsidRPr="002F31D1" w:rsidRDefault="00A668D1" w:rsidP="00FD07FD">
            <w:pPr>
              <w:rPr>
                <w:rFonts w:ascii="Arial" w:hAnsi="Arial" w:cs="Arial"/>
                <w:color w:val="000000"/>
                <w:sz w:val="18"/>
                <w:szCs w:val="18"/>
              </w:rPr>
            </w:pPr>
            <w:r w:rsidRPr="002F31D1">
              <w:rPr>
                <w:rFonts w:ascii="Arial" w:hAnsi="Arial" w:cs="Arial"/>
                <w:color w:val="000000"/>
                <w:sz w:val="18"/>
                <w:szCs w:val="18"/>
              </w:rPr>
              <w:t>Saldo Neto en la Hacienda Pública /Patrimonio 201</w:t>
            </w:r>
            <w:r w:rsidR="00551984">
              <w:rPr>
                <w:rFonts w:ascii="Arial" w:hAnsi="Arial" w:cs="Arial"/>
                <w:color w:val="000000"/>
                <w:sz w:val="18"/>
                <w:szCs w:val="18"/>
              </w:rPr>
              <w:t>7</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rsidR="00A668D1" w:rsidRPr="00BC617A" w:rsidRDefault="00BC617A" w:rsidP="00AA7673">
            <w:pPr>
              <w:jc w:val="right"/>
              <w:rPr>
                <w:rFonts w:ascii="Arial" w:hAnsi="Arial" w:cs="Arial"/>
                <w:b/>
                <w:color w:val="000000"/>
                <w:sz w:val="18"/>
                <w:szCs w:val="18"/>
                <w:u w:val="double"/>
              </w:rPr>
            </w:pPr>
            <w:r w:rsidRPr="00BC617A">
              <w:rPr>
                <w:rFonts w:ascii="Arial" w:hAnsi="Arial" w:cs="Arial"/>
                <w:b/>
                <w:color w:val="000000"/>
                <w:sz w:val="18"/>
                <w:szCs w:val="18"/>
                <w:u w:val="double"/>
              </w:rPr>
              <w:t>4,968,206</w:t>
            </w:r>
          </w:p>
        </w:tc>
      </w:tr>
    </w:tbl>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rsidR="00A668D1" w:rsidRPr="00C76D92" w:rsidRDefault="00A668D1" w:rsidP="00A668D1">
      <w:pPr>
        <w:pStyle w:val="Prrafodelista"/>
        <w:autoSpaceDE w:val="0"/>
        <w:autoSpaceDN w:val="0"/>
        <w:adjustRightInd w:val="0"/>
        <w:spacing w:before="80"/>
        <w:ind w:left="1069"/>
        <w:jc w:val="both"/>
        <w:rPr>
          <w:rFonts w:ascii="Arial" w:hAnsi="Arial" w:cs="Arial"/>
          <w:sz w:val="18"/>
          <w:szCs w:val="18"/>
        </w:rPr>
      </w:pPr>
    </w:p>
    <w:p w:rsidR="00A668D1" w:rsidRPr="00C76D92" w:rsidRDefault="00A668D1" w:rsidP="00A668D1">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rsidR="00A668D1" w:rsidRPr="002F31D1" w:rsidRDefault="00A668D1" w:rsidP="00A668D1">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A668D1" w:rsidRPr="002F31D1" w:rsidTr="005D2D96">
        <w:trPr>
          <w:trHeight w:val="330"/>
          <w:jc w:val="center"/>
        </w:trPr>
        <w:tc>
          <w:tcPr>
            <w:tcW w:w="0" w:type="auto"/>
            <w:tcBorders>
              <w:top w:val="nil"/>
              <w:left w:val="nil"/>
              <w:bottom w:val="nil"/>
              <w:right w:val="nil"/>
            </w:tcBorders>
            <w:shd w:val="clear" w:color="auto" w:fill="632423" w:themeFill="accent2" w:themeFillShade="8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632423" w:themeFill="accent2" w:themeFillShade="80"/>
            <w:noWrap/>
            <w:vAlign w:val="bottom"/>
            <w:hideMark/>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551984">
              <w:rPr>
                <w:rFonts w:ascii="Arial" w:hAnsi="Arial" w:cs="Arial"/>
                <w:b/>
                <w:bCs/>
                <w:color w:val="FFFFFF"/>
                <w:sz w:val="18"/>
                <w:szCs w:val="18"/>
              </w:rPr>
              <w:t>7</w:t>
            </w:r>
          </w:p>
        </w:tc>
        <w:tc>
          <w:tcPr>
            <w:tcW w:w="1174" w:type="dxa"/>
            <w:tcBorders>
              <w:top w:val="nil"/>
              <w:left w:val="nil"/>
              <w:bottom w:val="nil"/>
              <w:right w:val="nil"/>
            </w:tcBorders>
            <w:shd w:val="clear" w:color="auto" w:fill="632423" w:themeFill="accent2" w:themeFillShade="80"/>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551984">
              <w:rPr>
                <w:rFonts w:ascii="Arial" w:hAnsi="Arial" w:cs="Arial"/>
                <w:b/>
                <w:bCs/>
                <w:color w:val="FFFFFF"/>
                <w:sz w:val="18"/>
                <w:szCs w:val="18"/>
              </w:rPr>
              <w:t>6</w:t>
            </w:r>
          </w:p>
        </w:tc>
      </w:tr>
      <w:tr w:rsidR="00A668D1" w:rsidRPr="002F31D1" w:rsidTr="00822DAF">
        <w:trPr>
          <w:trHeight w:val="33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rsidR="00A668D1" w:rsidRPr="002F31D1" w:rsidRDefault="00551984" w:rsidP="0074627B">
            <w:pPr>
              <w:spacing w:before="80"/>
              <w:jc w:val="right"/>
              <w:rPr>
                <w:rFonts w:ascii="Arial" w:hAnsi="Arial" w:cs="Arial"/>
                <w:sz w:val="18"/>
                <w:szCs w:val="18"/>
              </w:rPr>
            </w:pPr>
            <w:r>
              <w:rPr>
                <w:rFonts w:ascii="Arial" w:hAnsi="Arial" w:cs="Arial"/>
                <w:sz w:val="18"/>
                <w:szCs w:val="18"/>
              </w:rPr>
              <w:t>1,</w:t>
            </w:r>
            <w:r w:rsidR="0074627B">
              <w:rPr>
                <w:rFonts w:ascii="Arial" w:hAnsi="Arial" w:cs="Arial"/>
                <w:sz w:val="18"/>
                <w:szCs w:val="18"/>
              </w:rPr>
              <w:t>345</w:t>
            </w:r>
            <w:r>
              <w:rPr>
                <w:rFonts w:ascii="Arial" w:hAnsi="Arial" w:cs="Arial"/>
                <w:sz w:val="18"/>
                <w:szCs w:val="18"/>
              </w:rPr>
              <w:t>,</w:t>
            </w:r>
            <w:r w:rsidR="0074627B">
              <w:rPr>
                <w:rFonts w:ascii="Arial" w:hAnsi="Arial" w:cs="Arial"/>
                <w:sz w:val="18"/>
                <w:szCs w:val="18"/>
              </w:rPr>
              <w:t>901</w:t>
            </w:r>
          </w:p>
        </w:tc>
        <w:tc>
          <w:tcPr>
            <w:tcW w:w="1174" w:type="dxa"/>
            <w:tcBorders>
              <w:top w:val="nil"/>
              <w:left w:val="nil"/>
              <w:bottom w:val="nil"/>
              <w:right w:val="nil"/>
            </w:tcBorders>
            <w:vAlign w:val="bottom"/>
          </w:tcPr>
          <w:p w:rsidR="00A668D1" w:rsidRPr="002F31D1" w:rsidRDefault="00551984" w:rsidP="00822DAF">
            <w:pPr>
              <w:spacing w:before="80"/>
              <w:jc w:val="right"/>
              <w:rPr>
                <w:rFonts w:ascii="Arial" w:hAnsi="Arial" w:cs="Arial"/>
                <w:sz w:val="18"/>
                <w:szCs w:val="18"/>
              </w:rPr>
            </w:pPr>
            <w:r>
              <w:rPr>
                <w:rFonts w:ascii="Arial" w:hAnsi="Arial" w:cs="Arial"/>
                <w:sz w:val="18"/>
                <w:szCs w:val="18"/>
              </w:rPr>
              <w:t>310,364</w:t>
            </w:r>
          </w:p>
        </w:tc>
      </w:tr>
      <w:tr w:rsidR="00A668D1" w:rsidRPr="002F31D1" w:rsidTr="00822DAF">
        <w:trPr>
          <w:trHeight w:val="330"/>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rsidR="00A668D1" w:rsidRPr="002F31D1" w:rsidRDefault="0043166A" w:rsidP="0074627B">
            <w:pPr>
              <w:spacing w:before="80"/>
              <w:jc w:val="right"/>
              <w:rPr>
                <w:rFonts w:ascii="Arial" w:hAnsi="Arial" w:cs="Arial"/>
                <w:b/>
                <w:sz w:val="18"/>
                <w:szCs w:val="18"/>
                <w:u w:val="double"/>
              </w:rPr>
            </w:pPr>
            <w:r>
              <w:rPr>
                <w:rFonts w:ascii="Arial" w:hAnsi="Arial" w:cs="Arial"/>
                <w:b/>
                <w:sz w:val="18"/>
                <w:szCs w:val="18"/>
                <w:u w:val="double"/>
              </w:rPr>
              <w:t>1,</w:t>
            </w:r>
            <w:r w:rsidR="0074627B">
              <w:rPr>
                <w:rFonts w:ascii="Arial" w:hAnsi="Arial" w:cs="Arial"/>
                <w:b/>
                <w:sz w:val="18"/>
                <w:szCs w:val="18"/>
                <w:u w:val="double"/>
              </w:rPr>
              <w:t>345</w:t>
            </w:r>
            <w:r>
              <w:rPr>
                <w:rFonts w:ascii="Arial" w:hAnsi="Arial" w:cs="Arial"/>
                <w:b/>
                <w:sz w:val="18"/>
                <w:szCs w:val="18"/>
                <w:u w:val="double"/>
              </w:rPr>
              <w:t>,</w:t>
            </w:r>
            <w:r w:rsidR="0074627B">
              <w:rPr>
                <w:rFonts w:ascii="Arial" w:hAnsi="Arial" w:cs="Arial"/>
                <w:b/>
                <w:sz w:val="18"/>
                <w:szCs w:val="18"/>
                <w:u w:val="double"/>
              </w:rPr>
              <w:t>901</w:t>
            </w:r>
          </w:p>
        </w:tc>
        <w:tc>
          <w:tcPr>
            <w:tcW w:w="1174" w:type="dxa"/>
            <w:tcBorders>
              <w:top w:val="nil"/>
              <w:left w:val="nil"/>
              <w:bottom w:val="nil"/>
              <w:right w:val="nil"/>
            </w:tcBorders>
            <w:vAlign w:val="bottom"/>
          </w:tcPr>
          <w:p w:rsidR="00A668D1" w:rsidRPr="002F31D1" w:rsidRDefault="00551984" w:rsidP="00822DAF">
            <w:pPr>
              <w:spacing w:before="80"/>
              <w:jc w:val="right"/>
              <w:rPr>
                <w:rFonts w:ascii="Arial" w:hAnsi="Arial" w:cs="Arial"/>
                <w:b/>
                <w:sz w:val="18"/>
                <w:szCs w:val="18"/>
                <w:u w:val="double"/>
              </w:rPr>
            </w:pPr>
            <w:r>
              <w:rPr>
                <w:rFonts w:ascii="Arial" w:hAnsi="Arial" w:cs="Arial"/>
                <w:b/>
                <w:sz w:val="18"/>
                <w:szCs w:val="18"/>
                <w:u w:val="double"/>
              </w:rPr>
              <w:t>310,364</w:t>
            </w:r>
          </w:p>
        </w:tc>
      </w:tr>
    </w:tbl>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CD3853"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 xml:space="preserve">muebles del ejercicio </w:t>
      </w:r>
      <w:r w:rsidRPr="00CD3853">
        <w:rPr>
          <w:rFonts w:ascii="Arial" w:hAnsi="Arial" w:cs="Arial"/>
          <w:sz w:val="18"/>
          <w:szCs w:val="18"/>
        </w:rPr>
        <w:t>201</w:t>
      </w:r>
      <w:r w:rsidR="0043166A">
        <w:rPr>
          <w:rFonts w:ascii="Arial" w:hAnsi="Arial" w:cs="Arial"/>
          <w:sz w:val="18"/>
          <w:szCs w:val="18"/>
        </w:rPr>
        <w:t>7</w:t>
      </w:r>
      <w:r w:rsidRPr="00CD3853">
        <w:rPr>
          <w:rFonts w:ascii="Arial" w:hAnsi="Arial" w:cs="Arial"/>
          <w:sz w:val="18"/>
          <w:szCs w:val="18"/>
        </w:rPr>
        <w:t>:</w:t>
      </w:r>
    </w:p>
    <w:p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5293" w:type="dxa"/>
        <w:jc w:val="center"/>
        <w:tblCellMar>
          <w:left w:w="70" w:type="dxa"/>
          <w:right w:w="70" w:type="dxa"/>
        </w:tblCellMar>
        <w:tblLook w:val="04A0" w:firstRow="1" w:lastRow="0" w:firstColumn="1" w:lastColumn="0" w:noHBand="0" w:noVBand="1"/>
      </w:tblPr>
      <w:tblGrid>
        <w:gridCol w:w="751"/>
        <w:gridCol w:w="3402"/>
        <w:gridCol w:w="1378"/>
      </w:tblGrid>
      <w:tr w:rsidR="00A668D1" w:rsidRPr="002F31D1" w:rsidTr="005D2D96">
        <w:trPr>
          <w:trHeight w:val="182"/>
          <w:jc w:val="center"/>
        </w:trPr>
        <w:tc>
          <w:tcPr>
            <w:tcW w:w="0" w:type="auto"/>
            <w:tcBorders>
              <w:top w:val="nil"/>
              <w:left w:val="nil"/>
              <w:bottom w:val="nil"/>
              <w:right w:val="nil"/>
            </w:tcBorders>
            <w:shd w:val="clear" w:color="auto" w:fill="632423" w:themeFill="accent2" w:themeFillShade="8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632423" w:themeFill="accent2" w:themeFillShade="8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378" w:type="dxa"/>
            <w:tcBorders>
              <w:top w:val="nil"/>
              <w:left w:val="nil"/>
              <w:bottom w:val="nil"/>
              <w:right w:val="nil"/>
            </w:tcBorders>
            <w:shd w:val="clear" w:color="auto" w:fill="632423" w:themeFill="accent2" w:themeFillShade="8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A668D1" w:rsidRPr="002F31D1" w:rsidTr="00822DAF">
        <w:trPr>
          <w:trHeight w:val="182"/>
          <w:jc w:val="center"/>
        </w:trPr>
        <w:tc>
          <w:tcPr>
            <w:tcW w:w="0" w:type="auto"/>
            <w:tcBorders>
              <w:top w:val="nil"/>
              <w:left w:val="nil"/>
              <w:bottom w:val="nil"/>
              <w:right w:val="nil"/>
            </w:tcBorders>
            <w:shd w:val="clear" w:color="auto" w:fill="auto"/>
            <w:noWrap/>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Mobiliario y Equipo de Administración</w:t>
            </w:r>
            <w:r>
              <w:rPr>
                <w:rFonts w:ascii="Arial" w:hAnsi="Arial" w:cs="Arial"/>
                <w:color w:val="000000"/>
                <w:sz w:val="18"/>
                <w:szCs w:val="18"/>
              </w:rPr>
              <w:t xml:space="preserve"> </w:t>
            </w:r>
          </w:p>
        </w:tc>
        <w:tc>
          <w:tcPr>
            <w:tcW w:w="1378" w:type="dxa"/>
            <w:tcBorders>
              <w:top w:val="nil"/>
              <w:left w:val="nil"/>
              <w:bottom w:val="nil"/>
              <w:right w:val="nil"/>
            </w:tcBorders>
            <w:shd w:val="clear" w:color="auto" w:fill="auto"/>
            <w:noWrap/>
            <w:vAlign w:val="bottom"/>
            <w:hideMark/>
          </w:tcPr>
          <w:p w:rsidR="00A668D1" w:rsidRPr="002F31D1" w:rsidRDefault="00783986" w:rsidP="0074627B">
            <w:pPr>
              <w:spacing w:before="80"/>
              <w:jc w:val="right"/>
              <w:rPr>
                <w:rFonts w:ascii="Arial" w:hAnsi="Arial" w:cs="Arial"/>
                <w:sz w:val="18"/>
                <w:szCs w:val="18"/>
              </w:rPr>
            </w:pPr>
            <w:r>
              <w:rPr>
                <w:rFonts w:ascii="Arial" w:hAnsi="Arial" w:cs="Arial"/>
                <w:sz w:val="18"/>
                <w:szCs w:val="18"/>
              </w:rPr>
              <w:t>78,464</w:t>
            </w:r>
          </w:p>
        </w:tc>
      </w:tr>
      <w:tr w:rsidR="0074627B" w:rsidRPr="002F31D1" w:rsidTr="00822DAF">
        <w:trPr>
          <w:trHeight w:val="182"/>
          <w:jc w:val="center"/>
        </w:trPr>
        <w:tc>
          <w:tcPr>
            <w:tcW w:w="0" w:type="auto"/>
            <w:tcBorders>
              <w:top w:val="nil"/>
              <w:left w:val="nil"/>
              <w:bottom w:val="nil"/>
              <w:right w:val="nil"/>
            </w:tcBorders>
            <w:shd w:val="clear" w:color="auto" w:fill="auto"/>
            <w:noWrap/>
            <w:vAlign w:val="bottom"/>
            <w:hideMark/>
          </w:tcPr>
          <w:p w:rsidR="0074627B" w:rsidRPr="002F31D1" w:rsidRDefault="0074627B" w:rsidP="00822DAF">
            <w:pPr>
              <w:spacing w:before="80"/>
              <w:jc w:val="both"/>
              <w:rPr>
                <w:rFonts w:ascii="Arial" w:hAnsi="Arial" w:cs="Arial"/>
                <w:sz w:val="18"/>
                <w:szCs w:val="18"/>
              </w:rPr>
            </w:pPr>
            <w:r>
              <w:rPr>
                <w:rFonts w:ascii="Arial" w:hAnsi="Arial" w:cs="Arial"/>
                <w:sz w:val="18"/>
                <w:szCs w:val="18"/>
              </w:rPr>
              <w:t xml:space="preserve"> 1.</w:t>
            </w:r>
            <w:r w:rsidR="00EC11C5">
              <w:rPr>
                <w:rFonts w:ascii="Arial" w:hAnsi="Arial" w:cs="Arial"/>
                <w:sz w:val="18"/>
                <w:szCs w:val="18"/>
              </w:rPr>
              <w:t>2.6.3</w:t>
            </w:r>
          </w:p>
        </w:tc>
        <w:tc>
          <w:tcPr>
            <w:tcW w:w="0" w:type="auto"/>
            <w:tcBorders>
              <w:top w:val="nil"/>
              <w:left w:val="nil"/>
              <w:bottom w:val="nil"/>
              <w:right w:val="nil"/>
            </w:tcBorders>
            <w:shd w:val="clear" w:color="auto" w:fill="auto"/>
            <w:noWrap/>
            <w:vAlign w:val="center"/>
            <w:hideMark/>
          </w:tcPr>
          <w:p w:rsidR="0074627B" w:rsidRPr="002F31D1" w:rsidRDefault="00EC11C5" w:rsidP="00822DAF">
            <w:pPr>
              <w:spacing w:before="80"/>
              <w:jc w:val="both"/>
              <w:rPr>
                <w:rFonts w:ascii="Arial" w:hAnsi="Arial" w:cs="Arial"/>
                <w:color w:val="000000"/>
                <w:sz w:val="18"/>
                <w:szCs w:val="18"/>
              </w:rPr>
            </w:pPr>
            <w:r>
              <w:rPr>
                <w:rFonts w:ascii="Arial" w:hAnsi="Arial" w:cs="Arial"/>
                <w:color w:val="000000"/>
                <w:sz w:val="18"/>
                <w:szCs w:val="18"/>
              </w:rPr>
              <w:t>Equipo de transporte</w:t>
            </w:r>
          </w:p>
        </w:tc>
        <w:tc>
          <w:tcPr>
            <w:tcW w:w="1378" w:type="dxa"/>
            <w:tcBorders>
              <w:top w:val="nil"/>
              <w:left w:val="nil"/>
              <w:bottom w:val="nil"/>
              <w:right w:val="nil"/>
            </w:tcBorders>
            <w:shd w:val="clear" w:color="auto" w:fill="auto"/>
            <w:noWrap/>
            <w:vAlign w:val="bottom"/>
            <w:hideMark/>
          </w:tcPr>
          <w:p w:rsidR="0074627B" w:rsidRDefault="00783986" w:rsidP="00EC11C5">
            <w:pPr>
              <w:spacing w:before="80"/>
              <w:jc w:val="center"/>
              <w:rPr>
                <w:rFonts w:ascii="Arial" w:hAnsi="Arial" w:cs="Arial"/>
                <w:sz w:val="18"/>
                <w:szCs w:val="18"/>
              </w:rPr>
            </w:pPr>
            <w:r>
              <w:rPr>
                <w:rFonts w:ascii="Arial" w:hAnsi="Arial" w:cs="Arial"/>
                <w:sz w:val="18"/>
                <w:szCs w:val="18"/>
              </w:rPr>
              <w:t xml:space="preserve">           346,6</w:t>
            </w:r>
            <w:r w:rsidR="00EC11C5">
              <w:rPr>
                <w:rFonts w:ascii="Arial" w:hAnsi="Arial" w:cs="Arial"/>
                <w:sz w:val="18"/>
                <w:szCs w:val="18"/>
              </w:rPr>
              <w:t>00</w:t>
            </w:r>
          </w:p>
        </w:tc>
      </w:tr>
      <w:tr w:rsidR="00A668D1" w:rsidRPr="002F31D1" w:rsidTr="00822DAF">
        <w:trPr>
          <w:trHeight w:val="182"/>
          <w:jc w:val="center"/>
        </w:trPr>
        <w:tc>
          <w:tcPr>
            <w:tcW w:w="0" w:type="auto"/>
            <w:tcBorders>
              <w:top w:val="nil"/>
              <w:left w:val="nil"/>
              <w:bottom w:val="nil"/>
              <w:right w:val="nil"/>
            </w:tcBorders>
            <w:shd w:val="clear" w:color="auto" w:fill="auto"/>
            <w:noWrap/>
            <w:vAlign w:val="bottom"/>
          </w:tcPr>
          <w:p w:rsidR="00A668D1" w:rsidRPr="00D80B86" w:rsidRDefault="00CB7331" w:rsidP="00822DAF">
            <w:pPr>
              <w:spacing w:before="80"/>
              <w:jc w:val="both"/>
              <w:rPr>
                <w:rFonts w:ascii="Arial" w:hAnsi="Arial" w:cs="Arial"/>
                <w:sz w:val="18"/>
                <w:szCs w:val="18"/>
              </w:rPr>
            </w:pPr>
            <w:r>
              <w:rPr>
                <w:rFonts w:ascii="Arial" w:hAnsi="Arial" w:cs="Arial"/>
                <w:sz w:val="18"/>
                <w:szCs w:val="18"/>
              </w:rPr>
              <w:t xml:space="preserve">1.2.4.6 </w:t>
            </w:r>
          </w:p>
        </w:tc>
        <w:tc>
          <w:tcPr>
            <w:tcW w:w="0" w:type="auto"/>
            <w:tcBorders>
              <w:top w:val="nil"/>
              <w:left w:val="nil"/>
              <w:bottom w:val="nil"/>
              <w:right w:val="nil"/>
            </w:tcBorders>
            <w:shd w:val="clear" w:color="auto" w:fill="auto"/>
            <w:noWrap/>
            <w:vAlign w:val="bottom"/>
          </w:tcPr>
          <w:p w:rsidR="00A668D1" w:rsidRPr="00D80B86" w:rsidRDefault="00CB7331" w:rsidP="00822DAF">
            <w:pPr>
              <w:spacing w:before="80"/>
              <w:jc w:val="both"/>
              <w:rPr>
                <w:rFonts w:ascii="Arial" w:hAnsi="Arial" w:cs="Arial"/>
                <w:sz w:val="18"/>
                <w:szCs w:val="18"/>
              </w:rPr>
            </w:pPr>
            <w:r>
              <w:rPr>
                <w:rFonts w:ascii="Arial" w:hAnsi="Arial" w:cs="Arial"/>
                <w:sz w:val="18"/>
                <w:szCs w:val="18"/>
              </w:rPr>
              <w:t>Maquinaria otros equipos y herramientas</w:t>
            </w:r>
          </w:p>
        </w:tc>
        <w:tc>
          <w:tcPr>
            <w:tcW w:w="1378" w:type="dxa"/>
            <w:tcBorders>
              <w:top w:val="nil"/>
              <w:left w:val="nil"/>
              <w:bottom w:val="nil"/>
              <w:right w:val="nil"/>
            </w:tcBorders>
            <w:shd w:val="clear" w:color="auto" w:fill="auto"/>
            <w:noWrap/>
            <w:vAlign w:val="bottom"/>
          </w:tcPr>
          <w:p w:rsidR="00A668D1" w:rsidRPr="00CB7331" w:rsidRDefault="00CB7331" w:rsidP="00822DAF">
            <w:pPr>
              <w:spacing w:before="80"/>
              <w:jc w:val="right"/>
              <w:rPr>
                <w:rFonts w:ascii="Arial" w:hAnsi="Arial" w:cs="Arial"/>
                <w:sz w:val="18"/>
                <w:szCs w:val="18"/>
              </w:rPr>
            </w:pPr>
            <w:r w:rsidRPr="00CB7331">
              <w:rPr>
                <w:rFonts w:ascii="Arial" w:hAnsi="Arial" w:cs="Arial"/>
                <w:sz w:val="18"/>
                <w:szCs w:val="18"/>
              </w:rPr>
              <w:t>1,999</w:t>
            </w:r>
          </w:p>
        </w:tc>
      </w:tr>
      <w:tr w:rsidR="00A668D1" w:rsidRPr="002F31D1" w:rsidTr="00822DAF">
        <w:trPr>
          <w:trHeight w:val="182"/>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r w:rsidRPr="002F31D1">
              <w:rPr>
                <w:rFonts w:ascii="Arial" w:hAnsi="Arial" w:cs="Arial"/>
                <w:b/>
                <w:sz w:val="18"/>
                <w:szCs w:val="18"/>
              </w:rPr>
              <w:t>Total Bienes Muebles</w:t>
            </w:r>
          </w:p>
        </w:tc>
        <w:tc>
          <w:tcPr>
            <w:tcW w:w="1378" w:type="dxa"/>
            <w:tcBorders>
              <w:top w:val="nil"/>
              <w:left w:val="nil"/>
              <w:bottom w:val="nil"/>
              <w:right w:val="nil"/>
            </w:tcBorders>
            <w:shd w:val="clear" w:color="auto" w:fill="auto"/>
            <w:noWrap/>
            <w:vAlign w:val="bottom"/>
          </w:tcPr>
          <w:p w:rsidR="00A668D1" w:rsidRPr="00C34178" w:rsidRDefault="00783986" w:rsidP="00822DAF">
            <w:pPr>
              <w:spacing w:before="80"/>
              <w:jc w:val="right"/>
              <w:rPr>
                <w:rFonts w:ascii="Arial" w:hAnsi="Arial" w:cs="Arial"/>
                <w:b/>
                <w:sz w:val="18"/>
                <w:szCs w:val="18"/>
                <w:u w:val="double"/>
              </w:rPr>
            </w:pPr>
            <w:r>
              <w:rPr>
                <w:rFonts w:ascii="Arial" w:hAnsi="Arial" w:cs="Arial"/>
                <w:b/>
                <w:sz w:val="18"/>
                <w:szCs w:val="18"/>
                <w:u w:val="double"/>
              </w:rPr>
              <w:t>427</w:t>
            </w:r>
            <w:r w:rsidR="00CB7331">
              <w:rPr>
                <w:rFonts w:ascii="Arial" w:hAnsi="Arial" w:cs="Arial"/>
                <w:b/>
                <w:sz w:val="18"/>
                <w:szCs w:val="18"/>
                <w:u w:val="double"/>
              </w:rPr>
              <w:t>,0</w:t>
            </w:r>
            <w:r>
              <w:rPr>
                <w:rFonts w:ascii="Arial" w:hAnsi="Arial" w:cs="Arial"/>
                <w:b/>
                <w:sz w:val="18"/>
                <w:szCs w:val="18"/>
                <w:u w:val="double"/>
              </w:rPr>
              <w:t>63</w:t>
            </w:r>
          </w:p>
        </w:tc>
      </w:tr>
    </w:tbl>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C844AE" w:rsidRPr="00CD3853" w:rsidRDefault="00C844AE" w:rsidP="00A668D1">
      <w:pPr>
        <w:autoSpaceDE w:val="0"/>
        <w:autoSpaceDN w:val="0"/>
        <w:adjustRightInd w:val="0"/>
        <w:spacing w:before="80" w:after="0"/>
        <w:jc w:val="both"/>
        <w:rPr>
          <w:rFonts w:ascii="Arial" w:hAnsi="Arial" w:cs="Arial"/>
          <w:sz w:val="18"/>
          <w:szCs w:val="18"/>
        </w:rPr>
      </w:pPr>
    </w:p>
    <w:p w:rsidR="00A668D1" w:rsidRPr="00C76D92"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7969" w:type="dxa"/>
        <w:jc w:val="center"/>
        <w:tblCellMar>
          <w:left w:w="70" w:type="dxa"/>
          <w:right w:w="70" w:type="dxa"/>
        </w:tblCellMar>
        <w:tblLook w:val="04A0" w:firstRow="1" w:lastRow="0" w:firstColumn="1" w:lastColumn="0" w:noHBand="0" w:noVBand="1"/>
      </w:tblPr>
      <w:tblGrid>
        <w:gridCol w:w="4119"/>
        <w:gridCol w:w="1774"/>
        <w:gridCol w:w="160"/>
        <w:gridCol w:w="1916"/>
      </w:tblGrid>
      <w:tr w:rsidR="00A668D1" w:rsidRPr="002F31D1" w:rsidTr="005D2D96">
        <w:trPr>
          <w:trHeight w:val="259"/>
          <w:jc w:val="center"/>
        </w:trPr>
        <w:tc>
          <w:tcPr>
            <w:tcW w:w="4119" w:type="dxa"/>
            <w:shd w:val="clear" w:color="auto" w:fill="632423" w:themeFill="accent2" w:themeFillShade="80"/>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w:t>
            </w:r>
          </w:p>
        </w:tc>
        <w:tc>
          <w:tcPr>
            <w:tcW w:w="1774" w:type="dxa"/>
            <w:shd w:val="clear" w:color="auto" w:fill="632423" w:themeFill="accent2" w:themeFillShade="80"/>
            <w:noWrap/>
            <w:vAlign w:val="bottom"/>
            <w:hideMark/>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43166A">
              <w:rPr>
                <w:rFonts w:ascii="Arial" w:hAnsi="Arial" w:cs="Arial"/>
                <w:b/>
                <w:bCs/>
                <w:color w:val="FFFFFF"/>
                <w:sz w:val="18"/>
                <w:szCs w:val="18"/>
              </w:rPr>
              <w:t>7</w:t>
            </w:r>
          </w:p>
        </w:tc>
        <w:tc>
          <w:tcPr>
            <w:tcW w:w="160" w:type="dxa"/>
            <w:shd w:val="clear" w:color="auto" w:fill="632423" w:themeFill="accent2" w:themeFillShade="80"/>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p>
        </w:tc>
        <w:tc>
          <w:tcPr>
            <w:tcW w:w="1916" w:type="dxa"/>
            <w:shd w:val="clear" w:color="auto" w:fill="632423" w:themeFill="accent2" w:themeFillShade="80"/>
            <w:vAlign w:val="bottom"/>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43166A">
              <w:rPr>
                <w:rFonts w:ascii="Arial" w:hAnsi="Arial" w:cs="Arial"/>
                <w:b/>
                <w:bCs/>
                <w:color w:val="FFFFFF"/>
                <w:sz w:val="18"/>
                <w:szCs w:val="18"/>
              </w:rPr>
              <w:t>6</w:t>
            </w:r>
          </w:p>
        </w:tc>
      </w:tr>
      <w:tr w:rsidR="0043166A" w:rsidRPr="002F31D1" w:rsidTr="00822DAF">
        <w:trPr>
          <w:trHeight w:val="517"/>
          <w:jc w:val="center"/>
        </w:trPr>
        <w:tc>
          <w:tcPr>
            <w:tcW w:w="4119" w:type="dxa"/>
            <w:shd w:val="clear" w:color="auto" w:fill="auto"/>
            <w:vAlign w:val="bottom"/>
            <w:hideMark/>
          </w:tcPr>
          <w:p w:rsidR="0043166A" w:rsidRPr="002F31D1" w:rsidRDefault="0043166A" w:rsidP="00822DAF">
            <w:pPr>
              <w:spacing w:before="80"/>
              <w:jc w:val="both"/>
              <w:rPr>
                <w:rFonts w:ascii="Arial" w:hAnsi="Arial" w:cs="Arial"/>
                <w:bCs/>
                <w:sz w:val="18"/>
                <w:szCs w:val="18"/>
              </w:rPr>
            </w:pPr>
            <w:r w:rsidRPr="00C76D92">
              <w:rPr>
                <w:rFonts w:ascii="Arial" w:hAnsi="Arial" w:cs="Arial"/>
                <w:sz w:val="18"/>
                <w:szCs w:val="18"/>
              </w:rPr>
              <w:t>Flujos de Efectivos Netos de las Actividades de Operación</w:t>
            </w:r>
          </w:p>
        </w:tc>
        <w:tc>
          <w:tcPr>
            <w:tcW w:w="1774" w:type="dxa"/>
            <w:shd w:val="clear" w:color="auto" w:fill="auto"/>
            <w:noWrap/>
            <w:vAlign w:val="bottom"/>
            <w:hideMark/>
          </w:tcPr>
          <w:p w:rsidR="0043166A" w:rsidRPr="00FC3DE2" w:rsidRDefault="0043166A" w:rsidP="007E4148">
            <w:pPr>
              <w:spacing w:before="80"/>
              <w:jc w:val="right"/>
              <w:rPr>
                <w:rFonts w:ascii="Arial" w:hAnsi="Arial" w:cs="Arial"/>
                <w:bCs/>
                <w:sz w:val="18"/>
                <w:szCs w:val="18"/>
              </w:rPr>
            </w:pPr>
            <w:r w:rsidRPr="00FC3DE2">
              <w:rPr>
                <w:rFonts w:ascii="Arial" w:hAnsi="Arial" w:cs="Arial"/>
                <w:bCs/>
                <w:sz w:val="18"/>
                <w:szCs w:val="18"/>
              </w:rPr>
              <w:t>1,</w:t>
            </w:r>
            <w:r w:rsidR="00FC3DE2" w:rsidRPr="00FC3DE2">
              <w:rPr>
                <w:rFonts w:ascii="Arial" w:hAnsi="Arial" w:cs="Arial"/>
                <w:bCs/>
                <w:sz w:val="18"/>
                <w:szCs w:val="18"/>
              </w:rPr>
              <w:t>714,745</w:t>
            </w:r>
          </w:p>
        </w:tc>
        <w:tc>
          <w:tcPr>
            <w:tcW w:w="160" w:type="dxa"/>
          </w:tcPr>
          <w:p w:rsidR="0043166A" w:rsidRPr="002F31D1" w:rsidRDefault="0043166A" w:rsidP="00822DAF">
            <w:pPr>
              <w:spacing w:before="80"/>
              <w:jc w:val="right"/>
              <w:rPr>
                <w:rFonts w:ascii="Arial" w:hAnsi="Arial" w:cs="Arial"/>
                <w:bCs/>
                <w:sz w:val="18"/>
                <w:szCs w:val="18"/>
              </w:rPr>
            </w:pPr>
          </w:p>
        </w:tc>
        <w:tc>
          <w:tcPr>
            <w:tcW w:w="1916" w:type="dxa"/>
            <w:vAlign w:val="bottom"/>
          </w:tcPr>
          <w:p w:rsidR="0043166A" w:rsidRPr="00BB4D18" w:rsidRDefault="0043166A" w:rsidP="00800EAD">
            <w:pPr>
              <w:spacing w:before="80"/>
              <w:jc w:val="right"/>
              <w:rPr>
                <w:rFonts w:ascii="Arial" w:hAnsi="Arial" w:cs="Arial"/>
                <w:bCs/>
                <w:sz w:val="18"/>
                <w:szCs w:val="18"/>
              </w:rPr>
            </w:pPr>
            <w:r>
              <w:rPr>
                <w:rFonts w:ascii="Arial" w:hAnsi="Arial" w:cs="Arial"/>
                <w:bCs/>
                <w:sz w:val="18"/>
                <w:szCs w:val="18"/>
              </w:rPr>
              <w:t>41,182</w:t>
            </w:r>
          </w:p>
        </w:tc>
      </w:tr>
      <w:tr w:rsidR="0043166A" w:rsidRPr="002F31D1" w:rsidTr="00822DAF">
        <w:trPr>
          <w:trHeight w:val="517"/>
          <w:jc w:val="center"/>
        </w:trPr>
        <w:tc>
          <w:tcPr>
            <w:tcW w:w="4119" w:type="dxa"/>
            <w:shd w:val="clear" w:color="auto" w:fill="auto"/>
            <w:vAlign w:val="bottom"/>
          </w:tcPr>
          <w:p w:rsidR="0043166A" w:rsidRPr="002F31D1" w:rsidRDefault="0043166A" w:rsidP="00822DAF">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774" w:type="dxa"/>
            <w:shd w:val="clear" w:color="auto" w:fill="auto"/>
            <w:noWrap/>
            <w:vAlign w:val="bottom"/>
          </w:tcPr>
          <w:p w:rsidR="0043166A" w:rsidRPr="00FC3DE2" w:rsidRDefault="00FC3DE2" w:rsidP="00E7783D">
            <w:pPr>
              <w:spacing w:before="80"/>
              <w:jc w:val="right"/>
              <w:rPr>
                <w:rFonts w:ascii="Arial" w:hAnsi="Arial" w:cs="Arial"/>
                <w:bCs/>
                <w:sz w:val="18"/>
                <w:szCs w:val="18"/>
              </w:rPr>
            </w:pPr>
            <w:r w:rsidRPr="00FC3DE2">
              <w:rPr>
                <w:rFonts w:ascii="Arial" w:hAnsi="Arial" w:cs="Arial"/>
                <w:bCs/>
                <w:sz w:val="18"/>
                <w:szCs w:val="18"/>
              </w:rPr>
              <w:t>1,71</w:t>
            </w:r>
            <w:r w:rsidR="00E7783D">
              <w:rPr>
                <w:rFonts w:ascii="Arial" w:hAnsi="Arial" w:cs="Arial"/>
                <w:bCs/>
                <w:sz w:val="18"/>
                <w:szCs w:val="18"/>
              </w:rPr>
              <w:t>4</w:t>
            </w:r>
            <w:r w:rsidRPr="00FC3DE2">
              <w:rPr>
                <w:rFonts w:ascii="Arial" w:hAnsi="Arial" w:cs="Arial"/>
                <w:bCs/>
                <w:sz w:val="18"/>
                <w:szCs w:val="18"/>
              </w:rPr>
              <w:t>,</w:t>
            </w:r>
            <w:r w:rsidR="00E7783D">
              <w:rPr>
                <w:rFonts w:ascii="Arial" w:hAnsi="Arial" w:cs="Arial"/>
                <w:bCs/>
                <w:sz w:val="18"/>
                <w:szCs w:val="18"/>
              </w:rPr>
              <w:t>745</w:t>
            </w:r>
          </w:p>
        </w:tc>
        <w:tc>
          <w:tcPr>
            <w:tcW w:w="160" w:type="dxa"/>
          </w:tcPr>
          <w:p w:rsidR="0043166A" w:rsidRPr="002F31D1" w:rsidRDefault="0043166A" w:rsidP="00822DAF">
            <w:pPr>
              <w:spacing w:before="80"/>
              <w:jc w:val="right"/>
              <w:rPr>
                <w:rFonts w:ascii="Arial" w:hAnsi="Arial" w:cs="Arial"/>
                <w:bCs/>
                <w:sz w:val="18"/>
                <w:szCs w:val="18"/>
              </w:rPr>
            </w:pPr>
          </w:p>
        </w:tc>
        <w:tc>
          <w:tcPr>
            <w:tcW w:w="1916" w:type="dxa"/>
            <w:vAlign w:val="bottom"/>
          </w:tcPr>
          <w:p w:rsidR="0043166A" w:rsidRPr="00BB4D18" w:rsidRDefault="0043166A" w:rsidP="00800EAD">
            <w:pPr>
              <w:spacing w:before="80"/>
              <w:jc w:val="right"/>
              <w:rPr>
                <w:rFonts w:ascii="Arial" w:hAnsi="Arial" w:cs="Arial"/>
                <w:bCs/>
                <w:sz w:val="18"/>
                <w:szCs w:val="18"/>
              </w:rPr>
            </w:pPr>
            <w:r>
              <w:rPr>
                <w:rFonts w:ascii="Arial" w:hAnsi="Arial" w:cs="Arial"/>
                <w:bCs/>
                <w:sz w:val="18"/>
                <w:szCs w:val="18"/>
              </w:rPr>
              <w:t>1,656</w:t>
            </w:r>
          </w:p>
        </w:tc>
      </w:tr>
      <w:tr w:rsidR="00A668D1" w:rsidRPr="002F31D1" w:rsidTr="00822DAF">
        <w:trPr>
          <w:trHeight w:val="517"/>
          <w:jc w:val="center"/>
        </w:trPr>
        <w:tc>
          <w:tcPr>
            <w:tcW w:w="4119" w:type="dxa"/>
            <w:shd w:val="clear" w:color="auto" w:fill="auto"/>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774" w:type="dxa"/>
            <w:shd w:val="clear" w:color="auto" w:fill="auto"/>
            <w:noWrap/>
            <w:vAlign w:val="bottom"/>
          </w:tcPr>
          <w:p w:rsidR="00A668D1" w:rsidRPr="002F31D1" w:rsidRDefault="00A668D1" w:rsidP="00822DAF">
            <w:pPr>
              <w:spacing w:before="80"/>
              <w:jc w:val="right"/>
              <w:rPr>
                <w:rFonts w:ascii="Arial" w:hAnsi="Arial" w:cs="Arial"/>
                <w:sz w:val="18"/>
                <w:szCs w:val="18"/>
                <w:highlight w:val="yellow"/>
              </w:rPr>
            </w:pPr>
          </w:p>
        </w:tc>
        <w:tc>
          <w:tcPr>
            <w:tcW w:w="160" w:type="dxa"/>
          </w:tcPr>
          <w:p w:rsidR="00A668D1" w:rsidRPr="002F31D1" w:rsidRDefault="00A668D1" w:rsidP="00822DAF">
            <w:pPr>
              <w:spacing w:before="80"/>
              <w:jc w:val="right"/>
              <w:rPr>
                <w:rFonts w:ascii="Arial" w:hAnsi="Arial" w:cs="Arial"/>
                <w:sz w:val="18"/>
                <w:szCs w:val="18"/>
              </w:rPr>
            </w:pPr>
          </w:p>
        </w:tc>
        <w:tc>
          <w:tcPr>
            <w:tcW w:w="1916" w:type="dxa"/>
            <w:vAlign w:val="bottom"/>
          </w:tcPr>
          <w:p w:rsidR="00A668D1" w:rsidRPr="002F31D1" w:rsidRDefault="00A668D1" w:rsidP="00822DAF">
            <w:pPr>
              <w:spacing w:before="80"/>
              <w:jc w:val="right"/>
              <w:rPr>
                <w:rFonts w:ascii="Arial" w:hAnsi="Arial" w:cs="Arial"/>
                <w:sz w:val="18"/>
                <w:szCs w:val="18"/>
                <w:highlight w:val="yellow"/>
              </w:rPr>
            </w:pPr>
          </w:p>
        </w:tc>
      </w:tr>
    </w:tbl>
    <w:p w:rsidR="00C844AE" w:rsidRDefault="00C844AE" w:rsidP="00A668D1">
      <w:pPr>
        <w:autoSpaceDE w:val="0"/>
        <w:autoSpaceDN w:val="0"/>
        <w:adjustRightInd w:val="0"/>
        <w:spacing w:before="80"/>
        <w:jc w:val="both"/>
        <w:rPr>
          <w:rFonts w:ascii="Arial" w:hAnsi="Arial" w:cs="Arial"/>
          <w:sz w:val="18"/>
          <w:szCs w:val="18"/>
        </w:rPr>
      </w:pPr>
    </w:p>
    <w:p w:rsidR="00C844AE" w:rsidRDefault="00C844AE" w:rsidP="00A668D1">
      <w:pPr>
        <w:autoSpaceDE w:val="0"/>
        <w:autoSpaceDN w:val="0"/>
        <w:adjustRightInd w:val="0"/>
        <w:spacing w:before="80"/>
        <w:jc w:val="both"/>
        <w:rPr>
          <w:rFonts w:ascii="Arial" w:hAnsi="Arial" w:cs="Arial"/>
          <w:sz w:val="18"/>
          <w:szCs w:val="18"/>
        </w:rPr>
      </w:pPr>
    </w:p>
    <w:p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rsidR="00C844AE" w:rsidRDefault="00C844AE" w:rsidP="00A668D1">
      <w:pPr>
        <w:autoSpaceDE w:val="0"/>
        <w:autoSpaceDN w:val="0"/>
        <w:adjustRightInd w:val="0"/>
        <w:spacing w:before="80"/>
        <w:jc w:val="both"/>
        <w:rPr>
          <w:rFonts w:ascii="Arial" w:hAnsi="Arial" w:cs="Arial"/>
          <w:sz w:val="18"/>
          <w:szCs w:val="18"/>
        </w:rPr>
      </w:pPr>
    </w:p>
    <w:p w:rsidR="00C844AE" w:rsidRDefault="00C844AE" w:rsidP="00A668D1">
      <w:pPr>
        <w:autoSpaceDE w:val="0"/>
        <w:autoSpaceDN w:val="0"/>
        <w:adjustRightInd w:val="0"/>
        <w:spacing w:before="80"/>
        <w:jc w:val="both"/>
        <w:rPr>
          <w:rFonts w:ascii="Arial" w:hAnsi="Arial" w:cs="Arial"/>
          <w:sz w:val="18"/>
          <w:szCs w:val="18"/>
        </w:rPr>
      </w:pPr>
    </w:p>
    <w:p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Se co</w:t>
      </w:r>
      <w:bookmarkStart w:id="6" w:name="_GoBack"/>
      <w:bookmarkEnd w:id="6"/>
      <w:r w:rsidRPr="00FE02AA">
        <w:rPr>
          <w:rFonts w:ascii="Arial" w:hAnsi="Arial" w:cs="Arial"/>
          <w:sz w:val="18"/>
          <w:szCs w:val="18"/>
        </w:rPr>
        <w:t>nsidera un importe de $</w:t>
      </w:r>
      <w:r w:rsidR="00E866CE">
        <w:rPr>
          <w:rFonts w:ascii="Arial" w:hAnsi="Arial" w:cs="Arial"/>
          <w:sz w:val="18"/>
          <w:szCs w:val="18"/>
        </w:rPr>
        <w:t xml:space="preserve"> </w:t>
      </w:r>
      <w:r w:rsidR="0043166A">
        <w:rPr>
          <w:rFonts w:ascii="Arial" w:hAnsi="Arial" w:cs="Arial"/>
          <w:sz w:val="18"/>
          <w:szCs w:val="18"/>
        </w:rPr>
        <w:t>1, 948,661</w:t>
      </w:r>
      <w:r w:rsidRPr="00FE02AA">
        <w:rPr>
          <w:rFonts w:ascii="Arial" w:hAnsi="Arial" w:cs="Arial"/>
          <w:sz w:val="18"/>
          <w:szCs w:val="18"/>
        </w:rPr>
        <w:t xml:space="preserve"> entre los Flujos de Efectivos Netos de las Actividades de Operación y la cuenta de Ahorro/Desahorro.</w:t>
      </w: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C844AE" w:rsidRDefault="00C844AE" w:rsidP="00C844AE">
      <w:pPr>
        <w:autoSpaceDE w:val="0"/>
        <w:autoSpaceDN w:val="0"/>
        <w:adjustRightInd w:val="0"/>
        <w:spacing w:before="80" w:after="0"/>
        <w:jc w:val="both"/>
        <w:rPr>
          <w:rFonts w:ascii="Arial" w:hAnsi="Arial" w:cs="Arial"/>
          <w:sz w:val="18"/>
          <w:szCs w:val="18"/>
        </w:rPr>
      </w:pPr>
    </w:p>
    <w:p w:rsidR="00E866CE" w:rsidRDefault="00E866CE" w:rsidP="00C844AE">
      <w:pPr>
        <w:autoSpaceDE w:val="0"/>
        <w:autoSpaceDN w:val="0"/>
        <w:adjustRightInd w:val="0"/>
        <w:spacing w:before="80" w:after="0"/>
        <w:jc w:val="both"/>
        <w:rPr>
          <w:rFonts w:ascii="Arial" w:hAnsi="Arial" w:cs="Arial"/>
          <w:sz w:val="18"/>
          <w:szCs w:val="18"/>
        </w:rPr>
      </w:pPr>
    </w:p>
    <w:p w:rsidR="00E866CE" w:rsidRPr="00C844AE" w:rsidRDefault="00E866CE" w:rsidP="00C844AE">
      <w:pPr>
        <w:autoSpaceDE w:val="0"/>
        <w:autoSpaceDN w:val="0"/>
        <w:adjustRightInd w:val="0"/>
        <w:spacing w:before="80" w:after="0"/>
        <w:jc w:val="both"/>
        <w:rPr>
          <w:rFonts w:ascii="Arial" w:hAnsi="Arial" w:cs="Arial"/>
          <w:sz w:val="18"/>
          <w:szCs w:val="18"/>
        </w:rPr>
      </w:pPr>
    </w:p>
    <w:p w:rsidR="00A668D1" w:rsidRDefault="00C844AE" w:rsidP="00C844AE">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sidR="00386103">
        <w:rPr>
          <w:rFonts w:ascii="Arial" w:hAnsi="Arial" w:cs="Arial"/>
          <w:sz w:val="18"/>
          <w:szCs w:val="18"/>
        </w:rPr>
        <w:t>Ingresos</w:t>
      </w:r>
      <w:r w:rsidR="00514D99">
        <w:rPr>
          <w:rFonts w:ascii="Arial" w:hAnsi="Arial" w:cs="Arial"/>
          <w:sz w:val="18"/>
          <w:szCs w:val="18"/>
        </w:rPr>
        <w:t xml:space="preserve"> Presupuestarios y Contables, así como entre los Egresos Presupuestarios y los Gastos Contables</w:t>
      </w:r>
      <w:r w:rsidRPr="00C76D92">
        <w:rPr>
          <w:rFonts w:ascii="Arial" w:hAnsi="Arial" w:cs="Arial"/>
          <w:sz w:val="18"/>
          <w:szCs w:val="18"/>
        </w:rPr>
        <w:t>:</w:t>
      </w:r>
    </w:p>
    <w:p w:rsidR="00A668D1" w:rsidRDefault="00FE05F2" w:rsidP="00B75763">
      <w:pPr>
        <w:pStyle w:val="Prrafodelista"/>
        <w:autoSpaceDE w:val="0"/>
        <w:autoSpaceDN w:val="0"/>
        <w:adjustRightInd w:val="0"/>
        <w:spacing w:before="80" w:after="0"/>
        <w:ind w:left="0"/>
        <w:jc w:val="both"/>
        <w:rPr>
          <w:rFonts w:ascii="Arial" w:hAnsi="Arial" w:cs="Arial"/>
          <w:sz w:val="18"/>
          <w:szCs w:val="18"/>
        </w:rPr>
      </w:pPr>
      <w:r>
        <w:rPr>
          <w:rFonts w:ascii="Arial" w:hAnsi="Arial" w:cs="Arial"/>
          <w:sz w:val="18"/>
          <w:szCs w:val="18"/>
        </w:rPr>
        <w:pict>
          <v:shape id="_x0000_s1093" type="#_x0000_t75" style="position:absolute;left:0;text-align:left;margin-left:-6.5pt;margin-top:30.5pt;width:416.25pt;height:200.35pt;z-index:251662336">
            <v:imagedata r:id="rId23" o:title=""/>
            <w10:wrap type="topAndBottom"/>
          </v:shape>
          <o:OLEObject Type="Embed" ProgID="Excel.Sheet.12" ShapeID="_x0000_s1093" DrawAspect="Content" ObjectID="_1561457950" r:id="rId24"/>
        </w:pict>
      </w:r>
      <w:r>
        <w:rPr>
          <w:rFonts w:ascii="Arial" w:hAnsi="Arial" w:cs="Arial"/>
          <w:sz w:val="18"/>
          <w:szCs w:val="18"/>
        </w:rPr>
        <w:pict>
          <v:shape id="_x0000_s1094" type="#_x0000_t75" style="position:absolute;left:0;text-align:left;margin-left:367.5pt;margin-top:30.5pt;width:352.5pt;height:221.3pt;z-index:251663360">
            <v:imagedata r:id="rId25" o:title=""/>
            <w10:wrap type="topAndBottom"/>
          </v:shape>
          <o:OLEObject Type="Embed" ProgID="Excel.Sheet.12" ShapeID="_x0000_s1094" DrawAspect="Content" ObjectID="_1561457951" r:id="rId26"/>
        </w:pict>
      </w:r>
    </w:p>
    <w:p w:rsidR="00C844AE" w:rsidRDefault="00C844AE" w:rsidP="00A668D1">
      <w:pPr>
        <w:autoSpaceDE w:val="0"/>
        <w:autoSpaceDN w:val="0"/>
        <w:adjustRightInd w:val="0"/>
        <w:spacing w:before="80"/>
        <w:jc w:val="both"/>
        <w:rPr>
          <w:rFonts w:ascii="Arial" w:hAnsi="Arial" w:cs="Arial"/>
          <w:sz w:val="18"/>
          <w:szCs w:val="18"/>
        </w:rPr>
      </w:pPr>
    </w:p>
    <w:p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Pr="00DC208A" w:rsidRDefault="00A668D1" w:rsidP="00A668D1">
      <w:pPr>
        <w:autoSpaceDE w:val="0"/>
        <w:autoSpaceDN w:val="0"/>
        <w:adjustRightInd w:val="0"/>
        <w:spacing w:before="80"/>
        <w:jc w:val="both"/>
        <w:rPr>
          <w:rFonts w:ascii="Arial" w:hAnsi="Arial" w:cs="Arial"/>
          <w:sz w:val="18"/>
          <w:szCs w:val="18"/>
        </w:rPr>
      </w:pPr>
    </w:p>
    <w:p w:rsidR="00A668D1" w:rsidRDefault="00A668D1" w:rsidP="00A668D1">
      <w:pPr>
        <w:spacing w:line="240" w:lineRule="auto"/>
        <w:jc w:val="center"/>
        <w:rPr>
          <w:rFonts w:ascii="Arial" w:hAnsi="Arial" w:cs="Arial"/>
          <w:sz w:val="18"/>
          <w:szCs w:val="18"/>
        </w:rPr>
      </w:pPr>
    </w:p>
    <w:p w:rsidR="00A668D1" w:rsidRDefault="00FE05F2" w:rsidP="00A668D1">
      <w:pPr>
        <w:spacing w:line="240" w:lineRule="auto"/>
        <w:jc w:val="center"/>
        <w:rPr>
          <w:rFonts w:ascii="Arial" w:hAnsi="Arial" w:cs="Arial"/>
          <w:sz w:val="18"/>
          <w:szCs w:val="18"/>
        </w:rPr>
      </w:pPr>
      <w:r>
        <w:rPr>
          <w:rFonts w:ascii="Arial" w:hAnsi="Arial" w:cs="Arial"/>
          <w:noProof/>
          <w:sz w:val="18"/>
          <w:szCs w:val="18"/>
          <w:lang w:eastAsia="es-MX"/>
        </w:rPr>
        <w:pict>
          <v:shape id="_x0000_s1083" type="#_x0000_t32" style="position:absolute;left:0;text-align:left;margin-left:445.5pt;margin-top:16.35pt;width:194.25pt;height: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tl8vn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P6vPlkgAgAAPQQAAA4AAAAAAAAAAAAAAAAALgIAAGRycy9lMm9Eb2MueG1s&#10;UEsBAi0AFAAGAAgAAAAhAJ6tuLnfAAAACgEAAA8AAAAAAAAAAAAAAAAAegQAAGRycy9kb3ducmV2&#10;LnhtbFBLBQYAAAAABAAEAPMAAACGBQAAAAA=&#10;"/>
        </w:pict>
      </w:r>
      <w:r>
        <w:rPr>
          <w:rFonts w:ascii="Arial" w:hAnsi="Arial" w:cs="Arial"/>
          <w:noProof/>
          <w:sz w:val="18"/>
          <w:szCs w:val="18"/>
          <w:lang w:eastAsia="es-MX"/>
        </w:rPr>
        <w:pict>
          <v:shape id="_x0000_s1082" type="#_x0000_t32" style="position:absolute;left:0;text-align:left;margin-left:45.75pt;margin-top:15.6pt;width:194.2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m/IAIAADw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&#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CR1Am/IAIAADwEAAAOAAAAAAAAAAAAAAAAAC4CAABkcnMvZTJvRG9jLnhtbFBL&#10;AQItABQABgAIAAAAIQC0ryuq3QAAAAgBAAAPAAAAAAAAAAAAAAAAAHoEAABkcnMvZG93bnJldi54&#10;bWxQSwUGAAAAAAQABADzAAAAhAUAAAAA&#10;"/>
        </w:pict>
      </w:r>
    </w:p>
    <w:p w:rsidR="00A668D1" w:rsidRDefault="00AA7673"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proofErr w:type="spellStart"/>
      <w:r w:rsidR="0047439F">
        <w:rPr>
          <w:rFonts w:ascii="Arial" w:hAnsi="Arial" w:cs="Arial"/>
          <w:sz w:val="18"/>
          <w:szCs w:val="18"/>
        </w:rPr>
        <w:t>Victor</w:t>
      </w:r>
      <w:proofErr w:type="spellEnd"/>
      <w:r w:rsidR="0047439F">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47439F">
        <w:rPr>
          <w:rFonts w:ascii="Arial" w:hAnsi="Arial" w:cs="Arial"/>
          <w:sz w:val="18"/>
          <w:szCs w:val="18"/>
        </w:rPr>
        <w:t xml:space="preserve">             </w:t>
      </w:r>
      <w:r w:rsidR="002E5CE4">
        <w:rPr>
          <w:rFonts w:ascii="Arial" w:hAnsi="Arial" w:cs="Arial"/>
          <w:sz w:val="18"/>
          <w:szCs w:val="18"/>
        </w:rPr>
        <w:t>Lic. A</w:t>
      </w:r>
      <w:r w:rsidR="0047439F">
        <w:rPr>
          <w:rFonts w:ascii="Arial" w:hAnsi="Arial" w:cs="Arial"/>
          <w:sz w:val="18"/>
          <w:szCs w:val="18"/>
        </w:rPr>
        <w:t xml:space="preserve">ngélica María Juárez </w:t>
      </w:r>
      <w:proofErr w:type="spellStart"/>
      <w:r w:rsidR="0047439F">
        <w:rPr>
          <w:rFonts w:ascii="Arial" w:hAnsi="Arial" w:cs="Arial"/>
          <w:sz w:val="18"/>
          <w:szCs w:val="18"/>
        </w:rPr>
        <w:t>Texis</w:t>
      </w:r>
      <w:proofErr w:type="spellEnd"/>
      <w:r w:rsidR="00A668D1">
        <w:rPr>
          <w:rFonts w:ascii="Arial" w:hAnsi="Arial" w:cs="Arial"/>
          <w:sz w:val="18"/>
          <w:szCs w:val="18"/>
        </w:rPr>
        <w:t xml:space="preserve">                                                                                               </w:t>
      </w:r>
      <w:r w:rsidR="00A668D1" w:rsidRPr="00AF6A66">
        <w:rPr>
          <w:rFonts w:ascii="Arial" w:hAnsi="Arial" w:cs="Arial"/>
          <w:sz w:val="18"/>
          <w:szCs w:val="18"/>
        </w:rPr>
        <w:t>President</w:t>
      </w:r>
      <w:r w:rsidR="0047439F">
        <w:rPr>
          <w:rFonts w:ascii="Arial" w:hAnsi="Arial" w:cs="Arial"/>
          <w:sz w:val="18"/>
          <w:szCs w:val="18"/>
        </w:rPr>
        <w: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2E5CE4">
        <w:rPr>
          <w:rFonts w:ascii="Arial" w:hAnsi="Arial" w:cs="Arial"/>
          <w:sz w:val="18"/>
          <w:szCs w:val="18"/>
        </w:rPr>
        <w:t>a</w:t>
      </w:r>
      <w:r w:rsidR="00A668D1">
        <w:rPr>
          <w:rFonts w:ascii="Arial" w:hAnsi="Arial" w:cs="Arial"/>
          <w:sz w:val="18"/>
          <w:szCs w:val="18"/>
        </w:rPr>
        <w:t xml:space="preserve"> de la Dirección Administrativa</w:t>
      </w:r>
    </w:p>
    <w:p w:rsidR="00A668D1" w:rsidRDefault="00A668D1" w:rsidP="00A668D1">
      <w:pPr>
        <w:autoSpaceDE w:val="0"/>
        <w:autoSpaceDN w:val="0"/>
        <w:adjustRightInd w:val="0"/>
        <w:spacing w:before="80"/>
        <w:jc w:val="both"/>
        <w:rPr>
          <w:rFonts w:ascii="Arial" w:hAnsi="Arial" w:cs="Arial"/>
          <w:b/>
          <w:sz w:val="18"/>
          <w:szCs w:val="18"/>
        </w:rPr>
      </w:pPr>
    </w:p>
    <w:p w:rsidR="00A668D1" w:rsidRPr="002F31D1" w:rsidRDefault="00A668D1" w:rsidP="00A668D1">
      <w:pPr>
        <w:pStyle w:val="Prrafodelista"/>
        <w:numPr>
          <w:ilvl w:val="0"/>
          <w:numId w:val="5"/>
        </w:numPr>
        <w:autoSpaceDE w:val="0"/>
        <w:autoSpaceDN w:val="0"/>
        <w:adjustRightInd w:val="0"/>
        <w:spacing w:before="80" w:after="0"/>
        <w:ind w:hanging="357"/>
        <w:jc w:val="both"/>
        <w:rPr>
          <w:rFonts w:ascii="Arial" w:hAnsi="Arial" w:cs="Arial"/>
          <w:b/>
          <w:sz w:val="18"/>
          <w:szCs w:val="18"/>
        </w:rPr>
      </w:pPr>
      <w:r>
        <w:rPr>
          <w:rFonts w:ascii="Arial" w:hAnsi="Arial" w:cs="Arial"/>
          <w:b/>
          <w:sz w:val="18"/>
          <w:szCs w:val="18"/>
        </w:rPr>
        <w:t xml:space="preserve">b) </w:t>
      </w:r>
      <w:r w:rsidRPr="002F31D1">
        <w:rPr>
          <w:rFonts w:ascii="Arial" w:hAnsi="Arial" w:cs="Arial"/>
          <w:b/>
          <w:sz w:val="18"/>
          <w:szCs w:val="18"/>
        </w:rPr>
        <w:t>Notas de Memoria (Cuentas de Orden).</w:t>
      </w:r>
    </w:p>
    <w:p w:rsidR="00A668D1" w:rsidRPr="002F31D1" w:rsidRDefault="00A668D1" w:rsidP="00A668D1">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rsidR="00A668D1" w:rsidRPr="002F31D1" w:rsidRDefault="00A668D1" w:rsidP="00A668D1">
      <w:pPr>
        <w:pStyle w:val="Prrafodelista"/>
        <w:autoSpaceDE w:val="0"/>
        <w:autoSpaceDN w:val="0"/>
        <w:adjustRightInd w:val="0"/>
        <w:spacing w:before="80"/>
        <w:ind w:left="1069"/>
        <w:jc w:val="both"/>
        <w:rPr>
          <w:rFonts w:ascii="Arial" w:hAnsi="Arial" w:cs="Arial"/>
          <w:b/>
          <w:sz w:val="18"/>
          <w:szCs w:val="18"/>
        </w:rPr>
      </w:pP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rsidR="00A668D1" w:rsidRDefault="00A668D1" w:rsidP="00A668D1">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5161" w:type="dxa"/>
        <w:jc w:val="center"/>
        <w:tblCellMar>
          <w:left w:w="70" w:type="dxa"/>
          <w:right w:w="70" w:type="dxa"/>
        </w:tblCellMar>
        <w:tblLook w:val="04A0" w:firstRow="1" w:lastRow="0" w:firstColumn="1" w:lastColumn="0" w:noHBand="0" w:noVBand="1"/>
      </w:tblPr>
      <w:tblGrid>
        <w:gridCol w:w="4038"/>
        <w:gridCol w:w="1123"/>
      </w:tblGrid>
      <w:tr w:rsidR="00A668D1" w:rsidRPr="002F31D1" w:rsidTr="005D2D96">
        <w:trPr>
          <w:trHeight w:val="205"/>
          <w:jc w:val="center"/>
        </w:trPr>
        <w:tc>
          <w:tcPr>
            <w:tcW w:w="0" w:type="auto"/>
            <w:shd w:val="clear" w:color="auto" w:fill="632423" w:themeFill="accent2" w:themeFillShade="80"/>
            <w:noWrap/>
            <w:vAlign w:val="center"/>
            <w:hideMark/>
          </w:tcPr>
          <w:p w:rsidR="00A668D1" w:rsidRPr="002F31D1" w:rsidRDefault="00A668D1" w:rsidP="00822DAF">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632423" w:themeFill="accent2" w:themeFillShade="80"/>
            <w:noWrap/>
            <w:vAlign w:val="center"/>
            <w:hideMark/>
          </w:tcPr>
          <w:p w:rsidR="00A668D1" w:rsidRPr="002F31D1" w:rsidRDefault="00A668D1" w:rsidP="004E5022">
            <w:pPr>
              <w:spacing w:before="80"/>
              <w:jc w:val="center"/>
              <w:rPr>
                <w:rFonts w:ascii="Arial" w:hAnsi="Arial" w:cs="Arial"/>
                <w:b/>
                <w:bCs/>
                <w:color w:val="FFFFFF"/>
                <w:sz w:val="18"/>
                <w:szCs w:val="18"/>
                <w:u w:val="single"/>
              </w:rPr>
            </w:pPr>
            <w:r>
              <w:rPr>
                <w:rFonts w:ascii="Arial" w:hAnsi="Arial" w:cs="Arial"/>
                <w:b/>
                <w:bCs/>
                <w:color w:val="FFFFFF"/>
                <w:sz w:val="18"/>
                <w:szCs w:val="18"/>
              </w:rPr>
              <w:t>201</w:t>
            </w:r>
            <w:r w:rsidR="004E5022">
              <w:rPr>
                <w:rFonts w:ascii="Arial" w:hAnsi="Arial" w:cs="Arial"/>
                <w:b/>
                <w:bCs/>
                <w:color w:val="FFFFFF"/>
                <w:sz w:val="18"/>
                <w:szCs w:val="18"/>
              </w:rPr>
              <w:t>7</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Estimada</w:t>
            </w:r>
          </w:p>
        </w:tc>
        <w:tc>
          <w:tcPr>
            <w:tcW w:w="0" w:type="auto"/>
            <w:shd w:val="clear" w:color="auto" w:fill="auto"/>
            <w:noWrap/>
            <w:vAlign w:val="bottom"/>
            <w:hideMark/>
          </w:tcPr>
          <w:p w:rsidR="00A668D1" w:rsidRPr="00672941" w:rsidRDefault="004E5022" w:rsidP="00822DAF">
            <w:pPr>
              <w:spacing w:before="80"/>
              <w:jc w:val="right"/>
              <w:rPr>
                <w:rFonts w:ascii="Arial" w:hAnsi="Arial" w:cs="Arial"/>
                <w:sz w:val="18"/>
                <w:szCs w:val="18"/>
              </w:rPr>
            </w:pPr>
            <w:r>
              <w:rPr>
                <w:rFonts w:ascii="Arial" w:hAnsi="Arial" w:cs="Arial"/>
                <w:sz w:val="18"/>
                <w:szCs w:val="18"/>
              </w:rPr>
              <w:t>20,089,000</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rsidR="00A668D1" w:rsidRPr="00672941" w:rsidRDefault="003465BC" w:rsidP="003465BC">
            <w:pPr>
              <w:spacing w:before="80"/>
              <w:jc w:val="right"/>
              <w:rPr>
                <w:rFonts w:ascii="Arial" w:hAnsi="Arial" w:cs="Arial"/>
                <w:sz w:val="18"/>
                <w:szCs w:val="18"/>
              </w:rPr>
            </w:pPr>
            <w:r>
              <w:rPr>
                <w:rFonts w:ascii="Arial" w:hAnsi="Arial" w:cs="Arial"/>
                <w:sz w:val="18"/>
                <w:szCs w:val="18"/>
              </w:rPr>
              <w:t>456,441</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rsidR="00A668D1" w:rsidRPr="00672941" w:rsidRDefault="004E5022" w:rsidP="003465BC">
            <w:pPr>
              <w:spacing w:before="80"/>
              <w:jc w:val="right"/>
              <w:rPr>
                <w:rFonts w:ascii="Arial" w:hAnsi="Arial" w:cs="Arial"/>
                <w:sz w:val="18"/>
                <w:szCs w:val="18"/>
              </w:rPr>
            </w:pPr>
            <w:r>
              <w:rPr>
                <w:rFonts w:ascii="Arial" w:hAnsi="Arial" w:cs="Arial"/>
                <w:sz w:val="18"/>
                <w:szCs w:val="18"/>
              </w:rPr>
              <w:t>20,</w:t>
            </w:r>
            <w:r w:rsidR="003465BC">
              <w:rPr>
                <w:rFonts w:ascii="Arial" w:hAnsi="Arial" w:cs="Arial"/>
                <w:sz w:val="18"/>
                <w:szCs w:val="18"/>
              </w:rPr>
              <w:t>545</w:t>
            </w:r>
            <w:r>
              <w:rPr>
                <w:rFonts w:ascii="Arial" w:hAnsi="Arial" w:cs="Arial"/>
                <w:sz w:val="18"/>
                <w:szCs w:val="18"/>
              </w:rPr>
              <w:t>,</w:t>
            </w:r>
            <w:r w:rsidR="003465BC">
              <w:rPr>
                <w:rFonts w:ascii="Arial" w:hAnsi="Arial" w:cs="Arial"/>
                <w:sz w:val="18"/>
                <w:szCs w:val="18"/>
              </w:rPr>
              <w:t>441</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rsidR="00A668D1" w:rsidRPr="00672941" w:rsidRDefault="003465BC" w:rsidP="003465BC">
            <w:pPr>
              <w:spacing w:before="80"/>
              <w:jc w:val="right"/>
              <w:rPr>
                <w:rFonts w:ascii="Arial" w:hAnsi="Arial" w:cs="Arial"/>
                <w:sz w:val="18"/>
                <w:szCs w:val="18"/>
              </w:rPr>
            </w:pPr>
            <w:r>
              <w:rPr>
                <w:rFonts w:ascii="Arial" w:hAnsi="Arial" w:cs="Arial"/>
                <w:sz w:val="18"/>
                <w:szCs w:val="18"/>
              </w:rPr>
              <w:t>11</w:t>
            </w:r>
            <w:r w:rsidR="004E5022">
              <w:rPr>
                <w:rFonts w:ascii="Arial" w:hAnsi="Arial" w:cs="Arial"/>
                <w:sz w:val="18"/>
                <w:szCs w:val="18"/>
              </w:rPr>
              <w:t>,</w:t>
            </w:r>
            <w:r>
              <w:rPr>
                <w:rFonts w:ascii="Arial" w:hAnsi="Arial" w:cs="Arial"/>
                <w:sz w:val="18"/>
                <w:szCs w:val="18"/>
              </w:rPr>
              <w:t>545</w:t>
            </w:r>
            <w:r w:rsidR="004E5022">
              <w:rPr>
                <w:rFonts w:ascii="Arial" w:hAnsi="Arial" w:cs="Arial"/>
                <w:sz w:val="18"/>
                <w:szCs w:val="18"/>
              </w:rPr>
              <w:t>,5</w:t>
            </w:r>
            <w:r>
              <w:rPr>
                <w:rFonts w:ascii="Arial" w:hAnsi="Arial" w:cs="Arial"/>
                <w:sz w:val="18"/>
                <w:szCs w:val="18"/>
              </w:rPr>
              <w:t>0</w:t>
            </w:r>
            <w:r w:rsidR="004E5022">
              <w:rPr>
                <w:rFonts w:ascii="Arial" w:hAnsi="Arial" w:cs="Arial"/>
                <w:sz w:val="18"/>
                <w:szCs w:val="18"/>
              </w:rPr>
              <w:t>2</w:t>
            </w:r>
          </w:p>
        </w:tc>
      </w:tr>
      <w:tr w:rsidR="00A668D1" w:rsidRPr="00672941" w:rsidTr="00822DAF">
        <w:trPr>
          <w:trHeight w:val="205"/>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rsidR="00A668D1" w:rsidRPr="00672941" w:rsidRDefault="003465BC" w:rsidP="003465BC">
            <w:pPr>
              <w:spacing w:before="80"/>
              <w:jc w:val="right"/>
              <w:rPr>
                <w:rFonts w:ascii="Arial" w:hAnsi="Arial" w:cs="Arial"/>
                <w:sz w:val="18"/>
                <w:szCs w:val="18"/>
              </w:rPr>
            </w:pPr>
            <w:r>
              <w:rPr>
                <w:rFonts w:ascii="Arial" w:hAnsi="Arial" w:cs="Arial"/>
                <w:sz w:val="18"/>
                <w:szCs w:val="18"/>
              </w:rPr>
              <w:t>11,545,502</w:t>
            </w:r>
          </w:p>
        </w:tc>
      </w:tr>
    </w:tbl>
    <w:p w:rsidR="0061168A" w:rsidRDefault="0061168A" w:rsidP="00A668D1">
      <w:pPr>
        <w:autoSpaceDE w:val="0"/>
        <w:autoSpaceDN w:val="0"/>
        <w:adjustRightInd w:val="0"/>
        <w:spacing w:before="80" w:after="0"/>
        <w:jc w:val="both"/>
        <w:rPr>
          <w:rFonts w:ascii="Arial" w:hAnsi="Arial" w:cs="Arial"/>
          <w:sz w:val="18"/>
          <w:szCs w:val="18"/>
        </w:rPr>
      </w:pPr>
    </w:p>
    <w:p w:rsidR="00A668D1" w:rsidRPr="00410B74" w:rsidRDefault="00A668D1" w:rsidP="00A668D1">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El presupu</w:t>
      </w:r>
      <w:r w:rsidR="004E5022">
        <w:rPr>
          <w:rFonts w:ascii="Arial" w:hAnsi="Arial" w:cs="Arial"/>
          <w:sz w:val="18"/>
          <w:szCs w:val="18"/>
        </w:rPr>
        <w:t>esto original de esta Comisión es</w:t>
      </w:r>
      <w:r>
        <w:rPr>
          <w:rFonts w:ascii="Arial" w:hAnsi="Arial" w:cs="Arial"/>
          <w:sz w:val="18"/>
          <w:szCs w:val="18"/>
        </w:rPr>
        <w:t xml:space="preserve"> por un monto equivalente a $</w:t>
      </w:r>
      <w:r w:rsidR="004E5022">
        <w:rPr>
          <w:rFonts w:ascii="Arial" w:hAnsi="Arial" w:cs="Arial"/>
          <w:sz w:val="18"/>
          <w:szCs w:val="18"/>
        </w:rPr>
        <w:t>20</w:t>
      </w:r>
      <w:r>
        <w:rPr>
          <w:rFonts w:ascii="Arial" w:hAnsi="Arial" w:cs="Arial"/>
          <w:sz w:val="18"/>
          <w:szCs w:val="18"/>
        </w:rPr>
        <w:t xml:space="preserve">, </w:t>
      </w:r>
      <w:r w:rsidR="004E5022">
        <w:rPr>
          <w:rFonts w:ascii="Arial" w:hAnsi="Arial" w:cs="Arial"/>
          <w:sz w:val="18"/>
          <w:szCs w:val="18"/>
        </w:rPr>
        <w:t>089</w:t>
      </w:r>
      <w:r w:rsidR="00AE7987">
        <w:rPr>
          <w:rFonts w:ascii="Arial" w:hAnsi="Arial" w:cs="Arial"/>
          <w:sz w:val="18"/>
          <w:szCs w:val="18"/>
        </w:rPr>
        <w:t>,000</w:t>
      </w:r>
      <w:r>
        <w:rPr>
          <w:rFonts w:ascii="Arial" w:hAnsi="Arial" w:cs="Arial"/>
          <w:sz w:val="18"/>
          <w:szCs w:val="18"/>
        </w:rPr>
        <w:t xml:space="preserve"> mediante el rubro de </w:t>
      </w:r>
      <w:r w:rsidR="00AE7987">
        <w:rPr>
          <w:rFonts w:ascii="Arial" w:hAnsi="Arial" w:cs="Arial"/>
          <w:sz w:val="18"/>
          <w:szCs w:val="18"/>
        </w:rPr>
        <w:t>Participaciones y Aportaciones</w:t>
      </w:r>
      <w:r>
        <w:rPr>
          <w:rFonts w:ascii="Arial" w:hAnsi="Arial" w:cs="Arial"/>
          <w:sz w:val="18"/>
          <w:szCs w:val="18"/>
        </w:rPr>
        <w:t xml:space="preserve">.  </w:t>
      </w: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rsidR="00A668D1" w:rsidRDefault="00A668D1" w:rsidP="00A668D1">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1701"/>
      </w:tblGrid>
      <w:tr w:rsidR="00A668D1" w:rsidTr="005D2D96">
        <w:trPr>
          <w:jc w:val="center"/>
        </w:trPr>
        <w:tc>
          <w:tcPr>
            <w:tcW w:w="3402" w:type="dxa"/>
            <w:shd w:val="clear" w:color="auto" w:fill="632423" w:themeFill="accent2" w:themeFillShade="8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701" w:type="dxa"/>
            <w:shd w:val="clear" w:color="auto" w:fill="632423" w:themeFill="accent2" w:themeFillShade="80"/>
          </w:tcPr>
          <w:p w:rsidR="00A668D1" w:rsidRPr="00A668D1" w:rsidRDefault="00A668D1" w:rsidP="00A668D1">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01" w:type="dxa"/>
            <w:shd w:val="clear" w:color="auto" w:fill="632423" w:themeFill="accent2" w:themeFillShade="8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A668D1" w:rsidTr="00A668D1">
        <w:trPr>
          <w:trHeight w:val="284"/>
          <w:jc w:val="center"/>
        </w:trPr>
        <w:tc>
          <w:tcPr>
            <w:tcW w:w="3402" w:type="dxa"/>
          </w:tcPr>
          <w:p w:rsidR="00A668D1" w:rsidRDefault="00A668D1" w:rsidP="00822DAF">
            <w:pPr>
              <w:autoSpaceDE w:val="0"/>
              <w:autoSpaceDN w:val="0"/>
              <w:adjustRightInd w:val="0"/>
              <w:spacing w:before="80"/>
              <w:jc w:val="both"/>
              <w:rPr>
                <w:rFonts w:ascii="Arial" w:hAnsi="Arial" w:cs="Arial"/>
                <w:sz w:val="18"/>
                <w:szCs w:val="18"/>
              </w:rPr>
            </w:pPr>
            <w:r>
              <w:rPr>
                <w:rFonts w:ascii="Arial" w:hAnsi="Arial" w:cs="Arial"/>
                <w:sz w:val="18"/>
                <w:szCs w:val="18"/>
              </w:rPr>
              <w:t xml:space="preserve">Terminación de la relación laboral </w:t>
            </w:r>
          </w:p>
        </w:tc>
        <w:tc>
          <w:tcPr>
            <w:tcW w:w="1701" w:type="dxa"/>
          </w:tcPr>
          <w:p w:rsidR="00A668D1" w:rsidRDefault="00A668D1" w:rsidP="00822DAF">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p>
        </w:tc>
        <w:tc>
          <w:tcPr>
            <w:tcW w:w="1701" w:type="dxa"/>
          </w:tcPr>
          <w:p w:rsidR="00A668D1" w:rsidRDefault="00A668D1" w:rsidP="004E5022">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4E5022">
              <w:rPr>
                <w:rFonts w:ascii="Arial" w:hAnsi="Arial" w:cs="Arial"/>
                <w:sz w:val="18"/>
                <w:szCs w:val="18"/>
              </w:rPr>
              <w:t xml:space="preserve">             </w:t>
            </w:r>
            <w:r w:rsidR="00297074">
              <w:rPr>
                <w:rFonts w:ascii="Arial" w:hAnsi="Arial" w:cs="Arial"/>
                <w:sz w:val="18"/>
                <w:szCs w:val="18"/>
              </w:rPr>
              <w:t>0</w:t>
            </w:r>
          </w:p>
        </w:tc>
      </w:tr>
      <w:tr w:rsidR="00A668D1" w:rsidTr="00A668D1">
        <w:trPr>
          <w:trHeight w:val="284"/>
          <w:jc w:val="center"/>
        </w:trPr>
        <w:tc>
          <w:tcPr>
            <w:tcW w:w="3402" w:type="dxa"/>
          </w:tcPr>
          <w:p w:rsidR="00A668D1" w:rsidRDefault="00A668D1" w:rsidP="00822DAF">
            <w:pPr>
              <w:autoSpaceDE w:val="0"/>
              <w:autoSpaceDN w:val="0"/>
              <w:adjustRightInd w:val="0"/>
              <w:spacing w:before="80"/>
              <w:jc w:val="both"/>
              <w:rPr>
                <w:rFonts w:ascii="Arial" w:hAnsi="Arial" w:cs="Arial"/>
                <w:sz w:val="18"/>
                <w:szCs w:val="18"/>
              </w:rPr>
            </w:pPr>
            <w:r>
              <w:rPr>
                <w:rFonts w:ascii="Arial" w:hAnsi="Arial" w:cs="Arial"/>
                <w:sz w:val="18"/>
                <w:szCs w:val="18"/>
              </w:rPr>
              <w:t xml:space="preserve">Devolución de ISR por concepto de sueldos y salarios </w:t>
            </w:r>
          </w:p>
        </w:tc>
        <w:tc>
          <w:tcPr>
            <w:tcW w:w="1701" w:type="dxa"/>
          </w:tcPr>
          <w:p w:rsidR="00A668D1" w:rsidRDefault="003465BC" w:rsidP="00822DAF">
            <w:pPr>
              <w:autoSpaceDE w:val="0"/>
              <w:autoSpaceDN w:val="0"/>
              <w:adjustRightInd w:val="0"/>
              <w:spacing w:before="80"/>
              <w:jc w:val="right"/>
              <w:rPr>
                <w:rFonts w:ascii="Arial" w:hAnsi="Arial" w:cs="Arial"/>
                <w:sz w:val="18"/>
                <w:szCs w:val="18"/>
              </w:rPr>
            </w:pPr>
            <w:r>
              <w:rPr>
                <w:rFonts w:ascii="Arial" w:hAnsi="Arial" w:cs="Arial"/>
                <w:sz w:val="18"/>
                <w:szCs w:val="18"/>
              </w:rPr>
              <w:t>Abril</w:t>
            </w:r>
          </w:p>
        </w:tc>
        <w:tc>
          <w:tcPr>
            <w:tcW w:w="1701" w:type="dxa"/>
          </w:tcPr>
          <w:p w:rsidR="00A668D1" w:rsidRDefault="00A668D1" w:rsidP="003465BC">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3465BC">
              <w:rPr>
                <w:rFonts w:ascii="Arial" w:hAnsi="Arial" w:cs="Arial"/>
                <w:sz w:val="18"/>
                <w:szCs w:val="18"/>
              </w:rPr>
              <w:t>456,441</w:t>
            </w:r>
            <w:r>
              <w:rPr>
                <w:rFonts w:ascii="Arial" w:hAnsi="Arial" w:cs="Arial"/>
                <w:sz w:val="18"/>
                <w:szCs w:val="18"/>
              </w:rPr>
              <w:t xml:space="preserve">  </w:t>
            </w:r>
          </w:p>
        </w:tc>
      </w:tr>
      <w:tr w:rsidR="00A668D1" w:rsidTr="00A668D1">
        <w:trPr>
          <w:trHeight w:val="284"/>
          <w:jc w:val="center"/>
        </w:trPr>
        <w:tc>
          <w:tcPr>
            <w:tcW w:w="3402" w:type="dxa"/>
          </w:tcPr>
          <w:p w:rsidR="00A668D1" w:rsidRDefault="00A668D1" w:rsidP="00822DAF">
            <w:pPr>
              <w:autoSpaceDE w:val="0"/>
              <w:autoSpaceDN w:val="0"/>
              <w:adjustRightInd w:val="0"/>
              <w:spacing w:before="80"/>
              <w:ind w:firstLine="708"/>
              <w:jc w:val="both"/>
              <w:rPr>
                <w:rFonts w:ascii="Arial" w:hAnsi="Arial" w:cs="Arial"/>
                <w:sz w:val="18"/>
                <w:szCs w:val="18"/>
              </w:rPr>
            </w:pPr>
          </w:p>
        </w:tc>
        <w:tc>
          <w:tcPr>
            <w:tcW w:w="1701" w:type="dxa"/>
          </w:tcPr>
          <w:p w:rsidR="00A668D1" w:rsidRDefault="00A668D1" w:rsidP="004E5022">
            <w:pPr>
              <w:autoSpaceDE w:val="0"/>
              <w:autoSpaceDN w:val="0"/>
              <w:adjustRightInd w:val="0"/>
              <w:spacing w:before="80"/>
              <w:jc w:val="center"/>
              <w:rPr>
                <w:rFonts w:ascii="Arial" w:hAnsi="Arial" w:cs="Arial"/>
                <w:sz w:val="18"/>
                <w:szCs w:val="18"/>
              </w:rPr>
            </w:pPr>
            <w:r>
              <w:rPr>
                <w:rFonts w:ascii="Arial" w:hAnsi="Arial" w:cs="Arial"/>
                <w:sz w:val="18"/>
                <w:szCs w:val="18"/>
              </w:rPr>
              <w:t xml:space="preserve"> </w:t>
            </w:r>
          </w:p>
        </w:tc>
        <w:tc>
          <w:tcPr>
            <w:tcW w:w="1701" w:type="dxa"/>
          </w:tcPr>
          <w:p w:rsidR="00A668D1" w:rsidRDefault="00A668D1" w:rsidP="000C79A2">
            <w:pPr>
              <w:autoSpaceDE w:val="0"/>
              <w:autoSpaceDN w:val="0"/>
              <w:adjustRightInd w:val="0"/>
              <w:spacing w:before="80"/>
              <w:jc w:val="right"/>
              <w:rPr>
                <w:rFonts w:ascii="Arial" w:hAnsi="Arial" w:cs="Arial"/>
                <w:sz w:val="18"/>
                <w:szCs w:val="18"/>
              </w:rPr>
            </w:pPr>
          </w:p>
        </w:tc>
      </w:tr>
      <w:tr w:rsidR="00380851" w:rsidTr="00A668D1">
        <w:trPr>
          <w:trHeight w:val="284"/>
          <w:jc w:val="center"/>
        </w:trPr>
        <w:tc>
          <w:tcPr>
            <w:tcW w:w="3402" w:type="dxa"/>
          </w:tcPr>
          <w:p w:rsidR="00380851" w:rsidRDefault="00380851" w:rsidP="00822DAF">
            <w:pPr>
              <w:autoSpaceDE w:val="0"/>
              <w:autoSpaceDN w:val="0"/>
              <w:adjustRightInd w:val="0"/>
              <w:spacing w:before="80"/>
              <w:ind w:firstLine="708"/>
              <w:jc w:val="both"/>
              <w:rPr>
                <w:rFonts w:ascii="Arial" w:hAnsi="Arial" w:cs="Arial"/>
                <w:sz w:val="18"/>
                <w:szCs w:val="18"/>
              </w:rPr>
            </w:pPr>
          </w:p>
        </w:tc>
        <w:tc>
          <w:tcPr>
            <w:tcW w:w="1701" w:type="dxa"/>
          </w:tcPr>
          <w:p w:rsidR="00380851" w:rsidRDefault="00380851" w:rsidP="00822DAF">
            <w:pPr>
              <w:autoSpaceDE w:val="0"/>
              <w:autoSpaceDN w:val="0"/>
              <w:adjustRightInd w:val="0"/>
              <w:spacing w:before="80"/>
              <w:jc w:val="right"/>
              <w:rPr>
                <w:rFonts w:ascii="Arial" w:hAnsi="Arial" w:cs="Arial"/>
                <w:sz w:val="18"/>
                <w:szCs w:val="18"/>
              </w:rPr>
            </w:pPr>
          </w:p>
        </w:tc>
        <w:tc>
          <w:tcPr>
            <w:tcW w:w="1701" w:type="dxa"/>
          </w:tcPr>
          <w:p w:rsidR="00380851" w:rsidRDefault="00380851" w:rsidP="000C79A2">
            <w:pPr>
              <w:autoSpaceDE w:val="0"/>
              <w:autoSpaceDN w:val="0"/>
              <w:adjustRightInd w:val="0"/>
              <w:spacing w:before="80"/>
              <w:jc w:val="right"/>
              <w:rPr>
                <w:rFonts w:ascii="Arial" w:hAnsi="Arial" w:cs="Arial"/>
                <w:sz w:val="18"/>
                <w:szCs w:val="18"/>
              </w:rPr>
            </w:pPr>
          </w:p>
        </w:tc>
      </w:tr>
      <w:tr w:rsidR="00A668D1" w:rsidTr="004E5022">
        <w:trPr>
          <w:jc w:val="center"/>
        </w:trPr>
        <w:tc>
          <w:tcPr>
            <w:tcW w:w="5103" w:type="dxa"/>
            <w:gridSpan w:val="2"/>
          </w:tcPr>
          <w:p w:rsidR="00A668D1" w:rsidRPr="00BD5912" w:rsidRDefault="00A668D1" w:rsidP="00822DAF">
            <w:pPr>
              <w:autoSpaceDE w:val="0"/>
              <w:autoSpaceDN w:val="0"/>
              <w:adjustRightInd w:val="0"/>
              <w:spacing w:before="80"/>
              <w:jc w:val="right"/>
              <w:rPr>
                <w:rFonts w:ascii="Arial" w:hAnsi="Arial" w:cs="Arial"/>
                <w:b/>
                <w:sz w:val="18"/>
                <w:szCs w:val="18"/>
              </w:rPr>
            </w:pPr>
            <w:r w:rsidRPr="00BD5912">
              <w:rPr>
                <w:rFonts w:ascii="Arial" w:hAnsi="Arial" w:cs="Arial"/>
                <w:b/>
                <w:sz w:val="18"/>
                <w:szCs w:val="18"/>
              </w:rPr>
              <w:t xml:space="preserve">Total </w:t>
            </w:r>
          </w:p>
        </w:tc>
        <w:tc>
          <w:tcPr>
            <w:tcW w:w="1701" w:type="dxa"/>
          </w:tcPr>
          <w:p w:rsidR="00A668D1" w:rsidRPr="00BD5912" w:rsidRDefault="00A668D1" w:rsidP="003465BC">
            <w:pPr>
              <w:autoSpaceDE w:val="0"/>
              <w:autoSpaceDN w:val="0"/>
              <w:adjustRightInd w:val="0"/>
              <w:spacing w:before="80"/>
              <w:jc w:val="right"/>
              <w:rPr>
                <w:rFonts w:ascii="Arial" w:hAnsi="Arial" w:cs="Arial"/>
                <w:b/>
                <w:sz w:val="18"/>
                <w:szCs w:val="18"/>
              </w:rPr>
            </w:pPr>
            <w:r w:rsidRPr="00BD5912">
              <w:rPr>
                <w:rFonts w:ascii="Arial" w:hAnsi="Arial" w:cs="Arial"/>
                <w:b/>
                <w:sz w:val="18"/>
                <w:szCs w:val="18"/>
              </w:rPr>
              <w:t>$</w:t>
            </w:r>
            <w:r w:rsidR="004E5022">
              <w:rPr>
                <w:rFonts w:ascii="Arial" w:hAnsi="Arial" w:cs="Arial"/>
                <w:b/>
                <w:sz w:val="18"/>
                <w:szCs w:val="18"/>
              </w:rPr>
              <w:t xml:space="preserve">   </w:t>
            </w:r>
            <w:r w:rsidR="003465BC">
              <w:rPr>
                <w:rFonts w:ascii="Arial" w:hAnsi="Arial" w:cs="Arial"/>
                <w:b/>
                <w:sz w:val="18"/>
                <w:szCs w:val="18"/>
              </w:rPr>
              <w:t>456,441</w:t>
            </w:r>
          </w:p>
        </w:tc>
      </w:tr>
    </w:tbl>
    <w:p w:rsidR="00444333" w:rsidRDefault="00444333" w:rsidP="00A668D1">
      <w:pPr>
        <w:pStyle w:val="Prrafodelista"/>
        <w:autoSpaceDE w:val="0"/>
        <w:autoSpaceDN w:val="0"/>
        <w:adjustRightInd w:val="0"/>
        <w:spacing w:before="80" w:after="0"/>
        <w:ind w:left="1843"/>
        <w:jc w:val="both"/>
        <w:rPr>
          <w:rFonts w:ascii="Arial" w:hAnsi="Arial" w:cs="Arial"/>
          <w:color w:val="FFFFFF"/>
          <w:sz w:val="18"/>
          <w:szCs w:val="18"/>
        </w:rPr>
      </w:pPr>
    </w:p>
    <w:p w:rsidR="004E5022" w:rsidRPr="00410B74" w:rsidRDefault="004E5022" w:rsidP="00A668D1">
      <w:pPr>
        <w:pStyle w:val="Prrafodelista"/>
        <w:autoSpaceDE w:val="0"/>
        <w:autoSpaceDN w:val="0"/>
        <w:adjustRightInd w:val="0"/>
        <w:spacing w:before="80" w:after="0"/>
        <w:ind w:left="1843"/>
        <w:jc w:val="both"/>
        <w:rPr>
          <w:rFonts w:ascii="Arial" w:hAnsi="Arial" w:cs="Arial"/>
          <w:color w:val="FFFFFF"/>
          <w:sz w:val="18"/>
          <w:szCs w:val="18"/>
        </w:rPr>
      </w:pPr>
    </w:p>
    <w:p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p w:rsidR="00A668D1" w:rsidRPr="002F31D1" w:rsidRDefault="00A668D1" w:rsidP="00A668D1">
      <w:pPr>
        <w:pStyle w:val="Prrafodelista"/>
        <w:autoSpaceDE w:val="0"/>
        <w:autoSpaceDN w:val="0"/>
        <w:adjustRightInd w:val="0"/>
        <w:spacing w:before="80"/>
        <w:ind w:left="1843"/>
        <w:jc w:val="both"/>
        <w:rPr>
          <w:rFonts w:ascii="Arial" w:hAnsi="Arial" w:cs="Arial"/>
          <w:b/>
          <w:color w:val="FFFFFF"/>
          <w:sz w:val="18"/>
          <w:szCs w:val="18"/>
        </w:rPr>
      </w:pPr>
    </w:p>
    <w:tbl>
      <w:tblPr>
        <w:tblW w:w="0" w:type="auto"/>
        <w:jc w:val="center"/>
        <w:tblCellMar>
          <w:left w:w="70" w:type="dxa"/>
          <w:right w:w="70" w:type="dxa"/>
        </w:tblCellMar>
        <w:tblLook w:val="04A0" w:firstRow="1" w:lastRow="0" w:firstColumn="1" w:lastColumn="0" w:noHBand="0" w:noVBand="1"/>
      </w:tblPr>
      <w:tblGrid>
        <w:gridCol w:w="3542"/>
        <w:gridCol w:w="1585"/>
      </w:tblGrid>
      <w:tr w:rsidR="00A668D1" w:rsidRPr="002F31D1" w:rsidTr="005D2D96">
        <w:trPr>
          <w:trHeight w:val="240"/>
          <w:jc w:val="center"/>
        </w:trPr>
        <w:tc>
          <w:tcPr>
            <w:tcW w:w="0" w:type="auto"/>
            <w:shd w:val="clear" w:color="auto" w:fill="632423" w:themeFill="accent2" w:themeFillShade="80"/>
            <w:noWrap/>
            <w:vAlign w:val="center"/>
            <w:hideMark/>
          </w:tcPr>
          <w:p w:rsidR="00A668D1" w:rsidRPr="002F31D1" w:rsidRDefault="00A668D1" w:rsidP="00822DAF">
            <w:pPr>
              <w:spacing w:before="80" w:line="240" w:lineRule="auto"/>
              <w:jc w:val="both"/>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632423" w:themeFill="accent2" w:themeFillShade="80"/>
            <w:noWrap/>
            <w:vAlign w:val="center"/>
            <w:hideMark/>
          </w:tcPr>
          <w:p w:rsidR="00A668D1" w:rsidRPr="002F31D1" w:rsidRDefault="00A668D1" w:rsidP="00822DAF">
            <w:pPr>
              <w:spacing w:before="80" w:line="240" w:lineRule="auto"/>
              <w:jc w:val="center"/>
              <w:rPr>
                <w:rFonts w:ascii="Arial" w:hAnsi="Arial" w:cs="Arial"/>
                <w:b/>
                <w:bCs/>
                <w:color w:val="FFFFFF"/>
                <w:sz w:val="18"/>
                <w:szCs w:val="18"/>
              </w:rPr>
            </w:pPr>
            <w:r>
              <w:rPr>
                <w:rFonts w:ascii="Arial" w:hAnsi="Arial" w:cs="Arial"/>
                <w:b/>
                <w:bCs/>
                <w:color w:val="FFFFFF"/>
                <w:sz w:val="18"/>
                <w:szCs w:val="18"/>
              </w:rPr>
              <w:t>201</w:t>
            </w:r>
            <w:r w:rsidR="004E5022">
              <w:rPr>
                <w:rFonts w:ascii="Arial" w:hAnsi="Arial" w:cs="Arial"/>
                <w:b/>
                <w:bCs/>
                <w:color w:val="FFFFFF"/>
                <w:sz w:val="18"/>
                <w:szCs w:val="18"/>
              </w:rPr>
              <w:t>7</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rsidR="00A668D1" w:rsidRPr="00672941" w:rsidRDefault="00A668D1" w:rsidP="004E5022">
            <w:pPr>
              <w:spacing w:before="80" w:line="240" w:lineRule="auto"/>
              <w:jc w:val="right"/>
              <w:rPr>
                <w:rFonts w:ascii="Arial" w:hAnsi="Arial" w:cs="Arial"/>
                <w:sz w:val="18"/>
                <w:szCs w:val="18"/>
              </w:rPr>
            </w:pPr>
            <w:r>
              <w:rPr>
                <w:rFonts w:ascii="Arial" w:hAnsi="Arial" w:cs="Arial"/>
                <w:sz w:val="18"/>
                <w:szCs w:val="18"/>
              </w:rPr>
              <w:t>$</w:t>
            </w:r>
            <w:r w:rsidR="004E5022">
              <w:rPr>
                <w:rFonts w:ascii="Arial" w:hAnsi="Arial" w:cs="Arial"/>
                <w:sz w:val="18"/>
                <w:szCs w:val="18"/>
              </w:rPr>
              <w:t>20,089,000</w:t>
            </w:r>
          </w:p>
        </w:tc>
      </w:tr>
      <w:tr w:rsidR="00A668D1" w:rsidRPr="002F31D1" w:rsidTr="00822DAF">
        <w:trPr>
          <w:trHeight w:val="30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rsidR="00A668D1" w:rsidRPr="00672941" w:rsidRDefault="003465BC" w:rsidP="00822DAF">
            <w:pPr>
              <w:spacing w:before="80" w:line="240" w:lineRule="auto"/>
              <w:jc w:val="right"/>
              <w:rPr>
                <w:rFonts w:ascii="Arial" w:hAnsi="Arial" w:cs="Arial"/>
                <w:sz w:val="18"/>
                <w:szCs w:val="18"/>
              </w:rPr>
            </w:pPr>
            <w:r>
              <w:rPr>
                <w:rFonts w:ascii="Arial" w:hAnsi="Arial" w:cs="Arial"/>
                <w:sz w:val="18"/>
                <w:szCs w:val="18"/>
              </w:rPr>
              <w:t>456,441</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rsidR="00A668D1" w:rsidRPr="00672941" w:rsidRDefault="004E5022" w:rsidP="003465BC">
            <w:pPr>
              <w:spacing w:before="80" w:line="240" w:lineRule="auto"/>
              <w:jc w:val="right"/>
              <w:rPr>
                <w:rFonts w:ascii="Arial" w:hAnsi="Arial" w:cs="Arial"/>
                <w:sz w:val="18"/>
                <w:szCs w:val="18"/>
              </w:rPr>
            </w:pPr>
            <w:r>
              <w:rPr>
                <w:rFonts w:ascii="Arial" w:hAnsi="Arial" w:cs="Arial"/>
                <w:sz w:val="18"/>
                <w:szCs w:val="18"/>
              </w:rPr>
              <w:t>20,</w:t>
            </w:r>
            <w:r w:rsidR="003465BC">
              <w:rPr>
                <w:rFonts w:ascii="Arial" w:hAnsi="Arial" w:cs="Arial"/>
                <w:sz w:val="18"/>
                <w:szCs w:val="18"/>
              </w:rPr>
              <w:t>545</w:t>
            </w:r>
            <w:r>
              <w:rPr>
                <w:rFonts w:ascii="Arial" w:hAnsi="Arial" w:cs="Arial"/>
                <w:sz w:val="18"/>
                <w:szCs w:val="18"/>
              </w:rPr>
              <w:t>,</w:t>
            </w:r>
            <w:r w:rsidR="003465BC">
              <w:rPr>
                <w:rFonts w:ascii="Arial" w:hAnsi="Arial" w:cs="Arial"/>
                <w:sz w:val="18"/>
                <w:szCs w:val="18"/>
              </w:rPr>
              <w:t>441</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rsidR="00A668D1" w:rsidRPr="00672941" w:rsidRDefault="003465BC" w:rsidP="003465BC">
            <w:pPr>
              <w:spacing w:before="80" w:line="240" w:lineRule="auto"/>
              <w:jc w:val="right"/>
              <w:rPr>
                <w:rFonts w:ascii="Arial" w:hAnsi="Arial" w:cs="Arial"/>
                <w:sz w:val="18"/>
                <w:szCs w:val="18"/>
              </w:rPr>
            </w:pPr>
            <w:r>
              <w:rPr>
                <w:rFonts w:ascii="Arial" w:hAnsi="Arial" w:cs="Arial"/>
                <w:sz w:val="18"/>
                <w:szCs w:val="18"/>
              </w:rPr>
              <w:t>10</w:t>
            </w:r>
            <w:r w:rsidR="004E5022">
              <w:rPr>
                <w:rFonts w:ascii="Arial" w:hAnsi="Arial" w:cs="Arial"/>
                <w:sz w:val="18"/>
                <w:szCs w:val="18"/>
              </w:rPr>
              <w:t>,</w:t>
            </w:r>
            <w:r>
              <w:rPr>
                <w:rFonts w:ascii="Arial" w:hAnsi="Arial" w:cs="Arial"/>
                <w:sz w:val="18"/>
                <w:szCs w:val="18"/>
              </w:rPr>
              <w:t>257</w:t>
            </w:r>
            <w:r w:rsidR="004E5022">
              <w:rPr>
                <w:rFonts w:ascii="Arial" w:hAnsi="Arial" w:cs="Arial"/>
                <w:sz w:val="18"/>
                <w:szCs w:val="18"/>
              </w:rPr>
              <w:t>,</w:t>
            </w:r>
            <w:r>
              <w:rPr>
                <w:rFonts w:ascii="Arial" w:hAnsi="Arial" w:cs="Arial"/>
                <w:sz w:val="18"/>
                <w:szCs w:val="18"/>
              </w:rPr>
              <w:t>820</w:t>
            </w:r>
          </w:p>
        </w:tc>
      </w:tr>
      <w:tr w:rsidR="00A668D1" w:rsidRPr="00672941" w:rsidTr="00822DAF">
        <w:trPr>
          <w:trHeight w:val="240"/>
          <w:jc w:val="center"/>
        </w:trPr>
        <w:tc>
          <w:tcPr>
            <w:tcW w:w="0" w:type="auto"/>
            <w:shd w:val="clear" w:color="auto" w:fill="auto"/>
            <w:noWrap/>
            <w:vAlign w:val="bottom"/>
            <w:hideMark/>
          </w:tcPr>
          <w:p w:rsidR="00A668D1" w:rsidRPr="00672941" w:rsidRDefault="00A668D1" w:rsidP="00822DAF">
            <w:pPr>
              <w:spacing w:before="80"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rsidR="00A668D1" w:rsidRPr="00672941" w:rsidRDefault="003465BC" w:rsidP="003465BC">
            <w:pPr>
              <w:spacing w:before="80" w:line="240" w:lineRule="auto"/>
              <w:jc w:val="right"/>
              <w:rPr>
                <w:rFonts w:ascii="Arial" w:hAnsi="Arial" w:cs="Arial"/>
                <w:sz w:val="18"/>
                <w:szCs w:val="18"/>
              </w:rPr>
            </w:pPr>
            <w:r>
              <w:rPr>
                <w:rFonts w:ascii="Arial" w:hAnsi="Arial" w:cs="Arial"/>
                <w:sz w:val="18"/>
                <w:szCs w:val="18"/>
              </w:rPr>
              <w:t>10</w:t>
            </w:r>
            <w:r w:rsidR="004E5022">
              <w:rPr>
                <w:rFonts w:ascii="Arial" w:hAnsi="Arial" w:cs="Arial"/>
                <w:sz w:val="18"/>
                <w:szCs w:val="18"/>
              </w:rPr>
              <w:t>,</w:t>
            </w:r>
            <w:r>
              <w:rPr>
                <w:rFonts w:ascii="Arial" w:hAnsi="Arial" w:cs="Arial"/>
                <w:sz w:val="18"/>
                <w:szCs w:val="18"/>
              </w:rPr>
              <w:t>194</w:t>
            </w:r>
            <w:r w:rsidR="004E5022">
              <w:rPr>
                <w:rFonts w:ascii="Arial" w:hAnsi="Arial" w:cs="Arial"/>
                <w:sz w:val="18"/>
                <w:szCs w:val="18"/>
              </w:rPr>
              <w:t>,</w:t>
            </w:r>
            <w:r>
              <w:rPr>
                <w:rFonts w:ascii="Arial" w:hAnsi="Arial" w:cs="Arial"/>
                <w:sz w:val="18"/>
                <w:szCs w:val="18"/>
              </w:rPr>
              <w:t>056</w:t>
            </w:r>
          </w:p>
        </w:tc>
      </w:tr>
    </w:tbl>
    <w:p w:rsidR="00A668D1" w:rsidRDefault="00A668D1" w:rsidP="00A668D1">
      <w:pPr>
        <w:pStyle w:val="Prrafodelista"/>
        <w:spacing w:before="80"/>
        <w:ind w:left="0"/>
        <w:jc w:val="both"/>
        <w:rPr>
          <w:rFonts w:ascii="Arial" w:hAnsi="Arial" w:cs="Arial"/>
          <w:sz w:val="18"/>
          <w:szCs w:val="18"/>
        </w:rPr>
      </w:pPr>
    </w:p>
    <w:p w:rsidR="00A668D1"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2C55F7" w:rsidRDefault="002C55F7" w:rsidP="00A668D1">
      <w:pPr>
        <w:autoSpaceDE w:val="0"/>
        <w:autoSpaceDN w:val="0"/>
        <w:adjustRightInd w:val="0"/>
        <w:spacing w:before="80"/>
        <w:contextualSpacing/>
        <w:jc w:val="both"/>
        <w:rPr>
          <w:rFonts w:ascii="Arial" w:hAnsi="Arial" w:cs="Arial"/>
          <w:sz w:val="18"/>
          <w:szCs w:val="18"/>
        </w:rPr>
      </w:pPr>
    </w:p>
    <w:p w:rsidR="002C55F7" w:rsidRPr="00C76D92" w:rsidRDefault="002C55F7" w:rsidP="00A668D1">
      <w:pPr>
        <w:autoSpaceDE w:val="0"/>
        <w:autoSpaceDN w:val="0"/>
        <w:adjustRightInd w:val="0"/>
        <w:spacing w:before="80"/>
        <w:contextualSpacing/>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spacing w:line="240" w:lineRule="auto"/>
        <w:jc w:val="center"/>
        <w:rPr>
          <w:rFonts w:ascii="Arial" w:hAnsi="Arial" w:cs="Arial"/>
          <w:sz w:val="18"/>
          <w:szCs w:val="18"/>
        </w:rPr>
      </w:pPr>
    </w:p>
    <w:p w:rsidR="00A668D1" w:rsidRDefault="00FE05F2" w:rsidP="00A668D1">
      <w:pPr>
        <w:spacing w:line="240" w:lineRule="auto"/>
        <w:jc w:val="center"/>
        <w:rPr>
          <w:rFonts w:ascii="Arial" w:hAnsi="Arial" w:cs="Arial"/>
          <w:sz w:val="18"/>
          <w:szCs w:val="18"/>
        </w:rPr>
      </w:pPr>
      <w:r>
        <w:rPr>
          <w:rFonts w:ascii="Arial" w:hAnsi="Arial" w:cs="Arial"/>
          <w:noProof/>
          <w:sz w:val="18"/>
          <w:szCs w:val="18"/>
          <w:lang w:eastAsia="es-MX"/>
        </w:rPr>
        <w:pict>
          <v:shape id="_x0000_s1085" type="#_x0000_t32" style="position:absolute;left:0;text-align:left;margin-left:445.5pt;margin-top:16.35pt;width:194.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tl8vn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P6vPlkgAgAAPQQAAA4AAAAAAAAAAAAAAAAALgIAAGRycy9lMm9Eb2MueG1s&#10;UEsBAi0AFAAGAAgAAAAhAJ6tuLnfAAAACgEAAA8AAAAAAAAAAAAAAAAAegQAAGRycy9kb3ducmV2&#10;LnhtbFBLBQYAAAAABAAEAPMAAACGBQAAAAA=&#10;"/>
        </w:pict>
      </w:r>
      <w:r>
        <w:rPr>
          <w:rFonts w:ascii="Arial" w:hAnsi="Arial" w:cs="Arial"/>
          <w:noProof/>
          <w:sz w:val="18"/>
          <w:szCs w:val="18"/>
          <w:lang w:eastAsia="es-MX"/>
        </w:rPr>
        <w:pict>
          <v:shape id="_x0000_s1084" type="#_x0000_t32" style="position:absolute;left:0;text-align:left;margin-left:45.75pt;margin-top:15.6pt;width:194.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m/IAIAADw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&#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CR1Am/IAIAADwEAAAOAAAAAAAAAAAAAAAAAC4CAABkcnMvZTJvRG9jLnhtbFBL&#10;AQItABQABgAIAAAAIQC0ryuq3QAAAAgBAAAPAAAAAAAAAAAAAAAAAHoEAABkcnMvZG93bnJldi54&#10;bWxQSwUGAAAAAAQABADzAAAAhAUAAAAA&#10;"/>
        </w:pict>
      </w:r>
    </w:p>
    <w:p w:rsidR="00A668D1" w:rsidRDefault="00A86A37"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proofErr w:type="spellStart"/>
      <w:r w:rsidR="003465BC">
        <w:rPr>
          <w:rFonts w:ascii="Arial" w:hAnsi="Arial" w:cs="Arial"/>
          <w:sz w:val="18"/>
          <w:szCs w:val="18"/>
        </w:rPr>
        <w:t>Victor</w:t>
      </w:r>
      <w:proofErr w:type="spellEnd"/>
      <w:r w:rsidR="003465BC">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FA004F">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F65E69">
        <w:rPr>
          <w:rFonts w:ascii="Arial" w:hAnsi="Arial" w:cs="Arial"/>
          <w:sz w:val="18"/>
          <w:szCs w:val="18"/>
        </w:rPr>
        <w:t xml:space="preserve">             </w:t>
      </w:r>
      <w:r w:rsidR="00D81D96">
        <w:rPr>
          <w:rFonts w:ascii="Arial" w:hAnsi="Arial" w:cs="Arial"/>
          <w:sz w:val="18"/>
          <w:szCs w:val="18"/>
        </w:rPr>
        <w:t xml:space="preserve">Lic. </w:t>
      </w:r>
      <w:r w:rsidR="00F65E69">
        <w:rPr>
          <w:rFonts w:ascii="Arial" w:hAnsi="Arial" w:cs="Arial"/>
          <w:sz w:val="18"/>
          <w:szCs w:val="18"/>
        </w:rPr>
        <w:t xml:space="preserve">Angélica María Juárez </w:t>
      </w:r>
      <w:proofErr w:type="spellStart"/>
      <w:r w:rsidR="00F65E69">
        <w:rPr>
          <w:rFonts w:ascii="Arial" w:hAnsi="Arial" w:cs="Arial"/>
          <w:sz w:val="18"/>
          <w:szCs w:val="18"/>
        </w:rPr>
        <w:t>Texis</w:t>
      </w:r>
      <w:proofErr w:type="spellEnd"/>
      <w:r w:rsidR="00A668D1">
        <w:rPr>
          <w:rFonts w:ascii="Arial" w:hAnsi="Arial" w:cs="Arial"/>
          <w:sz w:val="18"/>
          <w:szCs w:val="18"/>
        </w:rPr>
        <w:t xml:space="preserve">                                                                                               </w:t>
      </w:r>
      <w:r>
        <w:rPr>
          <w:rFonts w:ascii="Arial" w:hAnsi="Arial" w:cs="Arial"/>
          <w:sz w:val="18"/>
          <w:szCs w:val="18"/>
        </w:rPr>
        <w:t>President</w:t>
      </w:r>
      <w:r w:rsidR="003465BC">
        <w:rPr>
          <w:rFonts w:ascii="Arial" w:hAnsi="Arial" w:cs="Arial"/>
          <w:sz w:val="18"/>
          <w:szCs w:val="18"/>
        </w:rPr>
        <w:t>e</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FA004F">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D17B14" w:rsidRPr="002F31D1" w:rsidRDefault="00D17B14" w:rsidP="00A668D1">
      <w:pPr>
        <w:pStyle w:val="Prrafodelista"/>
        <w:spacing w:before="80"/>
        <w:ind w:left="0"/>
        <w:jc w:val="both"/>
        <w:rPr>
          <w:rFonts w:ascii="Arial" w:hAnsi="Arial" w:cs="Arial"/>
          <w:sz w:val="18"/>
          <w:szCs w:val="18"/>
        </w:rPr>
      </w:pPr>
    </w:p>
    <w:p w:rsidR="00A668D1" w:rsidRDefault="00A668D1" w:rsidP="00A668D1">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rsidR="00A668D1" w:rsidRPr="002F31D1" w:rsidRDefault="00A668D1" w:rsidP="00A668D1">
      <w:pPr>
        <w:pStyle w:val="Prrafodelista"/>
        <w:autoSpaceDE w:val="0"/>
        <w:autoSpaceDN w:val="0"/>
        <w:adjustRightInd w:val="0"/>
        <w:spacing w:before="80"/>
        <w:jc w:val="both"/>
        <w:rPr>
          <w:rFonts w:ascii="Arial" w:hAnsi="Arial" w:cs="Arial"/>
          <w:b/>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lastRenderedPageBreak/>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rsidR="00A668D1" w:rsidRDefault="00A668D1" w:rsidP="00A668D1">
      <w:pPr>
        <w:spacing w:before="80"/>
        <w:jc w:val="both"/>
        <w:rPr>
          <w:rFonts w:ascii="Arial" w:hAnsi="Arial" w:cs="Arial"/>
          <w:sz w:val="18"/>
          <w:szCs w:val="18"/>
        </w:rPr>
      </w:pPr>
      <w:r w:rsidRPr="0042692E">
        <w:rPr>
          <w:rFonts w:ascii="Arial" w:hAnsi="Arial" w:cs="Arial"/>
          <w:sz w:val="18"/>
          <w:szCs w:val="18"/>
        </w:rPr>
        <w:t>La Comisión Estatal de Derechos Humanos es un Organismo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rsidR="00A668D1" w:rsidRPr="005C6712" w:rsidRDefault="00A668D1" w:rsidP="00A668D1">
      <w:pPr>
        <w:spacing w:before="80"/>
        <w:jc w:val="both"/>
        <w:rPr>
          <w:rFonts w:ascii="Arial" w:hAnsi="Arial" w:cs="Arial"/>
          <w:sz w:val="18"/>
          <w:szCs w:val="18"/>
          <w:highlight w:val="yellow"/>
        </w:rPr>
      </w:pPr>
      <w:r>
        <w:rPr>
          <w:rFonts w:ascii="Arial" w:hAnsi="Arial" w:cs="Arial"/>
          <w:sz w:val="18"/>
          <w:szCs w:val="18"/>
        </w:rPr>
        <w:t xml:space="preserve">Con fecha 24 de Febrero de 1993, se publicó en el Periódico Oficial del gobierno del Estado de Tlaxcala el Decreto por el que se crea la  </w:t>
      </w:r>
      <w:r w:rsidRPr="0042692E">
        <w:rPr>
          <w:rFonts w:ascii="Arial" w:hAnsi="Arial" w:cs="Arial"/>
          <w:sz w:val="18"/>
          <w:szCs w:val="18"/>
        </w:rPr>
        <w:t xml:space="preserve">Comisión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Con fecha  14 de Julio del  2015 se publicó en el Periódico Oficial del gobierno del Estado de Tlaxcala, la última reforma de la Ley de la Comisión Estatal de Derechos Humanos.</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3</w:t>
      </w:r>
      <w:r w:rsidR="00FA004F">
        <w:rPr>
          <w:rFonts w:ascii="Arial" w:hAnsi="Arial" w:cs="Arial"/>
          <w:sz w:val="18"/>
          <w:szCs w:val="18"/>
        </w:rPr>
        <w:t>1</w:t>
      </w:r>
      <w:r w:rsidRPr="002F31D1">
        <w:rPr>
          <w:rFonts w:ascii="Arial" w:hAnsi="Arial" w:cs="Arial"/>
          <w:sz w:val="18"/>
          <w:szCs w:val="18"/>
        </w:rPr>
        <w:t xml:space="preserve"> de </w:t>
      </w:r>
      <w:r w:rsidR="00810568">
        <w:rPr>
          <w:rFonts w:ascii="Arial" w:hAnsi="Arial" w:cs="Arial"/>
          <w:sz w:val="18"/>
          <w:szCs w:val="18"/>
        </w:rPr>
        <w:t>marzo</w:t>
      </w:r>
      <w:r>
        <w:rPr>
          <w:rFonts w:ascii="Arial" w:hAnsi="Arial" w:cs="Arial"/>
          <w:sz w:val="18"/>
          <w:szCs w:val="18"/>
        </w:rPr>
        <w:t xml:space="preserve"> del ejercicio 201</w:t>
      </w:r>
      <w:r w:rsidR="00810568">
        <w:rPr>
          <w:rFonts w:ascii="Arial" w:hAnsi="Arial" w:cs="Arial"/>
          <w:sz w:val="18"/>
          <w:szCs w:val="18"/>
        </w:rPr>
        <w:t>7</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201</w:t>
      </w:r>
      <w:r w:rsidR="00810568">
        <w:rPr>
          <w:rFonts w:ascii="Arial" w:hAnsi="Arial" w:cs="Arial"/>
          <w:sz w:val="18"/>
          <w:szCs w:val="18"/>
        </w:rPr>
        <w:t>6</w:t>
      </w:r>
      <w:r w:rsidRPr="002F31D1">
        <w:rPr>
          <w:rFonts w:ascii="Arial" w:hAnsi="Arial" w:cs="Arial"/>
          <w:sz w:val="18"/>
          <w:szCs w:val="18"/>
        </w:rPr>
        <w:t>, los cuales contabilizan los eventos y las transacciones económicas cuantificables de las operaciones expresadas y contabilizadas en moneda nacional.</w:t>
      </w: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 xml:space="preserve">sideraciones Fiscales de la </w:t>
      </w:r>
      <w:proofErr w:type="spellStart"/>
      <w:r>
        <w:rPr>
          <w:rFonts w:ascii="Arial" w:hAnsi="Arial" w:cs="Arial"/>
          <w:b/>
          <w:sz w:val="18"/>
          <w:szCs w:val="18"/>
        </w:rPr>
        <w:t>Cedht</w:t>
      </w:r>
      <w:proofErr w:type="spellEnd"/>
    </w:p>
    <w:p w:rsidR="00A668D1" w:rsidRPr="002F31D1" w:rsidRDefault="00A668D1" w:rsidP="00A668D1">
      <w:pPr>
        <w:spacing w:before="80"/>
        <w:jc w:val="both"/>
        <w:rPr>
          <w:rFonts w:ascii="Arial" w:hAnsi="Arial" w:cs="Arial"/>
          <w:sz w:val="18"/>
          <w:szCs w:val="18"/>
        </w:rPr>
      </w:pPr>
      <w:r w:rsidRPr="00343189">
        <w:rPr>
          <w:rFonts w:ascii="Arial" w:hAnsi="Arial" w:cs="Arial"/>
          <w:sz w:val="18"/>
          <w:szCs w:val="18"/>
        </w:rPr>
        <w:t>La CEDHT está obligada a retener y enterar el ISR, derivado de  servicios profesionales independientes y arrendamientos, pagados a personas físicas, así como los impuestos derivados de sueldos pagados al personal.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 xml:space="preserve"> </w:t>
      </w:r>
      <w:r w:rsidRPr="002F31D1">
        <w:rPr>
          <w:rFonts w:ascii="Arial" w:hAnsi="Arial" w:cs="Arial"/>
          <w:sz w:val="18"/>
          <w:szCs w:val="18"/>
        </w:rPr>
        <w:t>Comisión Estatal de Derechos Humanos del Estado de Tlaxcala se integrara, por un presidente, un Consejo Consultivo, Visitadurías, una Secretaria Ejecutiva y el personal técnico y administrativo necesario para el desarrollo de sus funciones, de acuerdo al artículo 7 de la Ley de la Comisión Estatal de Derechos Humanos</w:t>
      </w:r>
      <w:r>
        <w:rPr>
          <w:rFonts w:ascii="Arial" w:hAnsi="Arial" w:cs="Arial"/>
          <w:sz w:val="18"/>
          <w:szCs w:val="18"/>
        </w:rPr>
        <w:t>.</w:t>
      </w:r>
    </w:p>
    <w:p w:rsidR="00A668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spacing w:before="80"/>
        <w:ind w:left="0"/>
        <w:jc w:val="both"/>
        <w:rPr>
          <w:rFonts w:ascii="Arial" w:hAnsi="Arial" w:cs="Arial"/>
          <w:b/>
          <w:sz w:val="18"/>
          <w:szCs w:val="18"/>
        </w:rPr>
      </w:pPr>
    </w:p>
    <w:p w:rsidR="00A668D1" w:rsidRPr="00A111BD"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w:t>
      </w:r>
      <w:r w:rsidR="00F65E69">
        <w:rPr>
          <w:rFonts w:ascii="Arial" w:hAnsi="Arial" w:cs="Arial"/>
          <w:sz w:val="18"/>
          <w:szCs w:val="18"/>
        </w:rPr>
        <w:t>0</w:t>
      </w:r>
      <w:r>
        <w:rPr>
          <w:rFonts w:ascii="Arial" w:hAnsi="Arial" w:cs="Arial"/>
          <w:sz w:val="18"/>
          <w:szCs w:val="18"/>
        </w:rPr>
        <w:t xml:space="preserve"> de </w:t>
      </w:r>
      <w:r w:rsidR="00F65E69">
        <w:rPr>
          <w:rFonts w:ascii="Arial" w:hAnsi="Arial" w:cs="Arial"/>
          <w:sz w:val="18"/>
          <w:szCs w:val="18"/>
        </w:rPr>
        <w:t>junio</w:t>
      </w:r>
      <w:r>
        <w:rPr>
          <w:rFonts w:ascii="Arial" w:hAnsi="Arial" w:cs="Arial"/>
          <w:sz w:val="18"/>
          <w:szCs w:val="18"/>
        </w:rPr>
        <w:t xml:space="preserve"> del ejercicio 201</w:t>
      </w:r>
      <w:r w:rsidR="00810568">
        <w:rPr>
          <w:rFonts w:ascii="Arial" w:hAnsi="Arial" w:cs="Arial"/>
          <w:sz w:val="18"/>
          <w:szCs w:val="18"/>
        </w:rPr>
        <w:t>7</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201</w:t>
      </w:r>
      <w:r w:rsidR="00810568">
        <w:rPr>
          <w:rFonts w:ascii="Arial" w:hAnsi="Arial" w:cs="Arial"/>
          <w:sz w:val="18"/>
          <w:szCs w:val="18"/>
        </w:rPr>
        <w:t>6</w:t>
      </w:r>
      <w:r w:rsidRPr="002F31D1">
        <w:rPr>
          <w:rFonts w:ascii="Arial" w:hAnsi="Arial" w:cs="Arial"/>
          <w:sz w:val="18"/>
          <w:szCs w:val="18"/>
        </w:rPr>
        <w:t>, fueron determinados y están presentados en pesos mexicanos.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rsidR="00A668D1" w:rsidRDefault="00A668D1" w:rsidP="00A668D1">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precisa que cada ente público será el responsable de su contabilidad, de la operación del sistema, así como del cumplimiento de lo dispuesto en la ley referida y de las decisiones que emita el Consejo Nacional de Armonización Contable.</w:t>
      </w:r>
    </w:p>
    <w:p w:rsidR="00A668D1" w:rsidRDefault="00A668D1" w:rsidP="00A668D1">
      <w:pPr>
        <w:spacing w:before="80"/>
        <w:jc w:val="both"/>
        <w:rPr>
          <w:rFonts w:ascii="Arial" w:hAnsi="Arial" w:cs="Arial"/>
          <w:sz w:val="18"/>
          <w:szCs w:val="18"/>
        </w:rPr>
      </w:pPr>
    </w:p>
    <w:p w:rsidR="00A668D1" w:rsidRPr="002F31D1" w:rsidRDefault="00A668D1" w:rsidP="00A668D1">
      <w:pPr>
        <w:spacing w:before="80"/>
        <w:jc w:val="both"/>
        <w:rPr>
          <w:rFonts w:ascii="Arial" w:hAnsi="Arial" w:cs="Arial"/>
          <w:sz w:val="18"/>
          <w:szCs w:val="18"/>
        </w:rPr>
      </w:pPr>
    </w:p>
    <w:p w:rsidR="00A668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2F31D1" w:rsidRDefault="00A668D1" w:rsidP="00A668D1">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rsidR="00A668D1" w:rsidRPr="002F31D1" w:rsidRDefault="00A668D1" w:rsidP="00A668D1">
      <w:pPr>
        <w:spacing w:before="80"/>
        <w:jc w:val="both"/>
        <w:rPr>
          <w:rFonts w:ascii="Arial" w:hAnsi="Arial" w:cs="Arial"/>
          <w:sz w:val="18"/>
          <w:szCs w:val="18"/>
        </w:rPr>
      </w:pPr>
      <w:r>
        <w:rPr>
          <w:rFonts w:ascii="Arial" w:hAnsi="Arial" w:cs="Arial"/>
          <w:sz w:val="18"/>
          <w:szCs w:val="18"/>
        </w:rPr>
        <w:lastRenderedPageBreak/>
        <w:t xml:space="preserve">La Administración de la CEDHT </w:t>
      </w:r>
      <w:r w:rsidRPr="002F31D1">
        <w:rPr>
          <w:rFonts w:ascii="Arial" w:hAnsi="Arial" w:cs="Arial"/>
          <w:sz w:val="18"/>
          <w:szCs w:val="18"/>
        </w:rPr>
        <w:t xml:space="preserve"> 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el Presidente de la CEDHT  </w:t>
      </w:r>
      <w:r w:rsidRPr="002F31D1">
        <w:rPr>
          <w:rFonts w:ascii="Arial" w:hAnsi="Arial" w:cs="Arial"/>
          <w:sz w:val="18"/>
          <w:szCs w:val="18"/>
        </w:rPr>
        <w:t>y refleja una relación jerárquica lógica, asignación de responsabilidades y facultades.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 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rsidR="00A668D1" w:rsidRPr="00475136" w:rsidRDefault="00A668D1" w:rsidP="00A668D1">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rsidR="00A668D1" w:rsidRPr="002F31D1" w:rsidRDefault="00A668D1" w:rsidP="00A668D1">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rsidR="00A668D1" w:rsidRDefault="00A668D1" w:rsidP="00A668D1">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(SCGIII) Sistema de Contabilidad Gubernamental III,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 </w:t>
      </w:r>
    </w:p>
    <w:p w:rsidR="00A668D1" w:rsidRDefault="00A668D1" w:rsidP="00A668D1">
      <w:pPr>
        <w:spacing w:before="80"/>
        <w:jc w:val="both"/>
        <w:rPr>
          <w:rFonts w:ascii="Arial" w:hAnsi="Arial" w:cs="Arial"/>
          <w:sz w:val="18"/>
          <w:szCs w:val="18"/>
        </w:rPr>
      </w:pPr>
    </w:p>
    <w:p w:rsidR="00A668D1" w:rsidRDefault="00A668D1" w:rsidP="00A668D1">
      <w:pPr>
        <w:pStyle w:val="Prrafodelista"/>
        <w:numPr>
          <w:ilvl w:val="0"/>
          <w:numId w:val="18"/>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rsidR="00A668D1" w:rsidRDefault="00A668D1" w:rsidP="00A668D1">
      <w:pPr>
        <w:pStyle w:val="Prrafodelista"/>
        <w:spacing w:before="80"/>
        <w:ind w:left="0"/>
        <w:jc w:val="both"/>
        <w:rPr>
          <w:rFonts w:ascii="Arial" w:hAnsi="Arial" w:cs="Arial"/>
          <w:b/>
          <w:sz w:val="18"/>
          <w:szCs w:val="18"/>
        </w:rPr>
      </w:pPr>
    </w:p>
    <w:p w:rsidR="00A668D1" w:rsidRPr="00F95534" w:rsidRDefault="00A668D1" w:rsidP="00A668D1">
      <w:pPr>
        <w:pStyle w:val="Prrafodelista"/>
        <w:spacing w:before="80"/>
        <w:ind w:left="0"/>
        <w:jc w:val="both"/>
        <w:rPr>
          <w:rFonts w:ascii="Arial" w:hAnsi="Arial" w:cs="Arial"/>
          <w:b/>
          <w:sz w:val="18"/>
          <w:szCs w:val="18"/>
        </w:rPr>
      </w:pPr>
      <w:r w:rsidRPr="00F95534">
        <w:rPr>
          <w:rFonts w:ascii="Arial" w:hAnsi="Arial" w:cs="Arial"/>
          <w:sz w:val="18"/>
          <w:szCs w:val="18"/>
        </w:rPr>
        <w:lastRenderedPageBreak/>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rsidR="00A668D1" w:rsidRPr="002F31D1" w:rsidRDefault="00A668D1" w:rsidP="00A668D1">
      <w:pPr>
        <w:pStyle w:val="Prrafodelista"/>
        <w:spacing w:before="80"/>
        <w:ind w:left="1429"/>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rsidR="00A668D1" w:rsidRPr="002F31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C76D92" w:rsidRDefault="00A668D1" w:rsidP="00A668D1">
      <w:pPr>
        <w:pStyle w:val="Texto"/>
        <w:spacing w:after="0" w:line="240" w:lineRule="exact"/>
        <w:ind w:firstLine="0"/>
        <w:rPr>
          <w:rFonts w:ascii="Soberana Sans Light" w:hAnsi="Soberana Sans Light"/>
          <w:sz w:val="22"/>
          <w:szCs w:val="22"/>
        </w:rPr>
      </w:pPr>
    </w:p>
    <w:p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FE05F2" w:rsidP="00A668D1">
      <w:pPr>
        <w:autoSpaceDE w:val="0"/>
        <w:autoSpaceDN w:val="0"/>
        <w:adjustRightInd w:val="0"/>
        <w:spacing w:before="80"/>
        <w:contextualSpacing/>
        <w:jc w:val="both"/>
        <w:rPr>
          <w:rFonts w:ascii="Arial" w:hAnsi="Arial" w:cs="Arial"/>
          <w:b/>
          <w:sz w:val="18"/>
          <w:szCs w:val="18"/>
        </w:rPr>
      </w:pPr>
      <w:r>
        <w:rPr>
          <w:rFonts w:ascii="Arial" w:hAnsi="Arial" w:cs="Arial"/>
          <w:b/>
          <w:noProof/>
          <w:sz w:val="18"/>
          <w:szCs w:val="18"/>
          <w:lang w:eastAsia="es-MX"/>
        </w:rPr>
        <w:pict>
          <v:shape id="AutoShape 30" o:spid="_x0000_s1081" type="#_x0000_t32" style="position:absolute;left:0;text-align:left;margin-left:451.5pt;margin-top:6.55pt;width:194.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oh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"/>
        </w:pict>
      </w:r>
      <w:r>
        <w:rPr>
          <w:rFonts w:ascii="Arial" w:hAnsi="Arial" w:cs="Arial"/>
          <w:b/>
          <w:noProof/>
          <w:sz w:val="18"/>
          <w:szCs w:val="18"/>
          <w:lang w:eastAsia="es-MX"/>
        </w:rPr>
        <w:pict>
          <v:shape id="AutoShape 28" o:spid="_x0000_s1080" type="#_x0000_t32" style="position:absolute;left:0;text-align:left;margin-left:49.5pt;margin-top:5.8pt;width:194.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gy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"/>
        </w:pict>
      </w:r>
    </w:p>
    <w:p w:rsidR="00A668D1" w:rsidRDefault="00FA004F"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proofErr w:type="spellStart"/>
      <w:r w:rsidR="00F65E69">
        <w:rPr>
          <w:rFonts w:ascii="Arial" w:hAnsi="Arial" w:cs="Arial"/>
          <w:sz w:val="18"/>
          <w:szCs w:val="18"/>
        </w:rPr>
        <w:t>Victor</w:t>
      </w:r>
      <w:proofErr w:type="spellEnd"/>
      <w:r w:rsidR="00F65E69">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D81D96">
        <w:rPr>
          <w:rFonts w:ascii="Arial" w:hAnsi="Arial" w:cs="Arial"/>
          <w:sz w:val="18"/>
          <w:szCs w:val="18"/>
        </w:rPr>
        <w:t>Lic. A</w:t>
      </w:r>
      <w:r w:rsidR="00F65E69">
        <w:rPr>
          <w:rFonts w:ascii="Arial" w:hAnsi="Arial" w:cs="Arial"/>
          <w:sz w:val="18"/>
          <w:szCs w:val="18"/>
        </w:rPr>
        <w:t xml:space="preserve">ngélica María Juárez </w:t>
      </w:r>
      <w:proofErr w:type="spellStart"/>
      <w:r w:rsidR="00F65E69">
        <w:rPr>
          <w:rFonts w:ascii="Arial" w:hAnsi="Arial" w:cs="Arial"/>
          <w:sz w:val="18"/>
          <w:szCs w:val="18"/>
        </w:rPr>
        <w:t>Texis</w:t>
      </w:r>
      <w:proofErr w:type="spellEnd"/>
      <w:r w:rsidR="00A668D1">
        <w:rPr>
          <w:rFonts w:ascii="Arial" w:hAnsi="Arial" w:cs="Arial"/>
          <w:sz w:val="18"/>
          <w:szCs w:val="18"/>
        </w:rPr>
        <w:t xml:space="preserve">                                                                                               </w:t>
      </w:r>
      <w:r>
        <w:rPr>
          <w:rFonts w:ascii="Arial" w:hAnsi="Arial" w:cs="Arial"/>
          <w:sz w:val="18"/>
          <w:szCs w:val="18"/>
        </w:rPr>
        <w:t>President</w:t>
      </w:r>
      <w:r w:rsidR="00F65E69">
        <w:rPr>
          <w:rFonts w:ascii="Arial" w:hAnsi="Arial" w:cs="Arial"/>
          <w:sz w:val="18"/>
          <w:szCs w:val="18"/>
        </w:rPr>
        <w: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Pr="00475136" w:rsidRDefault="00A668D1" w:rsidP="00A668D1">
      <w:pPr>
        <w:spacing w:line="240" w:lineRule="auto"/>
        <w:jc w:val="center"/>
        <w:rPr>
          <w:rFonts w:ascii="Arial" w:hAnsi="Arial" w:cs="Arial"/>
          <w:sz w:val="18"/>
          <w:szCs w:val="18"/>
        </w:rPr>
      </w:pPr>
    </w:p>
    <w:p w:rsidR="00AF6A66" w:rsidRPr="00475136" w:rsidRDefault="00AF6A66" w:rsidP="00520523">
      <w:pPr>
        <w:pStyle w:val="Texto"/>
        <w:spacing w:after="0" w:line="240" w:lineRule="exact"/>
        <w:jc w:val="center"/>
        <w:rPr>
          <w:szCs w:val="18"/>
        </w:rPr>
      </w:pPr>
    </w:p>
    <w:sectPr w:rsidR="00AF6A66" w:rsidRPr="00475136" w:rsidSect="008E3652">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E7" w:rsidRDefault="00EF5CE7" w:rsidP="00EA5418">
      <w:pPr>
        <w:spacing w:after="0" w:line="240" w:lineRule="auto"/>
      </w:pPr>
      <w:r>
        <w:separator/>
      </w:r>
    </w:p>
  </w:endnote>
  <w:endnote w:type="continuationSeparator" w:id="0">
    <w:p w:rsidR="00EF5CE7" w:rsidRDefault="00EF5CE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D7" w:rsidRPr="0013011C" w:rsidRDefault="00FE05F2"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448D7"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95594B" w:rsidRPr="0013011C">
          <w:rPr>
            <w:rFonts w:ascii="Soberana Sans Light" w:hAnsi="Soberana Sans Light"/>
          </w:rPr>
          <w:fldChar w:fldCharType="begin"/>
        </w:r>
        <w:r w:rsidR="00C448D7" w:rsidRPr="0013011C">
          <w:rPr>
            <w:rFonts w:ascii="Soberana Sans Light" w:hAnsi="Soberana Sans Light"/>
          </w:rPr>
          <w:instrText>PAGE   \* MERGEFORMAT</w:instrText>
        </w:r>
        <w:r w:rsidR="0095594B" w:rsidRPr="0013011C">
          <w:rPr>
            <w:rFonts w:ascii="Soberana Sans Light" w:hAnsi="Soberana Sans Light"/>
          </w:rPr>
          <w:fldChar w:fldCharType="separate"/>
        </w:r>
        <w:r w:rsidRPr="00FE05F2">
          <w:rPr>
            <w:rFonts w:ascii="Soberana Sans Light" w:hAnsi="Soberana Sans Light"/>
            <w:noProof/>
            <w:lang w:val="es-ES"/>
          </w:rPr>
          <w:t>20</w:t>
        </w:r>
        <w:r w:rsidR="0095594B" w:rsidRPr="0013011C">
          <w:rPr>
            <w:rFonts w:ascii="Soberana Sans Light" w:hAnsi="Soberana Sans Light"/>
          </w:rPr>
          <w:fldChar w:fldCharType="end"/>
        </w:r>
      </w:sdtContent>
    </w:sdt>
  </w:p>
  <w:p w:rsidR="00C448D7" w:rsidRDefault="00C448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D7" w:rsidRPr="008E3652" w:rsidRDefault="00FE05F2"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C448D7" w:rsidRPr="008E3652">
          <w:rPr>
            <w:rFonts w:ascii="Soberana Sans Light" w:hAnsi="Soberana Sans Light"/>
          </w:rPr>
          <w:t xml:space="preserve">Contable / </w:t>
        </w:r>
        <w:r w:rsidR="0095594B" w:rsidRPr="008E3652">
          <w:rPr>
            <w:rFonts w:ascii="Soberana Sans Light" w:hAnsi="Soberana Sans Light"/>
          </w:rPr>
          <w:fldChar w:fldCharType="begin"/>
        </w:r>
        <w:r w:rsidR="00C448D7" w:rsidRPr="008E3652">
          <w:rPr>
            <w:rFonts w:ascii="Soberana Sans Light" w:hAnsi="Soberana Sans Light"/>
          </w:rPr>
          <w:instrText>PAGE   \* MERGEFORMAT</w:instrText>
        </w:r>
        <w:r w:rsidR="0095594B" w:rsidRPr="008E3652">
          <w:rPr>
            <w:rFonts w:ascii="Soberana Sans Light" w:hAnsi="Soberana Sans Light"/>
          </w:rPr>
          <w:fldChar w:fldCharType="separate"/>
        </w:r>
        <w:r w:rsidRPr="00FE05F2">
          <w:rPr>
            <w:rFonts w:ascii="Soberana Sans Light" w:hAnsi="Soberana Sans Light"/>
            <w:noProof/>
            <w:lang w:val="es-ES"/>
          </w:rPr>
          <w:t>21</w:t>
        </w:r>
        <w:r w:rsidR="0095594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E7" w:rsidRDefault="00EF5CE7" w:rsidP="00EA5418">
      <w:pPr>
        <w:spacing w:after="0" w:line="240" w:lineRule="auto"/>
      </w:pPr>
      <w:r>
        <w:separator/>
      </w:r>
    </w:p>
  </w:footnote>
  <w:footnote w:type="continuationSeparator" w:id="0">
    <w:p w:rsidR="00EF5CE7" w:rsidRDefault="00EF5CE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D7" w:rsidRDefault="00FE05F2">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_x0000_s4105">
              <w:txbxContent>
                <w:p w:rsidR="00C448D7" w:rsidRDefault="00C448D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48D7" w:rsidRDefault="00C448D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48D7" w:rsidRPr="00275FC6" w:rsidRDefault="00C448D7"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style="mso-next-textbox:#_x0000_s4103">
                <w:txbxContent>
                  <w:p w:rsidR="00C448D7" w:rsidRDefault="00C448D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C448D7" w:rsidRDefault="00C448D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48D7" w:rsidRPr="00275FC6" w:rsidRDefault="00C448D7"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D7" w:rsidRPr="0013011C" w:rsidRDefault="00FE05F2"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448D7">
      <w:rPr>
        <w:rFonts w:ascii="Soberana Sans Light" w:hAnsi="Soberana Sans Light"/>
      </w:rPr>
      <w:t xml:space="preserve"> AUTÓNOMO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07D5989"/>
    <w:multiLevelType w:val="hybridMultilevel"/>
    <w:tmpl w:val="8228B780"/>
    <w:lvl w:ilvl="0" w:tplc="2A66D784">
      <w:numFmt w:val="bullet"/>
      <w:lvlText w:val="-"/>
      <w:lvlJc w:val="left"/>
      <w:pPr>
        <w:ind w:left="450" w:hanging="360"/>
      </w:pPr>
      <w:rPr>
        <w:rFonts w:ascii="Arial" w:eastAsiaTheme="minorHAns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1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9">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18"/>
  </w:num>
  <w:num w:numId="8">
    <w:abstractNumId w:val="2"/>
  </w:num>
  <w:num w:numId="9">
    <w:abstractNumId w:val="4"/>
  </w:num>
  <w:num w:numId="10">
    <w:abstractNumId w:val="11"/>
  </w:num>
  <w:num w:numId="11">
    <w:abstractNumId w:val="3"/>
  </w:num>
  <w:num w:numId="12">
    <w:abstractNumId w:val="7"/>
  </w:num>
  <w:num w:numId="13">
    <w:abstractNumId w:val="0"/>
  </w:num>
  <w:num w:numId="14">
    <w:abstractNumId w:val="13"/>
  </w:num>
  <w:num w:numId="15">
    <w:abstractNumId w:val="19"/>
  </w:num>
  <w:num w:numId="16">
    <w:abstractNumId w:val="16"/>
  </w:num>
  <w:num w:numId="17">
    <w:abstractNumId w:val="14"/>
  </w:num>
  <w:num w:numId="18">
    <w:abstractNumId w:val="17"/>
  </w:num>
  <w:num w:numId="19">
    <w:abstractNumId w:val="15"/>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1380D"/>
    <w:rsid w:val="00021359"/>
    <w:rsid w:val="00031663"/>
    <w:rsid w:val="00031B24"/>
    <w:rsid w:val="00040466"/>
    <w:rsid w:val="00045A10"/>
    <w:rsid w:val="000473FD"/>
    <w:rsid w:val="00057159"/>
    <w:rsid w:val="000639C3"/>
    <w:rsid w:val="00066038"/>
    <w:rsid w:val="00094DFC"/>
    <w:rsid w:val="000A148C"/>
    <w:rsid w:val="000A266E"/>
    <w:rsid w:val="000A2C9A"/>
    <w:rsid w:val="000A41BB"/>
    <w:rsid w:val="000A6F34"/>
    <w:rsid w:val="000B2F78"/>
    <w:rsid w:val="000C261B"/>
    <w:rsid w:val="000C5990"/>
    <w:rsid w:val="000C79A2"/>
    <w:rsid w:val="000E6452"/>
    <w:rsid w:val="000F7B0E"/>
    <w:rsid w:val="00101476"/>
    <w:rsid w:val="00104DDE"/>
    <w:rsid w:val="0013011C"/>
    <w:rsid w:val="001459C9"/>
    <w:rsid w:val="001542E0"/>
    <w:rsid w:val="00155F63"/>
    <w:rsid w:val="00160E1E"/>
    <w:rsid w:val="00165BB4"/>
    <w:rsid w:val="001707E2"/>
    <w:rsid w:val="00172E6B"/>
    <w:rsid w:val="00183C9A"/>
    <w:rsid w:val="00191005"/>
    <w:rsid w:val="00192EFD"/>
    <w:rsid w:val="00197E12"/>
    <w:rsid w:val="001B1B72"/>
    <w:rsid w:val="001B344D"/>
    <w:rsid w:val="001B3B5A"/>
    <w:rsid w:val="001B60EF"/>
    <w:rsid w:val="001C403F"/>
    <w:rsid w:val="001C41CB"/>
    <w:rsid w:val="001C6FD8"/>
    <w:rsid w:val="001D0B94"/>
    <w:rsid w:val="001D294F"/>
    <w:rsid w:val="001D4C79"/>
    <w:rsid w:val="001E03F2"/>
    <w:rsid w:val="001E166A"/>
    <w:rsid w:val="001E6B9F"/>
    <w:rsid w:val="001E7072"/>
    <w:rsid w:val="001F590D"/>
    <w:rsid w:val="001F6F86"/>
    <w:rsid w:val="00204C86"/>
    <w:rsid w:val="00213FD0"/>
    <w:rsid w:val="00220D89"/>
    <w:rsid w:val="00227A55"/>
    <w:rsid w:val="002441F0"/>
    <w:rsid w:val="002559B4"/>
    <w:rsid w:val="00263394"/>
    <w:rsid w:val="00264426"/>
    <w:rsid w:val="00274A1C"/>
    <w:rsid w:val="00277404"/>
    <w:rsid w:val="00297074"/>
    <w:rsid w:val="002A70B3"/>
    <w:rsid w:val="002B392B"/>
    <w:rsid w:val="002C08B4"/>
    <w:rsid w:val="002C1318"/>
    <w:rsid w:val="002C47E6"/>
    <w:rsid w:val="002C55F7"/>
    <w:rsid w:val="002C5D41"/>
    <w:rsid w:val="002C6D14"/>
    <w:rsid w:val="002D1157"/>
    <w:rsid w:val="002D29C5"/>
    <w:rsid w:val="002D45E8"/>
    <w:rsid w:val="002E390D"/>
    <w:rsid w:val="002E5CE4"/>
    <w:rsid w:val="002F1516"/>
    <w:rsid w:val="002F2FD7"/>
    <w:rsid w:val="002F6436"/>
    <w:rsid w:val="0030014F"/>
    <w:rsid w:val="0030166A"/>
    <w:rsid w:val="0030206D"/>
    <w:rsid w:val="003158A1"/>
    <w:rsid w:val="003233FA"/>
    <w:rsid w:val="00324E4A"/>
    <w:rsid w:val="003252B8"/>
    <w:rsid w:val="00333662"/>
    <w:rsid w:val="00334BAD"/>
    <w:rsid w:val="003351A9"/>
    <w:rsid w:val="00336586"/>
    <w:rsid w:val="003402D7"/>
    <w:rsid w:val="0034201C"/>
    <w:rsid w:val="00343189"/>
    <w:rsid w:val="0034464C"/>
    <w:rsid w:val="003465BC"/>
    <w:rsid w:val="003471B4"/>
    <w:rsid w:val="00354B3D"/>
    <w:rsid w:val="00356C0F"/>
    <w:rsid w:val="003639B7"/>
    <w:rsid w:val="003674B7"/>
    <w:rsid w:val="00371285"/>
    <w:rsid w:val="0037150E"/>
    <w:rsid w:val="00372F40"/>
    <w:rsid w:val="00380851"/>
    <w:rsid w:val="003853D3"/>
    <w:rsid w:val="00386103"/>
    <w:rsid w:val="00396B1A"/>
    <w:rsid w:val="00396C2B"/>
    <w:rsid w:val="003A0303"/>
    <w:rsid w:val="003B1216"/>
    <w:rsid w:val="003D0B80"/>
    <w:rsid w:val="003D3248"/>
    <w:rsid w:val="003D5DBF"/>
    <w:rsid w:val="003D7D5D"/>
    <w:rsid w:val="003E0A27"/>
    <w:rsid w:val="003E0E09"/>
    <w:rsid w:val="003E7FD0"/>
    <w:rsid w:val="003F0EA4"/>
    <w:rsid w:val="003F53A3"/>
    <w:rsid w:val="003F6666"/>
    <w:rsid w:val="003F6EBE"/>
    <w:rsid w:val="00401291"/>
    <w:rsid w:val="00402328"/>
    <w:rsid w:val="00404B94"/>
    <w:rsid w:val="00407221"/>
    <w:rsid w:val="00417047"/>
    <w:rsid w:val="00420EFF"/>
    <w:rsid w:val="00424A91"/>
    <w:rsid w:val="004311BE"/>
    <w:rsid w:val="0043166A"/>
    <w:rsid w:val="004349FC"/>
    <w:rsid w:val="004372F6"/>
    <w:rsid w:val="0044253C"/>
    <w:rsid w:val="00442890"/>
    <w:rsid w:val="0044414E"/>
    <w:rsid w:val="00444333"/>
    <w:rsid w:val="00451107"/>
    <w:rsid w:val="004618CF"/>
    <w:rsid w:val="004631BD"/>
    <w:rsid w:val="0047014A"/>
    <w:rsid w:val="004714CF"/>
    <w:rsid w:val="0047439F"/>
    <w:rsid w:val="00474CC0"/>
    <w:rsid w:val="00475136"/>
    <w:rsid w:val="004769CF"/>
    <w:rsid w:val="00480209"/>
    <w:rsid w:val="00484C0D"/>
    <w:rsid w:val="00495566"/>
    <w:rsid w:val="00497D8B"/>
    <w:rsid w:val="004A2FBE"/>
    <w:rsid w:val="004A3495"/>
    <w:rsid w:val="004A6866"/>
    <w:rsid w:val="004B0A5D"/>
    <w:rsid w:val="004B6FBF"/>
    <w:rsid w:val="004C3407"/>
    <w:rsid w:val="004C6F54"/>
    <w:rsid w:val="004D41B8"/>
    <w:rsid w:val="004E0576"/>
    <w:rsid w:val="004E25F5"/>
    <w:rsid w:val="004E5022"/>
    <w:rsid w:val="004F1DDC"/>
    <w:rsid w:val="004F5641"/>
    <w:rsid w:val="00503782"/>
    <w:rsid w:val="00504A40"/>
    <w:rsid w:val="00514D99"/>
    <w:rsid w:val="00516DD4"/>
    <w:rsid w:val="00517BCF"/>
    <w:rsid w:val="00520523"/>
    <w:rsid w:val="00522632"/>
    <w:rsid w:val="00522EF3"/>
    <w:rsid w:val="00526B8D"/>
    <w:rsid w:val="00540418"/>
    <w:rsid w:val="00540B56"/>
    <w:rsid w:val="005500B8"/>
    <w:rsid w:val="00551984"/>
    <w:rsid w:val="00560BC6"/>
    <w:rsid w:val="00574266"/>
    <w:rsid w:val="00584BE2"/>
    <w:rsid w:val="00590487"/>
    <w:rsid w:val="005917DB"/>
    <w:rsid w:val="00592ACD"/>
    <w:rsid w:val="00597BFC"/>
    <w:rsid w:val="005A38C0"/>
    <w:rsid w:val="005B7795"/>
    <w:rsid w:val="005D0EFB"/>
    <w:rsid w:val="005D2D96"/>
    <w:rsid w:val="005D3D25"/>
    <w:rsid w:val="005D6E49"/>
    <w:rsid w:val="005E610B"/>
    <w:rsid w:val="006001E4"/>
    <w:rsid w:val="00600EA2"/>
    <w:rsid w:val="0061168A"/>
    <w:rsid w:val="006132A9"/>
    <w:rsid w:val="0061351A"/>
    <w:rsid w:val="00617C0A"/>
    <w:rsid w:val="0063083E"/>
    <w:rsid w:val="00646EC2"/>
    <w:rsid w:val="00656B35"/>
    <w:rsid w:val="0066586D"/>
    <w:rsid w:val="00672941"/>
    <w:rsid w:val="00673D61"/>
    <w:rsid w:val="00681BCD"/>
    <w:rsid w:val="006923B8"/>
    <w:rsid w:val="006A24A4"/>
    <w:rsid w:val="006A6C6E"/>
    <w:rsid w:val="006B0BC9"/>
    <w:rsid w:val="006B1FE7"/>
    <w:rsid w:val="006B2928"/>
    <w:rsid w:val="006B7975"/>
    <w:rsid w:val="006C2B86"/>
    <w:rsid w:val="006C51F4"/>
    <w:rsid w:val="006D1C8D"/>
    <w:rsid w:val="006D28BE"/>
    <w:rsid w:val="006D428F"/>
    <w:rsid w:val="006E6104"/>
    <w:rsid w:val="006E77DD"/>
    <w:rsid w:val="006F3247"/>
    <w:rsid w:val="006F324F"/>
    <w:rsid w:val="0071301F"/>
    <w:rsid w:val="00725078"/>
    <w:rsid w:val="007278DC"/>
    <w:rsid w:val="0073019F"/>
    <w:rsid w:val="00735DE2"/>
    <w:rsid w:val="0074627B"/>
    <w:rsid w:val="0075465B"/>
    <w:rsid w:val="007578DC"/>
    <w:rsid w:val="007734AF"/>
    <w:rsid w:val="00773EC7"/>
    <w:rsid w:val="00775BB3"/>
    <w:rsid w:val="00783986"/>
    <w:rsid w:val="0079582C"/>
    <w:rsid w:val="007A2DE2"/>
    <w:rsid w:val="007A4336"/>
    <w:rsid w:val="007B074B"/>
    <w:rsid w:val="007B788D"/>
    <w:rsid w:val="007D1472"/>
    <w:rsid w:val="007D6E9A"/>
    <w:rsid w:val="007E4148"/>
    <w:rsid w:val="007F1C1D"/>
    <w:rsid w:val="007F30E5"/>
    <w:rsid w:val="00800EAD"/>
    <w:rsid w:val="00804CE2"/>
    <w:rsid w:val="0080763E"/>
    <w:rsid w:val="00810568"/>
    <w:rsid w:val="00811DAC"/>
    <w:rsid w:val="0081717C"/>
    <w:rsid w:val="0082294D"/>
    <w:rsid w:val="00822DAF"/>
    <w:rsid w:val="00822F6A"/>
    <w:rsid w:val="0082316B"/>
    <w:rsid w:val="00823546"/>
    <w:rsid w:val="00825E5E"/>
    <w:rsid w:val="0082695B"/>
    <w:rsid w:val="00837B8E"/>
    <w:rsid w:val="00847F9B"/>
    <w:rsid w:val="00851B03"/>
    <w:rsid w:val="0086057B"/>
    <w:rsid w:val="00871A83"/>
    <w:rsid w:val="0088529A"/>
    <w:rsid w:val="0089054E"/>
    <w:rsid w:val="0089293E"/>
    <w:rsid w:val="00895A28"/>
    <w:rsid w:val="008A6E4D"/>
    <w:rsid w:val="008A793D"/>
    <w:rsid w:val="008B0017"/>
    <w:rsid w:val="008B6958"/>
    <w:rsid w:val="008C50A0"/>
    <w:rsid w:val="008C7B9B"/>
    <w:rsid w:val="008D5DC6"/>
    <w:rsid w:val="008D7BC4"/>
    <w:rsid w:val="008D7ED1"/>
    <w:rsid w:val="008E2D1D"/>
    <w:rsid w:val="008E3652"/>
    <w:rsid w:val="008E56BF"/>
    <w:rsid w:val="008E7C84"/>
    <w:rsid w:val="008F2C39"/>
    <w:rsid w:val="008F6D58"/>
    <w:rsid w:val="008F7CBA"/>
    <w:rsid w:val="00900B27"/>
    <w:rsid w:val="00911C20"/>
    <w:rsid w:val="00913E62"/>
    <w:rsid w:val="00932857"/>
    <w:rsid w:val="0093492C"/>
    <w:rsid w:val="00944F17"/>
    <w:rsid w:val="0094566D"/>
    <w:rsid w:val="0095594B"/>
    <w:rsid w:val="00957043"/>
    <w:rsid w:val="009734CE"/>
    <w:rsid w:val="0097445F"/>
    <w:rsid w:val="009A1EA8"/>
    <w:rsid w:val="009C76A7"/>
    <w:rsid w:val="009D5D4C"/>
    <w:rsid w:val="009E3806"/>
    <w:rsid w:val="009E426C"/>
    <w:rsid w:val="009E47BB"/>
    <w:rsid w:val="009F23C4"/>
    <w:rsid w:val="009F72AC"/>
    <w:rsid w:val="00A06211"/>
    <w:rsid w:val="00A14498"/>
    <w:rsid w:val="00A15F69"/>
    <w:rsid w:val="00A17E51"/>
    <w:rsid w:val="00A25ED8"/>
    <w:rsid w:val="00A363B6"/>
    <w:rsid w:val="00A40553"/>
    <w:rsid w:val="00A44572"/>
    <w:rsid w:val="00A45843"/>
    <w:rsid w:val="00A46BF5"/>
    <w:rsid w:val="00A57846"/>
    <w:rsid w:val="00A643F5"/>
    <w:rsid w:val="00A668D1"/>
    <w:rsid w:val="00A672EB"/>
    <w:rsid w:val="00A70B18"/>
    <w:rsid w:val="00A71541"/>
    <w:rsid w:val="00A7654A"/>
    <w:rsid w:val="00A8076B"/>
    <w:rsid w:val="00A80790"/>
    <w:rsid w:val="00A86A37"/>
    <w:rsid w:val="00A92A1C"/>
    <w:rsid w:val="00AA17E4"/>
    <w:rsid w:val="00AA63D3"/>
    <w:rsid w:val="00AA7673"/>
    <w:rsid w:val="00AA79FA"/>
    <w:rsid w:val="00AB3630"/>
    <w:rsid w:val="00AB48D8"/>
    <w:rsid w:val="00AB4BEC"/>
    <w:rsid w:val="00AC5811"/>
    <w:rsid w:val="00AE6070"/>
    <w:rsid w:val="00AE7987"/>
    <w:rsid w:val="00AF2F54"/>
    <w:rsid w:val="00AF35AC"/>
    <w:rsid w:val="00AF61E9"/>
    <w:rsid w:val="00AF6A66"/>
    <w:rsid w:val="00AF7008"/>
    <w:rsid w:val="00B143AB"/>
    <w:rsid w:val="00B146E2"/>
    <w:rsid w:val="00B33A56"/>
    <w:rsid w:val="00B40B4A"/>
    <w:rsid w:val="00B4710C"/>
    <w:rsid w:val="00B5438D"/>
    <w:rsid w:val="00B64EE2"/>
    <w:rsid w:val="00B71A14"/>
    <w:rsid w:val="00B75763"/>
    <w:rsid w:val="00B82C20"/>
    <w:rsid w:val="00B83224"/>
    <w:rsid w:val="00B849EE"/>
    <w:rsid w:val="00B84D02"/>
    <w:rsid w:val="00B952AB"/>
    <w:rsid w:val="00BA2940"/>
    <w:rsid w:val="00BB081E"/>
    <w:rsid w:val="00BB0954"/>
    <w:rsid w:val="00BC107C"/>
    <w:rsid w:val="00BC617A"/>
    <w:rsid w:val="00BC78FC"/>
    <w:rsid w:val="00BD18FE"/>
    <w:rsid w:val="00BD3EBE"/>
    <w:rsid w:val="00BD5769"/>
    <w:rsid w:val="00BE02D4"/>
    <w:rsid w:val="00BE05ED"/>
    <w:rsid w:val="00BE0605"/>
    <w:rsid w:val="00BE3400"/>
    <w:rsid w:val="00BE370C"/>
    <w:rsid w:val="00BE626E"/>
    <w:rsid w:val="00C0715E"/>
    <w:rsid w:val="00C077DC"/>
    <w:rsid w:val="00C16E53"/>
    <w:rsid w:val="00C16FC2"/>
    <w:rsid w:val="00C20476"/>
    <w:rsid w:val="00C23ADB"/>
    <w:rsid w:val="00C31D7B"/>
    <w:rsid w:val="00C31D98"/>
    <w:rsid w:val="00C36B39"/>
    <w:rsid w:val="00C42A49"/>
    <w:rsid w:val="00C431B4"/>
    <w:rsid w:val="00C448D7"/>
    <w:rsid w:val="00C50E63"/>
    <w:rsid w:val="00C55CB4"/>
    <w:rsid w:val="00C56AC7"/>
    <w:rsid w:val="00C66B43"/>
    <w:rsid w:val="00C67AE2"/>
    <w:rsid w:val="00C715FD"/>
    <w:rsid w:val="00C725A5"/>
    <w:rsid w:val="00C72921"/>
    <w:rsid w:val="00C73DE1"/>
    <w:rsid w:val="00C76D92"/>
    <w:rsid w:val="00C844AE"/>
    <w:rsid w:val="00C86C59"/>
    <w:rsid w:val="00C90858"/>
    <w:rsid w:val="00C91C5A"/>
    <w:rsid w:val="00CA3D9A"/>
    <w:rsid w:val="00CA58C5"/>
    <w:rsid w:val="00CA724A"/>
    <w:rsid w:val="00CB4F8A"/>
    <w:rsid w:val="00CB5436"/>
    <w:rsid w:val="00CB5593"/>
    <w:rsid w:val="00CB5950"/>
    <w:rsid w:val="00CB7331"/>
    <w:rsid w:val="00CC30CA"/>
    <w:rsid w:val="00CC6B68"/>
    <w:rsid w:val="00CC7CAF"/>
    <w:rsid w:val="00CD5A8C"/>
    <w:rsid w:val="00CD6D9A"/>
    <w:rsid w:val="00CE32C9"/>
    <w:rsid w:val="00CE5E29"/>
    <w:rsid w:val="00CF0E4B"/>
    <w:rsid w:val="00CF6075"/>
    <w:rsid w:val="00D00E92"/>
    <w:rsid w:val="00D0165E"/>
    <w:rsid w:val="00D0500B"/>
    <w:rsid w:val="00D055EC"/>
    <w:rsid w:val="00D05CFC"/>
    <w:rsid w:val="00D1057C"/>
    <w:rsid w:val="00D141C1"/>
    <w:rsid w:val="00D17B14"/>
    <w:rsid w:val="00D231F2"/>
    <w:rsid w:val="00D25BD0"/>
    <w:rsid w:val="00D26A33"/>
    <w:rsid w:val="00D44728"/>
    <w:rsid w:val="00D50462"/>
    <w:rsid w:val="00D50470"/>
    <w:rsid w:val="00D50936"/>
    <w:rsid w:val="00D562FF"/>
    <w:rsid w:val="00D60927"/>
    <w:rsid w:val="00D60A46"/>
    <w:rsid w:val="00D63D81"/>
    <w:rsid w:val="00D64671"/>
    <w:rsid w:val="00D70277"/>
    <w:rsid w:val="00D74B27"/>
    <w:rsid w:val="00D75214"/>
    <w:rsid w:val="00D80AB5"/>
    <w:rsid w:val="00D81D96"/>
    <w:rsid w:val="00D876AA"/>
    <w:rsid w:val="00D91F64"/>
    <w:rsid w:val="00D922D4"/>
    <w:rsid w:val="00D92AA8"/>
    <w:rsid w:val="00D95D6C"/>
    <w:rsid w:val="00DA7EC3"/>
    <w:rsid w:val="00DB4603"/>
    <w:rsid w:val="00DB5B2F"/>
    <w:rsid w:val="00DC3EDE"/>
    <w:rsid w:val="00DC7F57"/>
    <w:rsid w:val="00DD23F9"/>
    <w:rsid w:val="00DE011E"/>
    <w:rsid w:val="00DE0AD4"/>
    <w:rsid w:val="00DE3AB8"/>
    <w:rsid w:val="00DE461A"/>
    <w:rsid w:val="00DE54F2"/>
    <w:rsid w:val="00DF1FA1"/>
    <w:rsid w:val="00DF56C9"/>
    <w:rsid w:val="00E017FD"/>
    <w:rsid w:val="00E0380A"/>
    <w:rsid w:val="00E04FCA"/>
    <w:rsid w:val="00E071BE"/>
    <w:rsid w:val="00E12B9D"/>
    <w:rsid w:val="00E12BCF"/>
    <w:rsid w:val="00E170A8"/>
    <w:rsid w:val="00E22AD9"/>
    <w:rsid w:val="00E30318"/>
    <w:rsid w:val="00E31950"/>
    <w:rsid w:val="00E32708"/>
    <w:rsid w:val="00E50454"/>
    <w:rsid w:val="00E72FD1"/>
    <w:rsid w:val="00E7783D"/>
    <w:rsid w:val="00E81472"/>
    <w:rsid w:val="00E83AE6"/>
    <w:rsid w:val="00E866CE"/>
    <w:rsid w:val="00E93AED"/>
    <w:rsid w:val="00E948EF"/>
    <w:rsid w:val="00E9544C"/>
    <w:rsid w:val="00EA5418"/>
    <w:rsid w:val="00EB2405"/>
    <w:rsid w:val="00EC11C5"/>
    <w:rsid w:val="00EC51F1"/>
    <w:rsid w:val="00EC6D85"/>
    <w:rsid w:val="00ED7254"/>
    <w:rsid w:val="00EE2409"/>
    <w:rsid w:val="00EE2832"/>
    <w:rsid w:val="00EE46FB"/>
    <w:rsid w:val="00EE5401"/>
    <w:rsid w:val="00EF43D3"/>
    <w:rsid w:val="00EF5CE7"/>
    <w:rsid w:val="00F021A4"/>
    <w:rsid w:val="00F05082"/>
    <w:rsid w:val="00F1413B"/>
    <w:rsid w:val="00F1495B"/>
    <w:rsid w:val="00F17C0D"/>
    <w:rsid w:val="00F346D7"/>
    <w:rsid w:val="00F3620F"/>
    <w:rsid w:val="00F3632C"/>
    <w:rsid w:val="00F4166C"/>
    <w:rsid w:val="00F54692"/>
    <w:rsid w:val="00F6255B"/>
    <w:rsid w:val="00F65E69"/>
    <w:rsid w:val="00F65F90"/>
    <w:rsid w:val="00F71732"/>
    <w:rsid w:val="00F755D0"/>
    <w:rsid w:val="00F755EF"/>
    <w:rsid w:val="00F764FC"/>
    <w:rsid w:val="00F9680C"/>
    <w:rsid w:val="00FA004F"/>
    <w:rsid w:val="00FA127E"/>
    <w:rsid w:val="00FA5560"/>
    <w:rsid w:val="00FA6E02"/>
    <w:rsid w:val="00FB1010"/>
    <w:rsid w:val="00FB424B"/>
    <w:rsid w:val="00FC392C"/>
    <w:rsid w:val="00FC3DE2"/>
    <w:rsid w:val="00FD07FD"/>
    <w:rsid w:val="00FD179C"/>
    <w:rsid w:val="00FD445F"/>
    <w:rsid w:val="00FD584B"/>
    <w:rsid w:val="00FD5A63"/>
    <w:rsid w:val="00FE05F2"/>
    <w:rsid w:val="00FE0E86"/>
    <w:rsid w:val="00FE156C"/>
    <w:rsid w:val="00FE21E4"/>
    <w:rsid w:val="00FE2871"/>
    <w:rsid w:val="00FE5A59"/>
    <w:rsid w:val="00FF4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rules v:ext="edit">
        <o:r id="V:Rule9" type="connector" idref="#AutoShape 30"/>
        <o:r id="V:Rule10" type="connector" idref="#_x0000_s1085"/>
        <o:r id="V:Rule11" type="connector" idref="#_x0000_s1051"/>
        <o:r id="V:Rule12" type="connector" idref="#AutoShape 28"/>
        <o:r id="V:Rule13" type="connector" idref="#_x0000_s1050"/>
        <o:r id="V:Rule14" type="connector" idref="#_x0000_s1084"/>
        <o:r id="V:Rule15" type="connector" idref="#_x0000_s1082"/>
        <o:r id="V:Rule16" type="connector" idref="#_x0000_s10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 w:type="table" w:styleId="Tablaconcuadrcula">
    <w:name w:val="Table Grid"/>
    <w:basedOn w:val="Tablanormal"/>
    <w:uiPriority w:val="59"/>
    <w:rsid w:val="00A66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Hoja_de_c_lculo_de_Microsoft_Excel5.xlsx"/><Relationship Id="rId26" Type="http://schemas.openxmlformats.org/officeDocument/2006/relationships/package" Target="embeddings/Hoja_de_c_lculo_de_Microsoft_Excel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Hoja_de_c_lculo_de_Microsoft_Excel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Hoja_de_c_lculo_de_Microsoft_Excel4.xlsx"/><Relationship Id="rId20" Type="http://schemas.openxmlformats.org/officeDocument/2006/relationships/package" Target="embeddings/Hoja_de_c_lculo_de_Microsoft_Excel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Hoja_de_c_lculo_de_Microsoft_Excel8.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Hoja_de_c_lculo_de_Microsoft_Excel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Hoja_de_c_lculo_de_Microsoft_Excel3.xlsx"/><Relationship Id="rId22" Type="http://schemas.openxmlformats.org/officeDocument/2006/relationships/package" Target="embeddings/Hoja_de_c_lculo_de_Microsoft_Excel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6ACC6-D109-4CFE-8B94-33A2C9EE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21</Pages>
  <Words>2478</Words>
  <Characters>13635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HP-260-2</cp:lastModifiedBy>
  <cp:revision>311</cp:revision>
  <cp:lastPrinted>2017-07-13T18:31:00Z</cp:lastPrinted>
  <dcterms:created xsi:type="dcterms:W3CDTF">2014-08-29T13:13:00Z</dcterms:created>
  <dcterms:modified xsi:type="dcterms:W3CDTF">2017-07-13T18:32:00Z</dcterms:modified>
</cp:coreProperties>
</file>