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18" w:rsidRDefault="00BB4DDD" w:rsidP="00372F40">
      <w:pPr>
        <w:jc w:val="center"/>
        <w:rPr>
          <w:rFonts w:ascii="Soberana Sans Light" w:hAnsi="Soberana Sans Light"/>
        </w:rPr>
      </w:pPr>
      <w:r>
        <w:rPr>
          <w:rFonts w:ascii="Soberana Sans Light" w:hAnsi="Soberana Sans Light"/>
        </w:rPr>
        <w:t xml:space="preserve"> </w:t>
      </w:r>
    </w:p>
    <w:p w:rsidR="001F79E5" w:rsidRDefault="001F79E5" w:rsidP="00372F40">
      <w:pPr>
        <w:jc w:val="center"/>
        <w:rPr>
          <w:rFonts w:ascii="Soberana Sans Light" w:hAnsi="Soberana Sans Light"/>
        </w:rPr>
      </w:pPr>
    </w:p>
    <w:p w:rsidR="001F79E5" w:rsidRDefault="001F79E5" w:rsidP="00372F40">
      <w:pPr>
        <w:jc w:val="center"/>
        <w:rPr>
          <w:rFonts w:ascii="Soberana Sans Light" w:hAnsi="Soberana Sans Light"/>
        </w:rPr>
      </w:pPr>
    </w:p>
    <w:p w:rsidR="001F79E5" w:rsidRDefault="001F79E5" w:rsidP="00372F40">
      <w:pPr>
        <w:jc w:val="center"/>
        <w:rPr>
          <w:rFonts w:ascii="Soberana Sans Light" w:hAnsi="Soberana Sans Light"/>
        </w:rPr>
      </w:pPr>
    </w:p>
    <w:p w:rsidR="001F79E5" w:rsidRDefault="001F79E5" w:rsidP="00372F40">
      <w:pPr>
        <w:jc w:val="center"/>
        <w:rPr>
          <w:rFonts w:ascii="Soberana Sans Light" w:hAnsi="Soberana Sans Light"/>
        </w:rPr>
      </w:pPr>
    </w:p>
    <w:p w:rsidR="001F79E5" w:rsidRDefault="001F79E5" w:rsidP="00372F40">
      <w:pPr>
        <w:jc w:val="center"/>
        <w:rPr>
          <w:rFonts w:ascii="Soberana Sans Light" w:hAnsi="Soberana Sans Light"/>
        </w:rPr>
      </w:pPr>
    </w:p>
    <w:p w:rsidR="001F79E5" w:rsidRPr="005117F4" w:rsidRDefault="001F79E5" w:rsidP="00372F40">
      <w:pPr>
        <w:jc w:val="center"/>
        <w:rPr>
          <w:rFonts w:ascii="Soberana Sans Light" w:hAnsi="Soberana Sans Light"/>
        </w:rPr>
      </w:pPr>
    </w:p>
    <w:p w:rsidR="005117F4" w:rsidRDefault="0089666C" w:rsidP="0044253C">
      <w:pPr>
        <w:jc w:val="center"/>
        <w:rPr>
          <w:rFonts w:ascii="Soberana Sans Light" w:hAnsi="Soberana Sans Light"/>
        </w:rPr>
      </w:pPr>
      <w:r>
        <w:rPr>
          <w:rFonts w:ascii="Soberana Sans Light" w:hAnsi="Soberana Sans Light"/>
        </w:rPr>
        <w:t xml:space="preserve">NOTA: </w:t>
      </w:r>
      <w:r w:rsidR="001F79E5">
        <w:rPr>
          <w:rFonts w:ascii="Soberana Sans Light" w:hAnsi="Soberana Sans Light"/>
        </w:rPr>
        <w:t>Por la extinción del Fideicomiso no se presentan saldos de bienes muebles</w:t>
      </w:r>
    </w:p>
    <w:p w:rsidR="001F79E5" w:rsidRDefault="001F79E5" w:rsidP="0044253C">
      <w:pPr>
        <w:jc w:val="center"/>
        <w:rPr>
          <w:rFonts w:ascii="Soberana Sans Light" w:hAnsi="Soberana Sans Light"/>
        </w:rPr>
      </w:pPr>
    </w:p>
    <w:p w:rsidR="001F79E5" w:rsidRDefault="001F79E5" w:rsidP="0044253C">
      <w:pPr>
        <w:jc w:val="center"/>
        <w:rPr>
          <w:rFonts w:ascii="Soberana Sans Light" w:hAnsi="Soberana Sans Light"/>
        </w:rPr>
      </w:pPr>
    </w:p>
    <w:p w:rsidR="001F79E5" w:rsidRDefault="001F79E5" w:rsidP="0044253C">
      <w:pPr>
        <w:jc w:val="center"/>
        <w:rPr>
          <w:rFonts w:ascii="Soberana Sans Light" w:hAnsi="Soberana Sans Light"/>
        </w:rPr>
      </w:pPr>
    </w:p>
    <w:p w:rsidR="001F79E5" w:rsidRDefault="001F79E5" w:rsidP="0044253C">
      <w:pPr>
        <w:jc w:val="center"/>
        <w:rPr>
          <w:rFonts w:ascii="Soberana Sans Light" w:hAnsi="Soberana Sans Light"/>
        </w:rPr>
      </w:pPr>
    </w:p>
    <w:p w:rsidR="001F79E5" w:rsidRDefault="001F79E5" w:rsidP="0044253C">
      <w:pPr>
        <w:jc w:val="center"/>
        <w:rPr>
          <w:rFonts w:ascii="Soberana Sans Light" w:hAnsi="Soberana Sans Light"/>
        </w:rPr>
      </w:pPr>
    </w:p>
    <w:p w:rsidR="001F79E5" w:rsidRDefault="001F79E5" w:rsidP="0044253C">
      <w:pPr>
        <w:jc w:val="center"/>
        <w:rPr>
          <w:rFonts w:ascii="Soberana Sans Light" w:hAnsi="Soberana Sans Light"/>
        </w:rPr>
      </w:pPr>
    </w:p>
    <w:p w:rsidR="001F79E5" w:rsidRDefault="001F79E5" w:rsidP="0044253C">
      <w:pPr>
        <w:jc w:val="center"/>
        <w:rPr>
          <w:rFonts w:ascii="Soberana Sans Light" w:hAnsi="Soberana Sans Light"/>
        </w:rPr>
      </w:pPr>
    </w:p>
    <w:p w:rsidR="001F79E5" w:rsidRDefault="001F79E5" w:rsidP="0044253C">
      <w:pPr>
        <w:jc w:val="center"/>
        <w:rPr>
          <w:rFonts w:ascii="Soberana Sans Light" w:hAnsi="Soberana Sans Light"/>
        </w:rPr>
      </w:pPr>
    </w:p>
    <w:p w:rsidR="001F79E5" w:rsidRDefault="001F79E5" w:rsidP="0044253C">
      <w:pPr>
        <w:jc w:val="center"/>
        <w:rPr>
          <w:rFonts w:ascii="Soberana Sans Light" w:hAnsi="Soberana Sans Light"/>
        </w:rPr>
      </w:pPr>
    </w:p>
    <w:p w:rsidR="001F79E5" w:rsidRDefault="001F79E5" w:rsidP="0044253C">
      <w:pPr>
        <w:jc w:val="center"/>
        <w:rPr>
          <w:rFonts w:ascii="Soberana Sans Light" w:hAnsi="Soberana Sans Light"/>
        </w:rPr>
      </w:pPr>
    </w:p>
    <w:p w:rsidR="001F79E5" w:rsidRDefault="001F79E5" w:rsidP="0044253C">
      <w:pPr>
        <w:jc w:val="center"/>
        <w:rPr>
          <w:rFonts w:ascii="Soberana Sans Light" w:hAnsi="Soberana Sans Light"/>
        </w:rPr>
      </w:pPr>
    </w:p>
    <w:bookmarkStart w:id="0" w:name="_MON_1470839431"/>
    <w:bookmarkEnd w:id="0"/>
    <w:p w:rsidR="00AB13B7" w:rsidRDefault="00F72BAF" w:rsidP="0044253C">
      <w:pPr>
        <w:jc w:val="center"/>
        <w:rPr>
          <w:rFonts w:ascii="Soberana Sans Light" w:hAnsi="Soberana Sans Light"/>
        </w:rPr>
      </w:pPr>
      <w:r w:rsidRPr="000E1225">
        <w:rPr>
          <w:rFonts w:ascii="Soberana Sans Light" w:hAnsi="Soberana Sans Light"/>
        </w:rPr>
        <w:object w:dxaOrig="17659" w:dyaOrig="10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7pt;height:405.5pt" o:ole="">
            <v:imagedata r:id="rId8" o:title=""/>
          </v:shape>
          <o:OLEObject Type="Embed" ProgID="Excel.Sheet.12" ShapeID="_x0000_i1025" DrawAspect="Content" ObjectID="_1560783974" r:id="rId9"/>
        </w:object>
      </w:r>
    </w:p>
    <w:p w:rsidR="003974FC" w:rsidRDefault="003974FC" w:rsidP="0044253C">
      <w:pPr>
        <w:jc w:val="center"/>
        <w:rPr>
          <w:rFonts w:ascii="Soberana Sans Light" w:hAnsi="Soberana Sans Light"/>
        </w:rPr>
      </w:pPr>
    </w:p>
    <w:p w:rsidR="00346C2C" w:rsidRDefault="00346C2C" w:rsidP="0044253C">
      <w:pPr>
        <w:jc w:val="center"/>
      </w:pPr>
    </w:p>
    <w:p w:rsidR="003974FC" w:rsidRDefault="004520FC" w:rsidP="00CA2D37">
      <w:pPr>
        <w:jc w:val="center"/>
        <w:rPr>
          <w:rFonts w:ascii="Soberana Sans Light" w:hAnsi="Soberana Sans Light"/>
        </w:rPr>
      </w:pPr>
      <w:r>
        <w:rPr>
          <w:rFonts w:ascii="Soberana Sans Light" w:hAnsi="Soberana Sans Light"/>
          <w:noProof/>
          <w:lang w:eastAsia="es-MX"/>
        </w:rPr>
        <w:lastRenderedPageBreak/>
        <w:pict>
          <v:shape id="_x0000_s1029" type="#_x0000_t75" style="position:absolute;left:0;text-align:left;margin-left:103.4pt;margin-top:5.1pt;width:409.45pt;height:205.05pt;z-index:251658240">
            <v:imagedata r:id="rId10" o:title=""/>
            <w10:wrap type="square" side="left"/>
          </v:shape>
          <o:OLEObject Type="Embed" ProgID="Excel.Sheet.12" ShapeID="_x0000_s1029" DrawAspect="Content" ObjectID="_1560783975" r:id="rId11"/>
        </w:pict>
      </w: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372F40" w:rsidRPr="008433C2" w:rsidRDefault="00CA2D37" w:rsidP="00CA2D37">
      <w:pPr>
        <w:jc w:val="center"/>
        <w:rPr>
          <w:rFonts w:ascii="Arial" w:hAnsi="Arial" w:cs="Arial"/>
        </w:rPr>
      </w:pPr>
      <w:r w:rsidRPr="008433C2">
        <w:rPr>
          <w:rFonts w:ascii="Arial" w:hAnsi="Arial" w:cs="Arial"/>
        </w:rPr>
        <w:t>Relación de esquemas bursátiles y de coberturas financieras</w:t>
      </w:r>
    </w:p>
    <w:p w:rsidR="00372F40" w:rsidRDefault="00372F40" w:rsidP="00CA2D37">
      <w:pPr>
        <w:tabs>
          <w:tab w:val="left" w:pos="2430"/>
        </w:tabs>
        <w:jc w:val="center"/>
        <w:rPr>
          <w:rFonts w:ascii="Soberana Sans Light" w:hAnsi="Soberana Sans Light"/>
        </w:rPr>
      </w:pPr>
    </w:p>
    <w:p w:rsidR="00000FFC" w:rsidRDefault="00000FFC" w:rsidP="00CA2D37">
      <w:pPr>
        <w:tabs>
          <w:tab w:val="left" w:pos="2430"/>
        </w:tabs>
        <w:jc w:val="center"/>
        <w:rPr>
          <w:rFonts w:ascii="Soberana Sans Light" w:hAnsi="Soberana Sans Light"/>
        </w:rPr>
      </w:pPr>
    </w:p>
    <w:p w:rsidR="00000FFC" w:rsidRDefault="00F9226A" w:rsidP="00CA2D37">
      <w:pPr>
        <w:tabs>
          <w:tab w:val="left" w:pos="2430"/>
        </w:tabs>
        <w:jc w:val="center"/>
        <w:rPr>
          <w:rFonts w:ascii="Soberana Sans Light" w:hAnsi="Soberana Sans Light"/>
        </w:rPr>
      </w:pPr>
      <w:r>
        <w:rPr>
          <w:rFonts w:ascii="Soberana Sans Light" w:hAnsi="Soberana Sans Light"/>
        </w:rPr>
        <w:t>NO APLICA AL FIDEICOMISO</w:t>
      </w:r>
    </w:p>
    <w:p w:rsidR="00F9226A" w:rsidRDefault="00F9226A" w:rsidP="00CA2D37">
      <w:pPr>
        <w:tabs>
          <w:tab w:val="left" w:pos="2430"/>
        </w:tabs>
        <w:jc w:val="center"/>
        <w:rPr>
          <w:rFonts w:ascii="Soberana Sans Light" w:hAnsi="Soberana Sans Light"/>
        </w:rPr>
      </w:pPr>
    </w:p>
    <w:p w:rsidR="002138C0" w:rsidRPr="008433C2" w:rsidRDefault="002138C0" w:rsidP="00CA2D37">
      <w:pPr>
        <w:tabs>
          <w:tab w:val="left" w:pos="2430"/>
        </w:tabs>
        <w:jc w:val="center"/>
        <w:rPr>
          <w:rFonts w:ascii="Arial" w:hAnsi="Arial" w:cs="Arial"/>
        </w:rPr>
      </w:pPr>
      <w:r w:rsidRPr="008433C2">
        <w:rPr>
          <w:rFonts w:ascii="Arial" w:hAnsi="Arial" w:cs="Arial"/>
        </w:rPr>
        <w:t>El Fideicomiso no tiene relación de esquemas bursátiles y de coberturas financieras</w:t>
      </w:r>
    </w:p>
    <w:p w:rsidR="00E32708" w:rsidRDefault="00E32708" w:rsidP="00CA2D37">
      <w:pPr>
        <w:tabs>
          <w:tab w:val="left" w:pos="2430"/>
        </w:tabs>
        <w:jc w:val="center"/>
        <w:rPr>
          <w:rFonts w:ascii="Soberana Sans Light" w:hAnsi="Soberana Sans Light"/>
        </w:rPr>
      </w:pPr>
    </w:p>
    <w:p w:rsidR="00CA2D37" w:rsidRDefault="00CA2D37">
      <w:pPr>
        <w:rPr>
          <w:rFonts w:ascii="Soberana Sans Light" w:hAnsi="Soberana Sans Light"/>
        </w:rPr>
      </w:pPr>
      <w:r>
        <w:rPr>
          <w:rFonts w:ascii="Soberana Sans Light" w:hAnsi="Soberana Sans Light"/>
        </w:rPr>
        <w:br w:type="page"/>
      </w:r>
    </w:p>
    <w:p w:rsidR="003974FC" w:rsidRDefault="003974FC" w:rsidP="00CA2D37">
      <w:pPr>
        <w:tabs>
          <w:tab w:val="left" w:pos="2430"/>
        </w:tabs>
        <w:jc w:val="center"/>
        <w:rPr>
          <w:rFonts w:ascii="Soberana Sans Light" w:hAnsi="Soberana Sans Light"/>
        </w:rPr>
      </w:pPr>
    </w:p>
    <w:p w:rsidR="004C7AA9" w:rsidRDefault="004C7AA9" w:rsidP="00CA2D37">
      <w:pPr>
        <w:tabs>
          <w:tab w:val="left" w:pos="2430"/>
        </w:tabs>
        <w:jc w:val="center"/>
        <w:rPr>
          <w:rFonts w:ascii="Soberana Sans Light" w:hAnsi="Soberana Sans Light"/>
        </w:rPr>
      </w:pPr>
    </w:p>
    <w:p w:rsidR="004C7AA9" w:rsidRDefault="004C7AA9" w:rsidP="00CA2D37">
      <w:pPr>
        <w:tabs>
          <w:tab w:val="left" w:pos="2430"/>
        </w:tabs>
        <w:jc w:val="center"/>
        <w:rPr>
          <w:rFonts w:ascii="Soberana Sans Light" w:hAnsi="Soberana Sans Light"/>
        </w:rPr>
      </w:pPr>
    </w:p>
    <w:p w:rsidR="004C7AA9" w:rsidRDefault="004C7AA9" w:rsidP="00CA2D37">
      <w:pPr>
        <w:tabs>
          <w:tab w:val="left" w:pos="2430"/>
        </w:tabs>
        <w:jc w:val="center"/>
        <w:rPr>
          <w:rFonts w:ascii="Soberana Sans Light" w:hAnsi="Soberana Sans Light"/>
        </w:rPr>
      </w:pPr>
    </w:p>
    <w:p w:rsidR="00CA2D37" w:rsidRPr="008433C2" w:rsidRDefault="00CA2D37" w:rsidP="00CA2D37">
      <w:pPr>
        <w:tabs>
          <w:tab w:val="left" w:pos="2430"/>
        </w:tabs>
        <w:jc w:val="center"/>
        <w:rPr>
          <w:rFonts w:ascii="Arial" w:hAnsi="Arial" w:cs="Arial"/>
        </w:rPr>
      </w:pPr>
      <w:r w:rsidRPr="008433C2">
        <w:rPr>
          <w:rFonts w:ascii="Arial" w:hAnsi="Arial" w:cs="Arial"/>
        </w:rPr>
        <w:t>Información adicional que dispongan otras leyes</w:t>
      </w:r>
    </w:p>
    <w:p w:rsidR="00CA2D37" w:rsidRDefault="00CA2D37"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F9226A" w:rsidP="00CA2D37">
      <w:pPr>
        <w:tabs>
          <w:tab w:val="left" w:pos="2430"/>
        </w:tabs>
        <w:jc w:val="center"/>
        <w:rPr>
          <w:rFonts w:ascii="Soberana Sans Light" w:hAnsi="Soberana Sans Light"/>
        </w:rPr>
      </w:pPr>
      <w:r>
        <w:rPr>
          <w:rFonts w:ascii="Soberana Sans Light" w:hAnsi="Soberana Sans Light"/>
        </w:rPr>
        <w:t>NO APLICA AL FIDEICOMISO</w:t>
      </w:r>
    </w:p>
    <w:p w:rsidR="00000FFC" w:rsidRDefault="00000FFC" w:rsidP="00CA2D37">
      <w:pPr>
        <w:tabs>
          <w:tab w:val="left" w:pos="2430"/>
        </w:tabs>
        <w:jc w:val="center"/>
        <w:rPr>
          <w:rFonts w:ascii="Soberana Sans Light" w:hAnsi="Soberana Sans Light"/>
        </w:rPr>
      </w:pPr>
    </w:p>
    <w:p w:rsidR="002138C0" w:rsidRPr="008433C2" w:rsidRDefault="002138C0" w:rsidP="00CA2D37">
      <w:pPr>
        <w:tabs>
          <w:tab w:val="left" w:pos="2430"/>
        </w:tabs>
        <w:jc w:val="center"/>
        <w:rPr>
          <w:rFonts w:ascii="Arial" w:hAnsi="Arial" w:cs="Arial"/>
        </w:rPr>
      </w:pPr>
      <w:r w:rsidRPr="008433C2">
        <w:rPr>
          <w:rFonts w:ascii="Arial" w:hAnsi="Arial" w:cs="Arial"/>
        </w:rPr>
        <w:t>El Fideicomiso no tiene información adicional que dispongan otras leyes</w:t>
      </w:r>
      <w:r w:rsidR="008433C2">
        <w:rPr>
          <w:rFonts w:ascii="Arial" w:hAnsi="Arial" w:cs="Arial"/>
        </w:rPr>
        <w:t>, se rige por su decreto de creación</w:t>
      </w:r>
    </w:p>
    <w:p w:rsidR="002138C0" w:rsidRDefault="002138C0"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40335A" w:rsidRDefault="0040335A" w:rsidP="00CA2D37">
      <w:pPr>
        <w:tabs>
          <w:tab w:val="left" w:pos="2430"/>
        </w:tabs>
        <w:jc w:val="center"/>
        <w:rPr>
          <w:rFonts w:ascii="Soberana Sans Light" w:hAnsi="Soberana Sans Light"/>
        </w:rPr>
      </w:pPr>
    </w:p>
    <w:p w:rsidR="005B4CB3" w:rsidRDefault="005B4CB3" w:rsidP="00CA2D37">
      <w:pPr>
        <w:tabs>
          <w:tab w:val="left" w:pos="2430"/>
        </w:tabs>
        <w:jc w:val="center"/>
        <w:rPr>
          <w:rFonts w:ascii="Soberana Sans Light" w:hAnsi="Soberana Sans Light"/>
        </w:rPr>
      </w:pPr>
    </w:p>
    <w:p w:rsidR="005B4CB3" w:rsidRDefault="005B4CB3" w:rsidP="005B4CB3">
      <w:pPr>
        <w:jc w:val="center"/>
        <w:rPr>
          <w:rFonts w:ascii="Arial" w:hAnsi="Arial" w:cs="Arial"/>
          <w:sz w:val="18"/>
          <w:szCs w:val="18"/>
        </w:rPr>
      </w:pPr>
    </w:p>
    <w:p w:rsidR="005B4CB3" w:rsidRDefault="005B4CB3" w:rsidP="005B4CB3">
      <w:pPr>
        <w:jc w:val="center"/>
        <w:rPr>
          <w:rFonts w:ascii="Arial" w:hAnsi="Arial" w:cs="Arial"/>
          <w:sz w:val="18"/>
          <w:szCs w:val="18"/>
        </w:rPr>
      </w:pPr>
    </w:p>
    <w:p w:rsidR="005B4CB3" w:rsidRDefault="005B4CB3" w:rsidP="005B4CB3">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5B4CB3" w:rsidRDefault="005B4CB3" w:rsidP="005B4CB3">
      <w:pPr>
        <w:jc w:val="center"/>
        <w:rPr>
          <w:rFonts w:ascii="Arial" w:hAnsi="Arial" w:cs="Arial"/>
          <w:sz w:val="18"/>
          <w:szCs w:val="18"/>
        </w:rPr>
      </w:pPr>
    </w:p>
    <w:p w:rsidR="005B4CB3" w:rsidRDefault="005B4CB3" w:rsidP="005B4CB3">
      <w:pPr>
        <w:jc w:val="center"/>
        <w:rPr>
          <w:rFonts w:ascii="Arial" w:hAnsi="Arial" w:cs="Arial"/>
          <w:sz w:val="18"/>
          <w:szCs w:val="18"/>
        </w:rPr>
      </w:pPr>
    </w:p>
    <w:p w:rsidR="005B4CB3" w:rsidRDefault="005B4CB3" w:rsidP="005B4CB3">
      <w:pPr>
        <w:jc w:val="center"/>
        <w:rPr>
          <w:rFonts w:ascii="Arial" w:hAnsi="Arial" w:cs="Arial"/>
          <w:sz w:val="18"/>
          <w:szCs w:val="18"/>
        </w:rPr>
      </w:pPr>
    </w:p>
    <w:p w:rsidR="005B4CB3" w:rsidRDefault="004520FC" w:rsidP="005B4CB3">
      <w:pPr>
        <w:jc w:val="center"/>
      </w:pPr>
      <w:hyperlink r:id="rId12" w:history="1">
        <w:r w:rsidR="00503B28" w:rsidRPr="000E4C4C">
          <w:rPr>
            <w:rStyle w:val="Hipervnculo"/>
          </w:rPr>
          <w:t>http://www.fomtlax.gob.mx/transparencia/cuenta-publica-2014/armonizada</w:t>
        </w:r>
      </w:hyperlink>
    </w:p>
    <w:p w:rsidR="00503B28" w:rsidRPr="00D60C3C" w:rsidRDefault="00503B28" w:rsidP="005B4CB3">
      <w:pPr>
        <w:jc w:val="center"/>
        <w:rPr>
          <w:rFonts w:ascii="Arial" w:hAnsi="Arial" w:cs="Arial"/>
          <w:sz w:val="18"/>
          <w:szCs w:val="18"/>
        </w:rPr>
      </w:pPr>
    </w:p>
    <w:p w:rsidR="005B4CB3" w:rsidRDefault="005B4CB3" w:rsidP="00CA2D37">
      <w:pPr>
        <w:tabs>
          <w:tab w:val="left" w:pos="2430"/>
        </w:tabs>
        <w:jc w:val="center"/>
        <w:rPr>
          <w:rFonts w:ascii="Soberana Sans Light" w:hAnsi="Soberana Sans Light"/>
        </w:rPr>
      </w:pPr>
    </w:p>
    <w:sectPr w:rsidR="005B4CB3" w:rsidSect="008E3652">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AB4" w:rsidRDefault="009E4AB4" w:rsidP="00EA5418">
      <w:pPr>
        <w:spacing w:after="0" w:line="240" w:lineRule="auto"/>
      </w:pPr>
      <w:r>
        <w:separator/>
      </w:r>
    </w:p>
  </w:endnote>
  <w:endnote w:type="continuationSeparator" w:id="1">
    <w:p w:rsidR="009E4AB4" w:rsidRDefault="009E4AB4"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Pr="0013011C" w:rsidRDefault="004520FC"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32523" strokeweight="1.5pt"/>
      </w:pict>
    </w:r>
    <w:r w:rsidR="00BD569F">
      <w:rPr>
        <w:rFonts w:ascii="Soberana Sans Light" w:hAnsi="Soberana Sans Light"/>
      </w:rPr>
      <w:t>Anexos</w:t>
    </w:r>
    <w:r w:rsidR="00BD569F"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BD569F" w:rsidRPr="0013011C">
          <w:rPr>
            <w:rFonts w:ascii="Soberana Sans Light" w:hAnsi="Soberana Sans Light"/>
          </w:rPr>
          <w:instrText>PAGE   \* MERGEFORMAT</w:instrText>
        </w:r>
        <w:r w:rsidRPr="0013011C">
          <w:rPr>
            <w:rFonts w:ascii="Soberana Sans Light" w:hAnsi="Soberana Sans Light"/>
          </w:rPr>
          <w:fldChar w:fldCharType="separate"/>
        </w:r>
        <w:r w:rsidR="001F79E5" w:rsidRPr="001F79E5">
          <w:rPr>
            <w:rFonts w:ascii="Soberana Sans Light" w:hAnsi="Soberana Sans Light"/>
            <w:noProof/>
            <w:lang w:val="es-ES"/>
          </w:rPr>
          <w:t>2</w:t>
        </w:r>
        <w:r w:rsidRPr="0013011C">
          <w:rPr>
            <w:rFonts w:ascii="Soberana Sans Light" w:hAnsi="Soberana Sans Light"/>
          </w:rPr>
          <w:fldChar w:fldCharType="end"/>
        </w:r>
      </w:sdtContent>
    </w:sdt>
  </w:p>
  <w:p w:rsidR="00BD569F" w:rsidRDefault="00BD569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Pr="008E3652" w:rsidRDefault="004520FC"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32523" strokeweight="1.5pt"/>
      </w:pict>
    </w:r>
    <w:sdt>
      <w:sdtPr>
        <w:rPr>
          <w:rFonts w:ascii="Soberana Sans Light" w:hAnsi="Soberana Sans Light"/>
        </w:rPr>
        <w:id w:val="1247304906"/>
        <w:docPartObj>
          <w:docPartGallery w:val="Page Numbers (Bottom of Page)"/>
          <w:docPartUnique/>
        </w:docPartObj>
      </w:sdtPr>
      <w:sdtContent>
        <w:r w:rsidR="00BD569F">
          <w:rPr>
            <w:rFonts w:ascii="Soberana Sans Light" w:hAnsi="Soberana Sans Light"/>
          </w:rPr>
          <w:t>Anexos</w:t>
        </w:r>
        <w:r w:rsidR="00BD569F" w:rsidRPr="008E3652">
          <w:rPr>
            <w:rFonts w:ascii="Soberana Sans Light" w:hAnsi="Soberana Sans Light"/>
          </w:rPr>
          <w:t xml:space="preserve"> / </w:t>
        </w:r>
        <w:r w:rsidRPr="008E3652">
          <w:rPr>
            <w:rFonts w:ascii="Soberana Sans Light" w:hAnsi="Soberana Sans Light"/>
          </w:rPr>
          <w:fldChar w:fldCharType="begin"/>
        </w:r>
        <w:r w:rsidR="00BD569F" w:rsidRPr="008E3652">
          <w:rPr>
            <w:rFonts w:ascii="Soberana Sans Light" w:hAnsi="Soberana Sans Light"/>
          </w:rPr>
          <w:instrText>PAGE   \* MERGEFORMAT</w:instrText>
        </w:r>
        <w:r w:rsidRPr="008E3652">
          <w:rPr>
            <w:rFonts w:ascii="Soberana Sans Light" w:hAnsi="Soberana Sans Light"/>
          </w:rPr>
          <w:fldChar w:fldCharType="separate"/>
        </w:r>
        <w:r w:rsidR="001F79E5" w:rsidRPr="001F79E5">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AB4" w:rsidRDefault="009E4AB4" w:rsidP="00EA5418">
      <w:pPr>
        <w:spacing w:after="0" w:line="240" w:lineRule="auto"/>
      </w:pPr>
      <w:r>
        <w:separator/>
      </w:r>
    </w:p>
  </w:footnote>
  <w:footnote w:type="continuationSeparator" w:id="1">
    <w:p w:rsidR="009E4AB4" w:rsidRDefault="009E4AB4"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Default="004520FC">
    <w:pPr>
      <w:pStyle w:val="Encabezado"/>
    </w:pPr>
    <w:r>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BD569F" w:rsidRDefault="00BD569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D569F" w:rsidRDefault="00BD569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D569F" w:rsidRPr="00275FC6" w:rsidRDefault="00BD569F"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BD569F" w:rsidRDefault="00BD569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45407">
                      <w:rPr>
                        <w:rFonts w:ascii="Soberana Titular" w:hAnsi="Soberana Titular" w:cs="Arial"/>
                        <w:color w:val="808080" w:themeColor="background1" w:themeShade="80"/>
                        <w:sz w:val="42"/>
                        <w:szCs w:val="42"/>
                      </w:rPr>
                      <w:t>7</w:t>
                    </w:r>
                  </w:p>
                  <w:p w:rsidR="00BD569F" w:rsidRDefault="00BD569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D569F" w:rsidRPr="00275FC6" w:rsidRDefault="00BD569F" w:rsidP="00040466">
                    <w:pPr>
                      <w:jc w:val="both"/>
                      <w:rPr>
                        <w:rFonts w:ascii="Soberana Titular" w:hAnsi="Soberana Titular" w:cs="Arial"/>
                        <w:color w:val="808080" w:themeColor="background1" w:themeShade="80"/>
                        <w:sz w:val="42"/>
                        <w:szCs w:val="42"/>
                      </w:rPr>
                    </w:pPr>
                  </w:p>
                </w:txbxContent>
              </v:textbox>
            </v:shape>
          </v:group>
        </v:group>
      </w:pict>
    </w:r>
    <w:r w:rsidRPr="004520FC">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32523"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Pr="0013011C" w:rsidRDefault="004520FC"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632523" strokeweight="1.5pt"/>
      </w:pict>
    </w:r>
    <w:r w:rsidR="00BD569F">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evenAndOddHeaders/>
  <w:characterSpacingControl w:val="doNotCompress"/>
  <w:hdrShapeDefaults>
    <o:shapedefaults v:ext="edit" spidmax="66562">
      <o:colormru v:ext="edit" colors="#632523"/>
      <o:colormenu v:ext="edit" strokecolor="#632523"/>
    </o:shapedefaults>
    <o:shapelayout v:ext="edit">
      <o:idmap v:ext="edit" data="4"/>
    </o:shapelayout>
  </w:hdrShapeDefaults>
  <w:footnotePr>
    <w:footnote w:id="0"/>
    <w:footnote w:id="1"/>
  </w:footnotePr>
  <w:endnotePr>
    <w:endnote w:id="0"/>
    <w:endnote w:id="1"/>
  </w:endnotePr>
  <w:compat/>
  <w:rsids>
    <w:rsidRoot w:val="00EA5418"/>
    <w:rsid w:val="00000FFC"/>
    <w:rsid w:val="00013F45"/>
    <w:rsid w:val="00040466"/>
    <w:rsid w:val="00040531"/>
    <w:rsid w:val="000657AF"/>
    <w:rsid w:val="00083CF8"/>
    <w:rsid w:val="000A00E8"/>
    <w:rsid w:val="000A3316"/>
    <w:rsid w:val="000E1225"/>
    <w:rsid w:val="00105460"/>
    <w:rsid w:val="00111DE6"/>
    <w:rsid w:val="00126BCF"/>
    <w:rsid w:val="0013011C"/>
    <w:rsid w:val="001350E3"/>
    <w:rsid w:val="00141B1C"/>
    <w:rsid w:val="001772B3"/>
    <w:rsid w:val="00191774"/>
    <w:rsid w:val="001B1B72"/>
    <w:rsid w:val="001B2828"/>
    <w:rsid w:val="001C15CA"/>
    <w:rsid w:val="001F79E5"/>
    <w:rsid w:val="00206DF6"/>
    <w:rsid w:val="002116C1"/>
    <w:rsid w:val="002138C0"/>
    <w:rsid w:val="0022081B"/>
    <w:rsid w:val="00232417"/>
    <w:rsid w:val="00234E5A"/>
    <w:rsid w:val="00255AAD"/>
    <w:rsid w:val="002A70B3"/>
    <w:rsid w:val="00301939"/>
    <w:rsid w:val="00307635"/>
    <w:rsid w:val="00331867"/>
    <w:rsid w:val="00345360"/>
    <w:rsid w:val="00345407"/>
    <w:rsid w:val="00346C2C"/>
    <w:rsid w:val="00372F40"/>
    <w:rsid w:val="003974FC"/>
    <w:rsid w:val="003B0B8F"/>
    <w:rsid w:val="003C625E"/>
    <w:rsid w:val="003D5DBF"/>
    <w:rsid w:val="003E7FD0"/>
    <w:rsid w:val="003F0EA4"/>
    <w:rsid w:val="003F5C04"/>
    <w:rsid w:val="0040335A"/>
    <w:rsid w:val="00405F37"/>
    <w:rsid w:val="0044253C"/>
    <w:rsid w:val="004520FC"/>
    <w:rsid w:val="00486AE1"/>
    <w:rsid w:val="00497594"/>
    <w:rsid w:val="00497D8B"/>
    <w:rsid w:val="004C7AA9"/>
    <w:rsid w:val="004D41B8"/>
    <w:rsid w:val="004E2AFE"/>
    <w:rsid w:val="00502D8E"/>
    <w:rsid w:val="00503B28"/>
    <w:rsid w:val="005117F4"/>
    <w:rsid w:val="00522632"/>
    <w:rsid w:val="00531310"/>
    <w:rsid w:val="00534982"/>
    <w:rsid w:val="00540418"/>
    <w:rsid w:val="005504DF"/>
    <w:rsid w:val="0056759E"/>
    <w:rsid w:val="00571E8F"/>
    <w:rsid w:val="005859FA"/>
    <w:rsid w:val="005861E2"/>
    <w:rsid w:val="00592127"/>
    <w:rsid w:val="005B4CB3"/>
    <w:rsid w:val="005B7DAE"/>
    <w:rsid w:val="006048D2"/>
    <w:rsid w:val="006058F5"/>
    <w:rsid w:val="00611E39"/>
    <w:rsid w:val="006168E9"/>
    <w:rsid w:val="006A7388"/>
    <w:rsid w:val="006B7B8B"/>
    <w:rsid w:val="006C64B8"/>
    <w:rsid w:val="006E523C"/>
    <w:rsid w:val="006E77DD"/>
    <w:rsid w:val="007106F9"/>
    <w:rsid w:val="007667A5"/>
    <w:rsid w:val="00771BF3"/>
    <w:rsid w:val="007758A6"/>
    <w:rsid w:val="00781740"/>
    <w:rsid w:val="0079582C"/>
    <w:rsid w:val="007A1EA6"/>
    <w:rsid w:val="007C0AB2"/>
    <w:rsid w:val="007D6E9A"/>
    <w:rsid w:val="007E6939"/>
    <w:rsid w:val="007F4C4F"/>
    <w:rsid w:val="0083624B"/>
    <w:rsid w:val="008433C2"/>
    <w:rsid w:val="00873CE3"/>
    <w:rsid w:val="0088649A"/>
    <w:rsid w:val="0089666C"/>
    <w:rsid w:val="008A6E4D"/>
    <w:rsid w:val="008B0017"/>
    <w:rsid w:val="008B119D"/>
    <w:rsid w:val="008D41FC"/>
    <w:rsid w:val="008E3652"/>
    <w:rsid w:val="0090010E"/>
    <w:rsid w:val="00901502"/>
    <w:rsid w:val="0090483B"/>
    <w:rsid w:val="0092412E"/>
    <w:rsid w:val="00931E1C"/>
    <w:rsid w:val="00984B1B"/>
    <w:rsid w:val="009A1C4F"/>
    <w:rsid w:val="009E4AB4"/>
    <w:rsid w:val="009F5249"/>
    <w:rsid w:val="00A14B74"/>
    <w:rsid w:val="00A32F26"/>
    <w:rsid w:val="00A4259F"/>
    <w:rsid w:val="00A46726"/>
    <w:rsid w:val="00A50720"/>
    <w:rsid w:val="00A749E3"/>
    <w:rsid w:val="00AA6F83"/>
    <w:rsid w:val="00AB13B7"/>
    <w:rsid w:val="00AE148A"/>
    <w:rsid w:val="00AF2057"/>
    <w:rsid w:val="00B10A0D"/>
    <w:rsid w:val="00B20F13"/>
    <w:rsid w:val="00B32116"/>
    <w:rsid w:val="00B42954"/>
    <w:rsid w:val="00B849EE"/>
    <w:rsid w:val="00BA6033"/>
    <w:rsid w:val="00BB1DC1"/>
    <w:rsid w:val="00BB4DDD"/>
    <w:rsid w:val="00BB66E7"/>
    <w:rsid w:val="00BC0237"/>
    <w:rsid w:val="00BD569F"/>
    <w:rsid w:val="00BF72B7"/>
    <w:rsid w:val="00C31232"/>
    <w:rsid w:val="00C36F7A"/>
    <w:rsid w:val="00C50823"/>
    <w:rsid w:val="00C5111D"/>
    <w:rsid w:val="00C6205D"/>
    <w:rsid w:val="00C7638C"/>
    <w:rsid w:val="00CA2D37"/>
    <w:rsid w:val="00CC0439"/>
    <w:rsid w:val="00CC5CB6"/>
    <w:rsid w:val="00D055EC"/>
    <w:rsid w:val="00D137EA"/>
    <w:rsid w:val="00D15DBC"/>
    <w:rsid w:val="00D35D66"/>
    <w:rsid w:val="00D51261"/>
    <w:rsid w:val="00D5366D"/>
    <w:rsid w:val="00D748D3"/>
    <w:rsid w:val="00D966DF"/>
    <w:rsid w:val="00DB4F54"/>
    <w:rsid w:val="00DC2788"/>
    <w:rsid w:val="00E32708"/>
    <w:rsid w:val="00EA5418"/>
    <w:rsid w:val="00EB2653"/>
    <w:rsid w:val="00EB2ED2"/>
    <w:rsid w:val="00EB61E6"/>
    <w:rsid w:val="00EB62EE"/>
    <w:rsid w:val="00EC5378"/>
    <w:rsid w:val="00ED4583"/>
    <w:rsid w:val="00EE31EE"/>
    <w:rsid w:val="00EF53AD"/>
    <w:rsid w:val="00F04376"/>
    <w:rsid w:val="00F131C9"/>
    <w:rsid w:val="00F203EC"/>
    <w:rsid w:val="00F230D7"/>
    <w:rsid w:val="00F272E1"/>
    <w:rsid w:val="00F37730"/>
    <w:rsid w:val="00F37C58"/>
    <w:rsid w:val="00F63A1F"/>
    <w:rsid w:val="00F670A3"/>
    <w:rsid w:val="00F72BAF"/>
    <w:rsid w:val="00F74BA6"/>
    <w:rsid w:val="00F770EA"/>
    <w:rsid w:val="00F9063E"/>
    <w:rsid w:val="00F9226A"/>
    <w:rsid w:val="00F96944"/>
    <w:rsid w:val="00FA1B54"/>
    <w:rsid w:val="00FC55C0"/>
    <w:rsid w:val="00FD3974"/>
    <w:rsid w:val="00FE17D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6562">
      <o:colormru v:ext="edit" colors="#632523"/>
      <o:colormenu v:ext="edit" strokecolor="#63252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033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mtlax.gob.mx/transparencia/cuenta-publica-2014/armonizad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18A66-6E53-471A-BB37-0CEC6849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6</Pages>
  <Words>242</Words>
  <Characters>1332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Felix Nava Muñoz</cp:lastModifiedBy>
  <cp:revision>83</cp:revision>
  <cp:lastPrinted>2017-07-04T14:44:00Z</cp:lastPrinted>
  <dcterms:created xsi:type="dcterms:W3CDTF">2014-08-29T22:30:00Z</dcterms:created>
  <dcterms:modified xsi:type="dcterms:W3CDTF">2017-07-05T23:20:00Z</dcterms:modified>
</cp:coreProperties>
</file>