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E1" w:rsidRDefault="00486AE1" w:rsidP="005117F4">
      <w:bookmarkStart w:id="0" w:name="_GoBack"/>
      <w:bookmarkEnd w:id="0"/>
    </w:p>
    <w:p w:rsidR="00EA5418" w:rsidRDefault="00056042" w:rsidP="00372F40">
      <w:pPr>
        <w:jc w:val="center"/>
        <w:rPr>
          <w:rFonts w:ascii="Arial" w:hAnsi="Arial" w:cs="Arial"/>
          <w:sz w:val="18"/>
          <w:szCs w:val="18"/>
        </w:rPr>
      </w:pPr>
      <w:r w:rsidRPr="00196D0F">
        <w:rPr>
          <w:rFonts w:ascii="Arial" w:hAnsi="Arial" w:cs="Arial"/>
          <w:sz w:val="18"/>
          <w:szCs w:val="18"/>
        </w:rPr>
        <w:t>Introducción</w:t>
      </w:r>
    </w:p>
    <w:p w:rsidR="006D291A" w:rsidRPr="00196D0F" w:rsidRDefault="006D291A" w:rsidP="00372F40">
      <w:pPr>
        <w:jc w:val="center"/>
        <w:rPr>
          <w:rFonts w:ascii="Arial" w:hAnsi="Arial" w:cs="Arial"/>
          <w:sz w:val="18"/>
          <w:szCs w:val="18"/>
        </w:rPr>
      </w:pPr>
    </w:p>
    <w:p w:rsidR="00196D0F" w:rsidRDefault="00196D0F" w:rsidP="00196D0F">
      <w:pPr>
        <w:jc w:val="both"/>
        <w:rPr>
          <w:rFonts w:ascii="Arial" w:hAnsi="Arial" w:cs="Arial"/>
          <w:sz w:val="18"/>
          <w:szCs w:val="18"/>
        </w:rPr>
      </w:pPr>
      <w:r w:rsidRPr="00196D0F">
        <w:rPr>
          <w:rFonts w:ascii="Arial" w:hAnsi="Arial" w:cs="Arial"/>
          <w:sz w:val="18"/>
          <w:szCs w:val="18"/>
        </w:rPr>
        <w:t>El Fondo Macro para el Desarrollo Integral de Tlaxcala es el Organismo Público Descentralizado que tiene el objetivo de operar recursos financieros para fortalecer actividades productivas que fomenten el desarrollo económico y social de la Entidad.</w:t>
      </w:r>
      <w:r>
        <w:rPr>
          <w:rFonts w:ascii="Arial" w:hAnsi="Arial" w:cs="Arial"/>
          <w:sz w:val="18"/>
          <w:szCs w:val="18"/>
        </w:rPr>
        <w:t xml:space="preserve"> </w:t>
      </w:r>
    </w:p>
    <w:p w:rsidR="00897F46" w:rsidRPr="00196D0F" w:rsidRDefault="00897F46" w:rsidP="00196D0F">
      <w:pPr>
        <w:jc w:val="both"/>
        <w:rPr>
          <w:rFonts w:ascii="Arial" w:hAnsi="Arial" w:cs="Arial"/>
          <w:sz w:val="18"/>
          <w:szCs w:val="18"/>
        </w:rPr>
      </w:pPr>
      <w:r>
        <w:rPr>
          <w:rFonts w:ascii="Arial" w:hAnsi="Arial" w:cs="Arial"/>
          <w:sz w:val="18"/>
          <w:szCs w:val="18"/>
        </w:rPr>
        <w:t>El Fondo administra el Fideicomiso para el desarrollo integral de la mujer emprendedora “FIDIME”, Fideicomiso para la atención de los sectores marginados y el Fideicomiso para el desarrollo turístico de Tlaxcala “FIDETUR”.</w:t>
      </w:r>
    </w:p>
    <w:p w:rsidR="00196D0F" w:rsidRPr="00196D0F" w:rsidRDefault="00196D0F" w:rsidP="00196D0F">
      <w:pPr>
        <w:jc w:val="both"/>
        <w:rPr>
          <w:rFonts w:ascii="Arial" w:hAnsi="Arial" w:cs="Arial"/>
          <w:sz w:val="18"/>
          <w:szCs w:val="18"/>
        </w:rPr>
      </w:pPr>
      <w:r w:rsidRPr="00196D0F">
        <w:rPr>
          <w:rFonts w:ascii="Arial" w:hAnsi="Arial" w:cs="Arial"/>
          <w:sz w:val="18"/>
          <w:szCs w:val="18"/>
        </w:rPr>
        <w:t>Impulsar el crecimiento económico y generar fuentes de empleo necesarias para elevar el bienestar social es una política contenida en el Plan Estatal de Desarrollo 2011-2016, en la que se encuentra inmerso el FOMTLAX a través del Eje II. Económico, Desarrollo y Crecimiento Económico, por lo que a través del otorgamiento de créditos fomentamos el autoempleo y empleo en los diversos sectores económicos.</w:t>
      </w:r>
    </w:p>
    <w:p w:rsidR="00196D0F" w:rsidRPr="00196D0F" w:rsidRDefault="00196D0F" w:rsidP="00196D0F">
      <w:pPr>
        <w:jc w:val="both"/>
        <w:rPr>
          <w:rFonts w:ascii="Arial" w:hAnsi="Arial" w:cs="Arial"/>
          <w:sz w:val="18"/>
          <w:szCs w:val="18"/>
        </w:rPr>
      </w:pPr>
      <w:r w:rsidRPr="00196D0F">
        <w:rPr>
          <w:rFonts w:ascii="Arial" w:hAnsi="Arial" w:cs="Arial"/>
          <w:sz w:val="18"/>
          <w:szCs w:val="18"/>
        </w:rPr>
        <w:t xml:space="preserve">Dado el interés del Ejecutivo del Estado por acercar los programas gubernamentales a la población en general, en el presente año se intensificó la promoción de los créditos en los municipios del Estado y como una modalidad, se abrieron ventanillas de atención en sus mismas jurisdicciones, a través de las cuales se recibieron solicitudes de crédito, facilitando a los interesados el trámite de traslado a la Institución, disminuyendo costos y tiempo, con un tiempo de respuesta que no rebasó los 20 días. </w:t>
      </w:r>
    </w:p>
    <w:p w:rsidR="00196D0F" w:rsidRPr="00196D0F" w:rsidRDefault="00196D0F" w:rsidP="00196D0F">
      <w:pPr>
        <w:jc w:val="both"/>
        <w:rPr>
          <w:rFonts w:ascii="Arial" w:hAnsi="Arial" w:cs="Arial"/>
          <w:sz w:val="18"/>
          <w:szCs w:val="18"/>
        </w:rPr>
      </w:pPr>
      <w:r w:rsidRPr="00196D0F">
        <w:rPr>
          <w:rFonts w:ascii="Arial" w:hAnsi="Arial" w:cs="Arial"/>
          <w:sz w:val="18"/>
          <w:szCs w:val="18"/>
        </w:rPr>
        <w:t xml:space="preserve">En coordinación con el Instituto Tlaxcalteca de la Juventud se destinaron financiamientos a través de los Programas: </w:t>
      </w:r>
      <w:r w:rsidR="00076A56">
        <w:rPr>
          <w:rFonts w:ascii="Arial" w:hAnsi="Arial" w:cs="Arial"/>
          <w:sz w:val="18"/>
          <w:szCs w:val="18"/>
        </w:rPr>
        <w:t>“</w:t>
      </w:r>
      <w:r w:rsidRPr="00196D0F">
        <w:rPr>
          <w:rFonts w:ascii="Arial" w:hAnsi="Arial" w:cs="Arial"/>
          <w:sz w:val="18"/>
          <w:szCs w:val="18"/>
        </w:rPr>
        <w:t>Jóvenes Emprendedores Tlaxcaltecas</w:t>
      </w:r>
      <w:r w:rsidR="00076A56">
        <w:rPr>
          <w:rFonts w:ascii="Arial" w:hAnsi="Arial" w:cs="Arial"/>
          <w:sz w:val="18"/>
          <w:szCs w:val="18"/>
        </w:rPr>
        <w:t>”,</w:t>
      </w:r>
      <w:r w:rsidRPr="00196D0F">
        <w:rPr>
          <w:rFonts w:ascii="Arial" w:hAnsi="Arial" w:cs="Arial"/>
          <w:sz w:val="18"/>
          <w:szCs w:val="18"/>
        </w:rPr>
        <w:t xml:space="preserve"> </w:t>
      </w:r>
      <w:r w:rsidR="00076A56">
        <w:rPr>
          <w:rFonts w:ascii="Arial" w:hAnsi="Arial" w:cs="Arial"/>
          <w:sz w:val="18"/>
          <w:szCs w:val="18"/>
        </w:rPr>
        <w:t>“</w:t>
      </w:r>
      <w:r w:rsidRPr="00196D0F">
        <w:rPr>
          <w:rFonts w:ascii="Arial" w:hAnsi="Arial" w:cs="Arial"/>
          <w:sz w:val="18"/>
          <w:szCs w:val="18"/>
        </w:rPr>
        <w:t>Emprendedores Juveniles</w:t>
      </w:r>
      <w:r w:rsidR="00076A56">
        <w:rPr>
          <w:rFonts w:ascii="Arial" w:hAnsi="Arial" w:cs="Arial"/>
          <w:sz w:val="18"/>
          <w:szCs w:val="18"/>
        </w:rPr>
        <w:t>”</w:t>
      </w:r>
      <w:r w:rsidRPr="00196D0F">
        <w:rPr>
          <w:rFonts w:ascii="Arial" w:hAnsi="Arial" w:cs="Arial"/>
          <w:sz w:val="18"/>
          <w:szCs w:val="18"/>
        </w:rPr>
        <w:t xml:space="preserve">  y el denominado “Polígonos Prioritarios para Jóvenes”, éste específico para los Municipios de Tlaxcala y </w:t>
      </w:r>
      <w:proofErr w:type="spellStart"/>
      <w:r w:rsidRPr="00196D0F">
        <w:rPr>
          <w:rFonts w:ascii="Arial" w:hAnsi="Arial" w:cs="Arial"/>
          <w:sz w:val="18"/>
          <w:szCs w:val="18"/>
        </w:rPr>
        <w:t>Calpulalpan</w:t>
      </w:r>
      <w:proofErr w:type="spellEnd"/>
      <w:r w:rsidRPr="00196D0F">
        <w:rPr>
          <w:rFonts w:ascii="Arial" w:hAnsi="Arial" w:cs="Arial"/>
          <w:sz w:val="18"/>
          <w:szCs w:val="18"/>
        </w:rPr>
        <w:t>, el cual opera en el marco del Programa Nacional para la Prevención Social de la Violencia y la Delincuencia. Del año 2012 a la fecha, suman ya 9</w:t>
      </w:r>
      <w:r w:rsidR="00076A56">
        <w:rPr>
          <w:rFonts w:ascii="Arial" w:hAnsi="Arial" w:cs="Arial"/>
          <w:sz w:val="18"/>
          <w:szCs w:val="18"/>
        </w:rPr>
        <w:t>9</w:t>
      </w:r>
      <w:r w:rsidRPr="00196D0F">
        <w:rPr>
          <w:rFonts w:ascii="Arial" w:hAnsi="Arial" w:cs="Arial"/>
          <w:sz w:val="18"/>
          <w:szCs w:val="18"/>
        </w:rPr>
        <w:t xml:space="preserve"> créditos otorgados a igual número de jóvenes en todo el Estado, destinándose una inversión de </w:t>
      </w:r>
      <w:r w:rsidRPr="00196D0F">
        <w:rPr>
          <w:rFonts w:ascii="Arial" w:hAnsi="Arial" w:cs="Arial"/>
          <w:sz w:val="18"/>
          <w:szCs w:val="18"/>
        </w:rPr>
        <w:softHyphen/>
      </w:r>
      <w:r w:rsidRPr="00196D0F">
        <w:rPr>
          <w:rFonts w:ascii="Arial" w:hAnsi="Arial" w:cs="Arial"/>
          <w:sz w:val="18"/>
          <w:szCs w:val="18"/>
        </w:rPr>
        <w:softHyphen/>
      </w:r>
      <w:r w:rsidRPr="00196D0F">
        <w:rPr>
          <w:rFonts w:ascii="Arial" w:hAnsi="Arial" w:cs="Arial"/>
          <w:sz w:val="18"/>
          <w:szCs w:val="18"/>
        </w:rPr>
        <w:softHyphen/>
      </w:r>
      <w:r w:rsidRPr="00196D0F">
        <w:rPr>
          <w:rFonts w:ascii="Arial" w:hAnsi="Arial" w:cs="Arial"/>
          <w:sz w:val="18"/>
          <w:szCs w:val="18"/>
        </w:rPr>
        <w:softHyphen/>
      </w:r>
      <w:r w:rsidRPr="00196D0F">
        <w:rPr>
          <w:rFonts w:ascii="Arial" w:hAnsi="Arial" w:cs="Arial"/>
          <w:sz w:val="18"/>
          <w:szCs w:val="18"/>
        </w:rPr>
        <w:softHyphen/>
      </w:r>
      <w:r w:rsidRPr="00196D0F">
        <w:rPr>
          <w:rFonts w:ascii="Arial" w:hAnsi="Arial" w:cs="Arial"/>
          <w:sz w:val="18"/>
          <w:szCs w:val="18"/>
        </w:rPr>
        <w:softHyphen/>
        <w:t>2.</w:t>
      </w:r>
      <w:r w:rsidR="00076A56">
        <w:rPr>
          <w:rFonts w:ascii="Arial" w:hAnsi="Arial" w:cs="Arial"/>
          <w:sz w:val="18"/>
          <w:szCs w:val="18"/>
        </w:rPr>
        <w:t>2</w:t>
      </w:r>
      <w:r w:rsidRPr="00196D0F">
        <w:rPr>
          <w:rFonts w:ascii="Arial" w:hAnsi="Arial" w:cs="Arial"/>
          <w:sz w:val="18"/>
          <w:szCs w:val="18"/>
        </w:rPr>
        <w:t xml:space="preserve"> MDP. </w:t>
      </w:r>
      <w:r w:rsidR="00D75A56">
        <w:rPr>
          <w:rFonts w:ascii="Arial" w:hAnsi="Arial" w:cs="Arial"/>
          <w:sz w:val="18"/>
          <w:szCs w:val="18"/>
        </w:rPr>
        <w:t xml:space="preserve">La operación de estos programas </w:t>
      </w:r>
      <w:r w:rsidRPr="00196D0F">
        <w:rPr>
          <w:rFonts w:ascii="Arial" w:hAnsi="Arial" w:cs="Arial"/>
          <w:sz w:val="18"/>
          <w:szCs w:val="18"/>
        </w:rPr>
        <w:t>favore</w:t>
      </w:r>
      <w:r w:rsidR="00D75A56">
        <w:rPr>
          <w:rFonts w:ascii="Arial" w:hAnsi="Arial" w:cs="Arial"/>
          <w:sz w:val="18"/>
          <w:szCs w:val="18"/>
        </w:rPr>
        <w:t>ció</w:t>
      </w:r>
      <w:r w:rsidRPr="00196D0F">
        <w:rPr>
          <w:rFonts w:ascii="Arial" w:hAnsi="Arial" w:cs="Arial"/>
          <w:sz w:val="18"/>
          <w:szCs w:val="18"/>
        </w:rPr>
        <w:t xml:space="preserve"> el desarrollo de iniciativa</w:t>
      </w:r>
      <w:r w:rsidR="00D75A56">
        <w:rPr>
          <w:rFonts w:ascii="Arial" w:hAnsi="Arial" w:cs="Arial"/>
          <w:sz w:val="18"/>
          <w:szCs w:val="18"/>
        </w:rPr>
        <w:t>s de emprendedores y les permitió</w:t>
      </w:r>
      <w:r w:rsidRPr="00196D0F">
        <w:rPr>
          <w:rFonts w:ascii="Arial" w:hAnsi="Arial" w:cs="Arial"/>
          <w:sz w:val="18"/>
          <w:szCs w:val="18"/>
        </w:rPr>
        <w:t xml:space="preserve"> tener acceso al primer empleo juvenil, e incrementar su</w:t>
      </w:r>
      <w:r w:rsidR="00D75A56">
        <w:rPr>
          <w:rFonts w:ascii="Arial" w:hAnsi="Arial" w:cs="Arial"/>
          <w:sz w:val="18"/>
          <w:szCs w:val="18"/>
        </w:rPr>
        <w:t>s</w:t>
      </w:r>
      <w:r w:rsidRPr="00196D0F">
        <w:rPr>
          <w:rFonts w:ascii="Arial" w:hAnsi="Arial" w:cs="Arial"/>
          <w:sz w:val="18"/>
          <w:szCs w:val="18"/>
        </w:rPr>
        <w:t xml:space="preserve"> aptitudes para acceder al mercado laboral en condiciones de mayor ventaja, fomentando a la vez la cultura y productividad empresarial, así como el arraigo en sus comunidades.</w:t>
      </w:r>
    </w:p>
    <w:p w:rsidR="00196D0F" w:rsidRPr="00196D0F" w:rsidRDefault="00196D0F" w:rsidP="00D75A56">
      <w:pPr>
        <w:pStyle w:val="Encabezado"/>
        <w:tabs>
          <w:tab w:val="clear" w:pos="4419"/>
          <w:tab w:val="clear" w:pos="8838"/>
        </w:tabs>
        <w:spacing w:line="276" w:lineRule="auto"/>
        <w:jc w:val="both"/>
        <w:rPr>
          <w:rFonts w:ascii="Arial" w:eastAsia="Calibri" w:hAnsi="Arial" w:cs="Arial"/>
          <w:sz w:val="18"/>
          <w:szCs w:val="18"/>
        </w:rPr>
      </w:pPr>
      <w:r w:rsidRPr="00196D0F">
        <w:rPr>
          <w:rFonts w:ascii="Arial" w:eastAsia="Calibri" w:hAnsi="Arial" w:cs="Arial"/>
          <w:sz w:val="18"/>
          <w:szCs w:val="18"/>
        </w:rPr>
        <w:t xml:space="preserve">En concordancia a los programas federales, el FOMTLAX forma parte de  uno de  los Puntos seleccionados en  el  Estado  para “Mover a México”, </w:t>
      </w:r>
      <w:r w:rsidR="00D5675C">
        <w:rPr>
          <w:rFonts w:ascii="Arial" w:eastAsia="Calibri" w:hAnsi="Arial" w:cs="Arial"/>
          <w:sz w:val="18"/>
          <w:szCs w:val="18"/>
        </w:rPr>
        <w:t xml:space="preserve">otorgando asesoría </w:t>
      </w:r>
      <w:r w:rsidRPr="00196D0F">
        <w:rPr>
          <w:rFonts w:ascii="Arial" w:eastAsia="Calibri" w:hAnsi="Arial" w:cs="Arial"/>
          <w:sz w:val="18"/>
          <w:szCs w:val="18"/>
        </w:rPr>
        <w:t>y orientación</w:t>
      </w:r>
      <w:r w:rsidR="00D5675C">
        <w:rPr>
          <w:rFonts w:ascii="Arial" w:eastAsia="Calibri" w:hAnsi="Arial" w:cs="Arial"/>
          <w:sz w:val="18"/>
          <w:szCs w:val="18"/>
        </w:rPr>
        <w:t xml:space="preserve"> a l</w:t>
      </w:r>
      <w:r w:rsidR="006D291A">
        <w:rPr>
          <w:rFonts w:ascii="Arial" w:eastAsia="Calibri" w:hAnsi="Arial" w:cs="Arial"/>
          <w:sz w:val="18"/>
          <w:szCs w:val="18"/>
        </w:rPr>
        <w:t>o</w:t>
      </w:r>
      <w:r w:rsidR="00076A56">
        <w:rPr>
          <w:rFonts w:ascii="Arial" w:eastAsia="Calibri" w:hAnsi="Arial" w:cs="Arial"/>
          <w:sz w:val="18"/>
          <w:szCs w:val="18"/>
        </w:rPr>
        <w:t>s</w:t>
      </w:r>
      <w:r w:rsidR="00D5675C">
        <w:rPr>
          <w:rFonts w:ascii="Arial" w:eastAsia="Calibri" w:hAnsi="Arial" w:cs="Arial"/>
          <w:sz w:val="18"/>
          <w:szCs w:val="18"/>
        </w:rPr>
        <w:t xml:space="preserve"> solicitantes</w:t>
      </w:r>
      <w:r w:rsidR="006D291A">
        <w:rPr>
          <w:rFonts w:ascii="Arial" w:eastAsia="Calibri" w:hAnsi="Arial" w:cs="Arial"/>
          <w:sz w:val="18"/>
          <w:szCs w:val="18"/>
        </w:rPr>
        <w:t xml:space="preserve">, así mismo se realizo la </w:t>
      </w:r>
      <w:r w:rsidRPr="00196D0F">
        <w:rPr>
          <w:rFonts w:ascii="Arial" w:eastAsia="Calibri" w:hAnsi="Arial" w:cs="Arial"/>
          <w:sz w:val="18"/>
          <w:szCs w:val="18"/>
        </w:rPr>
        <w:t>vincul</w:t>
      </w:r>
      <w:r w:rsidR="006D291A">
        <w:rPr>
          <w:rFonts w:ascii="Arial" w:eastAsia="Calibri" w:hAnsi="Arial" w:cs="Arial"/>
          <w:sz w:val="18"/>
          <w:szCs w:val="18"/>
        </w:rPr>
        <w:t xml:space="preserve">ación correspondiente </w:t>
      </w:r>
      <w:r w:rsidRPr="00196D0F">
        <w:rPr>
          <w:rFonts w:ascii="Arial" w:eastAsia="Calibri" w:hAnsi="Arial" w:cs="Arial"/>
          <w:sz w:val="18"/>
          <w:szCs w:val="18"/>
        </w:rPr>
        <w:t>con las dependencias e instituciones públicas y privadas</w:t>
      </w:r>
      <w:r w:rsidR="006D291A">
        <w:rPr>
          <w:rFonts w:ascii="Arial" w:eastAsia="Calibri" w:hAnsi="Arial" w:cs="Arial"/>
          <w:sz w:val="18"/>
          <w:szCs w:val="18"/>
        </w:rPr>
        <w:t xml:space="preserve"> de acuerdo con los </w:t>
      </w:r>
      <w:r w:rsidRPr="00196D0F">
        <w:rPr>
          <w:rFonts w:ascii="Arial" w:eastAsia="Calibri" w:hAnsi="Arial" w:cs="Arial"/>
          <w:sz w:val="18"/>
          <w:szCs w:val="18"/>
        </w:rPr>
        <w:t xml:space="preserve">diferentes programas que ofrecen. Es importante mencionar que el personal que brinda la atención en las tres ventanillas, es capacitado permanentemente. </w:t>
      </w:r>
    </w:p>
    <w:p w:rsidR="00D75A56" w:rsidRDefault="00D75A56" w:rsidP="00196D0F">
      <w:pPr>
        <w:pStyle w:val="Encabezado"/>
        <w:tabs>
          <w:tab w:val="clear" w:pos="4419"/>
          <w:tab w:val="clear" w:pos="8838"/>
        </w:tabs>
        <w:spacing w:line="276" w:lineRule="auto"/>
        <w:jc w:val="both"/>
        <w:rPr>
          <w:rFonts w:ascii="Arial" w:eastAsia="Calibri" w:hAnsi="Arial" w:cs="Arial"/>
          <w:sz w:val="18"/>
          <w:szCs w:val="18"/>
        </w:rPr>
      </w:pPr>
    </w:p>
    <w:p w:rsidR="00196D0F" w:rsidRDefault="00196D0F" w:rsidP="00196D0F">
      <w:pPr>
        <w:pStyle w:val="Encabezado"/>
        <w:tabs>
          <w:tab w:val="clear" w:pos="4419"/>
          <w:tab w:val="clear" w:pos="8838"/>
        </w:tabs>
        <w:spacing w:line="276" w:lineRule="auto"/>
        <w:jc w:val="both"/>
        <w:rPr>
          <w:rFonts w:ascii="Arial" w:eastAsia="Calibri" w:hAnsi="Arial" w:cs="Arial"/>
          <w:sz w:val="18"/>
          <w:szCs w:val="18"/>
        </w:rPr>
      </w:pPr>
      <w:r w:rsidRPr="00196D0F">
        <w:rPr>
          <w:rFonts w:ascii="Arial" w:eastAsia="Calibri" w:hAnsi="Arial" w:cs="Arial"/>
          <w:sz w:val="18"/>
          <w:szCs w:val="18"/>
        </w:rPr>
        <w:t xml:space="preserve">Estamos comprometidos para seguir haciendo realidad estos créditos que mucho benefician a la población trabajadora. Hemos asumido como una tarea diaria el acercar el financiamiento al agricultor, al ganadero, al comerciante, al microempresario, al prestador de servicios, no importando desde que punto del Estado se encuentre su unidad productiva, para que más familias tlaxcaltecas mejoren su calidad vida, avanzando así en un </w:t>
      </w:r>
      <w:r w:rsidRPr="00196D0F">
        <w:rPr>
          <w:rFonts w:ascii="Arial" w:eastAsia="Calibri" w:hAnsi="Arial" w:cs="Arial"/>
          <w:b/>
          <w:sz w:val="18"/>
          <w:szCs w:val="18"/>
        </w:rPr>
        <w:t>Desarrollo para Todos</w:t>
      </w:r>
      <w:r w:rsidRPr="00196D0F">
        <w:rPr>
          <w:rFonts w:ascii="Arial" w:eastAsia="Calibri" w:hAnsi="Arial" w:cs="Arial"/>
          <w:sz w:val="18"/>
          <w:szCs w:val="18"/>
        </w:rPr>
        <w:t xml:space="preserve">. </w:t>
      </w:r>
    </w:p>
    <w:p w:rsidR="0032095C" w:rsidRDefault="0032095C" w:rsidP="00196D0F">
      <w:pPr>
        <w:pStyle w:val="Encabezado"/>
        <w:tabs>
          <w:tab w:val="clear" w:pos="4419"/>
          <w:tab w:val="clear" w:pos="8838"/>
        </w:tabs>
        <w:spacing w:line="276" w:lineRule="auto"/>
        <w:jc w:val="both"/>
        <w:rPr>
          <w:rFonts w:ascii="Arial" w:eastAsia="Calibri" w:hAnsi="Arial" w:cs="Arial"/>
          <w:sz w:val="18"/>
          <w:szCs w:val="18"/>
        </w:rPr>
      </w:pPr>
    </w:p>
    <w:p w:rsidR="0032095C" w:rsidRPr="0032095C" w:rsidRDefault="0032095C" w:rsidP="0032095C">
      <w:pPr>
        <w:spacing w:after="0" w:line="240" w:lineRule="auto"/>
        <w:jc w:val="both"/>
        <w:rPr>
          <w:rFonts w:ascii="Arial" w:eastAsia="Times New Roman" w:hAnsi="Arial" w:cs="Arial"/>
          <w:sz w:val="18"/>
          <w:szCs w:val="18"/>
          <w:lang w:eastAsia="es-ES"/>
        </w:rPr>
      </w:pPr>
      <w:r w:rsidRPr="0032095C">
        <w:rPr>
          <w:rFonts w:ascii="Arial" w:eastAsia="Times New Roman" w:hAnsi="Arial" w:cs="Arial"/>
          <w:sz w:val="18"/>
          <w:szCs w:val="18"/>
          <w:lang w:eastAsia="es-ES"/>
        </w:rPr>
        <w:t xml:space="preserve">En el mes de junio se concluyó el proceso de extinción de </w:t>
      </w:r>
      <w:r w:rsidRPr="0032095C">
        <w:rPr>
          <w:rFonts w:ascii="Arial" w:hAnsi="Arial" w:cs="Arial"/>
          <w:sz w:val="18"/>
          <w:szCs w:val="18"/>
        </w:rPr>
        <w:t xml:space="preserve">los Fideicomisos para el desarrollo integral de la mujer emprendedora </w:t>
      </w:r>
      <w:r w:rsidRPr="0032095C">
        <w:rPr>
          <w:rFonts w:ascii="Arial" w:hAnsi="Arial" w:cs="Arial"/>
          <w:b/>
          <w:sz w:val="18"/>
          <w:szCs w:val="18"/>
        </w:rPr>
        <w:t>"FIDIME</w:t>
      </w:r>
      <w:r w:rsidRPr="0032095C">
        <w:rPr>
          <w:rFonts w:ascii="Arial" w:hAnsi="Arial" w:cs="Arial"/>
          <w:sz w:val="18"/>
          <w:szCs w:val="18"/>
        </w:rPr>
        <w:t xml:space="preserve">", Fideicomiso para la atención de los sectores marginados </w:t>
      </w:r>
      <w:r w:rsidRPr="0032095C">
        <w:rPr>
          <w:rFonts w:ascii="Arial" w:hAnsi="Arial" w:cs="Arial"/>
          <w:b/>
          <w:sz w:val="18"/>
          <w:szCs w:val="18"/>
        </w:rPr>
        <w:t>"FIDASEM"</w:t>
      </w:r>
      <w:r w:rsidRPr="0032095C">
        <w:rPr>
          <w:rFonts w:ascii="Arial" w:hAnsi="Arial" w:cs="Arial"/>
          <w:sz w:val="18"/>
          <w:szCs w:val="18"/>
        </w:rPr>
        <w:t xml:space="preserve"> y Fideicomiso para el desarrollo turístico del estado </w:t>
      </w:r>
      <w:r w:rsidRPr="0032095C">
        <w:rPr>
          <w:rFonts w:ascii="Arial" w:hAnsi="Arial" w:cs="Arial"/>
          <w:b/>
          <w:sz w:val="18"/>
          <w:szCs w:val="18"/>
        </w:rPr>
        <w:t>"FIDETUR",</w:t>
      </w:r>
      <w:r>
        <w:rPr>
          <w:rFonts w:ascii="Arial" w:hAnsi="Arial" w:cs="Arial"/>
          <w:sz w:val="18"/>
          <w:szCs w:val="18"/>
        </w:rPr>
        <w:t xml:space="preserve"> la</w:t>
      </w:r>
      <w:r w:rsidRPr="0032095C">
        <w:rPr>
          <w:rFonts w:ascii="Arial" w:hAnsi="Arial" w:cs="Arial"/>
          <w:sz w:val="18"/>
          <w:szCs w:val="18"/>
        </w:rPr>
        <w:t xml:space="preserve">s </w:t>
      </w:r>
      <w:r>
        <w:rPr>
          <w:rFonts w:ascii="Arial" w:hAnsi="Arial" w:cs="Arial"/>
          <w:sz w:val="18"/>
          <w:szCs w:val="18"/>
        </w:rPr>
        <w:t xml:space="preserve">funciones que desempeñaban han sido asumidas por este Fondo, </w:t>
      </w:r>
      <w:r w:rsidRPr="0032095C">
        <w:rPr>
          <w:rFonts w:ascii="Arial" w:eastAsia="Times New Roman" w:hAnsi="Arial" w:cs="Arial"/>
          <w:bCs/>
          <w:sz w:val="18"/>
          <w:szCs w:val="18"/>
          <w:lang w:eastAsia="es-ES"/>
        </w:rPr>
        <w:t>de acuerdo al Decreto No. 152 de fecha 19 de noviembre de 2015 en el que se autoriza la extinción de</w:t>
      </w:r>
      <w:r>
        <w:rPr>
          <w:rFonts w:ascii="Arial" w:eastAsia="Times New Roman" w:hAnsi="Arial" w:cs="Arial"/>
          <w:bCs/>
          <w:sz w:val="18"/>
          <w:szCs w:val="18"/>
          <w:lang w:eastAsia="es-ES"/>
        </w:rPr>
        <w:t xml:space="preserve"> </w:t>
      </w:r>
      <w:r w:rsidRPr="0032095C">
        <w:rPr>
          <w:rFonts w:ascii="Arial" w:eastAsia="Times New Roman" w:hAnsi="Arial" w:cs="Arial"/>
          <w:bCs/>
          <w:sz w:val="18"/>
          <w:szCs w:val="18"/>
          <w:lang w:eastAsia="es-ES"/>
        </w:rPr>
        <w:t>l</w:t>
      </w:r>
      <w:r>
        <w:rPr>
          <w:rFonts w:ascii="Arial" w:eastAsia="Times New Roman" w:hAnsi="Arial" w:cs="Arial"/>
          <w:bCs/>
          <w:sz w:val="18"/>
          <w:szCs w:val="18"/>
          <w:lang w:eastAsia="es-ES"/>
        </w:rPr>
        <w:t>os</w:t>
      </w:r>
      <w:r w:rsidRPr="0032095C">
        <w:rPr>
          <w:rFonts w:ascii="Arial" w:eastAsia="Times New Roman" w:hAnsi="Arial" w:cs="Arial"/>
          <w:bCs/>
          <w:sz w:val="18"/>
          <w:szCs w:val="18"/>
          <w:lang w:eastAsia="es-ES"/>
        </w:rPr>
        <w:t xml:space="preserve"> Fideicomisos enunciados.</w:t>
      </w:r>
    </w:p>
    <w:p w:rsidR="0032095C" w:rsidRPr="0032095C" w:rsidRDefault="0032095C" w:rsidP="00196D0F">
      <w:pPr>
        <w:pStyle w:val="Encabezado"/>
        <w:tabs>
          <w:tab w:val="clear" w:pos="4419"/>
          <w:tab w:val="clear" w:pos="8838"/>
        </w:tabs>
        <w:spacing w:line="276" w:lineRule="auto"/>
        <w:jc w:val="both"/>
        <w:rPr>
          <w:rFonts w:ascii="Arial" w:eastAsia="Calibri" w:hAnsi="Arial" w:cs="Arial"/>
          <w:sz w:val="18"/>
          <w:szCs w:val="18"/>
        </w:rPr>
      </w:pPr>
    </w:p>
    <w:sectPr w:rsidR="0032095C" w:rsidRPr="0032095C"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E35" w:rsidRDefault="00742E35" w:rsidP="00EA5418">
      <w:pPr>
        <w:spacing w:after="0" w:line="240" w:lineRule="auto"/>
      </w:pPr>
      <w:r>
        <w:separator/>
      </w:r>
    </w:p>
  </w:endnote>
  <w:endnote w:type="continuationSeparator" w:id="0">
    <w:p w:rsidR="00742E35" w:rsidRDefault="00742E35"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2F2773" w:rsidP="0013011C">
    <w:pPr>
      <w:pStyle w:val="Piedepgina"/>
      <w:jc w:val="center"/>
      <w:rPr>
        <w:rFonts w:ascii="Soberana Sans Light" w:hAnsi="Soberana Sans Light"/>
      </w:rPr>
    </w:pPr>
    <w:r w:rsidRPr="002F2773">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32095C" w:rsidRPr="0032095C">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2F2773" w:rsidP="008E3652">
    <w:pPr>
      <w:pStyle w:val="Piedepgina"/>
      <w:jc w:val="center"/>
      <w:rPr>
        <w:rFonts w:ascii="Soberana Sans Light" w:hAnsi="Soberana Sans Light"/>
      </w:rPr>
    </w:pPr>
    <w:r w:rsidRPr="002F2773">
      <w:rPr>
        <w:rFonts w:ascii="Soberana Sans Light" w:hAnsi="Soberana Sans Light"/>
        <w:noProof/>
        <w:lang w:eastAsia="es-MX"/>
      </w:rPr>
      <w:pict>
        <v:line id="3 Conector recto" o:spid="_x0000_s4097"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32095C" w:rsidRPr="0032095C">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E35" w:rsidRDefault="00742E35" w:rsidP="00EA5418">
      <w:pPr>
        <w:spacing w:after="0" w:line="240" w:lineRule="auto"/>
      </w:pPr>
      <w:r>
        <w:separator/>
      </w:r>
    </w:p>
  </w:footnote>
  <w:footnote w:type="continuationSeparator" w:id="0">
    <w:p w:rsidR="00742E35" w:rsidRDefault="00742E35"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2F2773">
    <w:pPr>
      <w:pStyle w:val="Encabezado"/>
    </w:pPr>
    <w:r w:rsidRPr="002F2773">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2F2773">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2F2773" w:rsidP="0013011C">
    <w:pPr>
      <w:pStyle w:val="Encabezado"/>
      <w:jc w:val="center"/>
      <w:rPr>
        <w:rFonts w:ascii="Soberana Sans Light" w:hAnsi="Soberana Sans Light"/>
      </w:rPr>
    </w:pPr>
    <w:r w:rsidRPr="002F2773">
      <w:rPr>
        <w:rFonts w:ascii="Soberana Sans Light" w:hAnsi="Soberana Sans Light"/>
        <w:noProof/>
        <w:lang w:eastAsia="es-MX"/>
      </w:rPr>
      <w:pict>
        <v:line id="1 Conector recto" o:spid="_x0000_s4099" style="position:absolute;left:0;text-align:left;flip:y;z-index:251659264;visibility:visible;mso-width-relative:margin" from="-56.05pt,14.2pt" to="738pt,15.5pt" strokecolor="#622423 [1605]" strokeweight="1.5pt"/>
      </w:pict>
    </w:r>
    <w:r w:rsidR="006B729B">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6146">
      <o:colormenu v:ext="edit" strokecolor="none [1605]"/>
    </o:shapedefaults>
    <o:shapelayout v:ext="edit">
      <o:idmap v:ext="edit" data="4"/>
    </o:shapelayout>
  </w:hdrShapeDefaults>
  <w:footnotePr>
    <w:footnote w:id="-1"/>
    <w:footnote w:id="0"/>
  </w:footnotePr>
  <w:endnotePr>
    <w:endnote w:id="-1"/>
    <w:endnote w:id="0"/>
  </w:endnotePr>
  <w:compat/>
  <w:rsids>
    <w:rsidRoot w:val="00EA5418"/>
    <w:rsid w:val="00040466"/>
    <w:rsid w:val="00056042"/>
    <w:rsid w:val="00076A56"/>
    <w:rsid w:val="000B3FD4"/>
    <w:rsid w:val="000F6D16"/>
    <w:rsid w:val="0013011C"/>
    <w:rsid w:val="001646D9"/>
    <w:rsid w:val="00196D0F"/>
    <w:rsid w:val="001A2431"/>
    <w:rsid w:val="001B1B72"/>
    <w:rsid w:val="002865A7"/>
    <w:rsid w:val="002A6835"/>
    <w:rsid w:val="002A70B3"/>
    <w:rsid w:val="002E5897"/>
    <w:rsid w:val="002F2773"/>
    <w:rsid w:val="00307635"/>
    <w:rsid w:val="0032095C"/>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82405"/>
    <w:rsid w:val="005852BC"/>
    <w:rsid w:val="005859FA"/>
    <w:rsid w:val="005E2EB5"/>
    <w:rsid w:val="006048D2"/>
    <w:rsid w:val="00611E39"/>
    <w:rsid w:val="006B729B"/>
    <w:rsid w:val="006D291A"/>
    <w:rsid w:val="006E6B8E"/>
    <w:rsid w:val="006E77DD"/>
    <w:rsid w:val="00742E35"/>
    <w:rsid w:val="00746D9B"/>
    <w:rsid w:val="0079582C"/>
    <w:rsid w:val="007D6E9A"/>
    <w:rsid w:val="00850E90"/>
    <w:rsid w:val="00897F46"/>
    <w:rsid w:val="008A6E4D"/>
    <w:rsid w:val="008B0017"/>
    <w:rsid w:val="008D4272"/>
    <w:rsid w:val="008E3652"/>
    <w:rsid w:val="009E5258"/>
    <w:rsid w:val="00A14B74"/>
    <w:rsid w:val="00AB13B7"/>
    <w:rsid w:val="00B17423"/>
    <w:rsid w:val="00B42A02"/>
    <w:rsid w:val="00B849EE"/>
    <w:rsid w:val="00BF28A4"/>
    <w:rsid w:val="00C44F01"/>
    <w:rsid w:val="00CA2D37"/>
    <w:rsid w:val="00CC5CB6"/>
    <w:rsid w:val="00D055EC"/>
    <w:rsid w:val="00D404ED"/>
    <w:rsid w:val="00D51261"/>
    <w:rsid w:val="00D5675C"/>
    <w:rsid w:val="00D748D3"/>
    <w:rsid w:val="00D75A56"/>
    <w:rsid w:val="00DD230F"/>
    <w:rsid w:val="00E32708"/>
    <w:rsid w:val="00E81959"/>
    <w:rsid w:val="00EA5418"/>
    <w:rsid w:val="00F96944"/>
    <w:rsid w:val="00FA3F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16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EB90-B0CD-4C1E-847F-9AEA2588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567</Words>
  <Characters>3119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Griselda</cp:lastModifiedBy>
  <cp:revision>17</cp:revision>
  <cp:lastPrinted>2017-07-06T00:36:00Z</cp:lastPrinted>
  <dcterms:created xsi:type="dcterms:W3CDTF">2014-09-01T14:30:00Z</dcterms:created>
  <dcterms:modified xsi:type="dcterms:W3CDTF">2017-07-06T01:10:00Z</dcterms:modified>
</cp:coreProperties>
</file>