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9A" w:rsidRDefault="00B32AA2" w:rsidP="004330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margin-left:-22.25pt;margin-top:.35pt;width:745.7pt;height:407.85pt;z-index:251717632">
            <v:imagedata r:id="rId8" o:title=""/>
            <w10:wrap type="square" side="left"/>
          </v:shape>
          <o:OLEObject Type="Embed" ProgID="Excel.Sheet.8" ShapeID="_x0000_s1122" DrawAspect="Content" ObjectID="_1568468063" r:id="rId9"/>
        </w:pict>
      </w:r>
      <w:r w:rsidR="004330FE">
        <w:br w:type="textWrapping" w:clear="all"/>
      </w:r>
    </w:p>
    <w:p w:rsidR="00EA5418" w:rsidRDefault="00EA5418" w:rsidP="00372F40">
      <w:pPr>
        <w:jc w:val="center"/>
      </w:pPr>
    </w:p>
    <w:p w:rsidR="00334D7F" w:rsidRDefault="00B32AA2" w:rsidP="004330FE">
      <w:r>
        <w:rPr>
          <w:noProof/>
        </w:rPr>
        <w:lastRenderedPageBreak/>
        <w:pict>
          <v:shape id="_x0000_s1123" type="#_x0000_t75" style="position:absolute;margin-left:-13.55pt;margin-top:3.45pt;width:737.8pt;height:363.55pt;z-index:251719680">
            <v:imagedata r:id="rId10" o:title=""/>
            <w10:wrap type="square" side="left"/>
          </v:shape>
          <o:OLEObject Type="Embed" ProgID="Excel.Sheet.8" ShapeID="_x0000_s1123" DrawAspect="Content" ObjectID="_1568468064" r:id="rId11"/>
        </w:pict>
      </w:r>
    </w:p>
    <w:p w:rsidR="00334D7F" w:rsidRPr="00334D7F" w:rsidRDefault="00334D7F" w:rsidP="00334D7F"/>
    <w:bookmarkStart w:id="0" w:name="_MON_1470806992"/>
    <w:bookmarkEnd w:id="0"/>
    <w:p w:rsidR="00372F40" w:rsidRDefault="00B1293A" w:rsidP="003E7FD0">
      <w:pPr>
        <w:jc w:val="center"/>
      </w:pPr>
      <w:r>
        <w:object w:dxaOrig="22094" w:dyaOrig="15505">
          <v:shape id="_x0000_i1025" type="#_x0000_t75" style="width:651.75pt;height:457.5pt" o:ole="">
            <v:imagedata r:id="rId12" o:title=""/>
          </v:shape>
          <o:OLEObject Type="Embed" ProgID="Excel.Sheet.8" ShapeID="_x0000_i1025" DrawAspect="Content" ObjectID="_1568468061" r:id="rId13"/>
        </w:object>
      </w:r>
    </w:p>
    <w:p w:rsidR="00372F40" w:rsidRDefault="00B32AA2" w:rsidP="00EA598E">
      <w:r>
        <w:rPr>
          <w:noProof/>
        </w:rPr>
        <w:lastRenderedPageBreak/>
        <w:pict>
          <v:shape id="_x0000_s1129" type="#_x0000_t75" style="position:absolute;margin-left:41.35pt;margin-top:0;width:647.65pt;height:452.8pt;z-index:251721728">
            <v:imagedata r:id="rId14" o:title=""/>
            <w10:wrap type="square" side="right"/>
          </v:shape>
          <o:OLEObject Type="Embed" ProgID="Excel.Sheet.8" ShapeID="_x0000_s1129" DrawAspect="Content" ObjectID="_1568468065" r:id="rId15"/>
        </w:pict>
      </w:r>
      <w:r w:rsidR="00F14FF6">
        <w:br w:type="textWrapping" w:clear="all"/>
      </w:r>
      <w:bookmarkStart w:id="1" w:name="_MON_1470809138"/>
      <w:bookmarkEnd w:id="1"/>
      <w:r w:rsidR="00101626">
        <w:object w:dxaOrig="18061" w:dyaOrig="13319">
          <v:shape id="_x0000_i1026" type="#_x0000_t75" style="width:642pt;height:471.75pt" o:ole="">
            <v:imagedata r:id="rId16" o:title=""/>
          </v:shape>
          <o:OLEObject Type="Embed" ProgID="Excel.Sheet.8" ShapeID="_x0000_i1026" DrawAspect="Content" ObjectID="_1568468062" r:id="rId17"/>
        </w:object>
      </w:r>
    </w:p>
    <w:p w:rsidR="00372F40" w:rsidRDefault="00101626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94" type="#_x0000_t75" style="position:absolute;margin-left:.25pt;margin-top:31pt;width:709.25pt;height:366pt;z-index:251695104">
            <v:imagedata r:id="rId18" o:title=""/>
            <w10:wrap type="square" side="left"/>
          </v:shape>
          <o:OLEObject Type="Embed" ProgID="Excel.Sheet.8" ShapeID="_x0000_s1094" DrawAspect="Content" ObjectID="_1568468066" r:id="rId19"/>
        </w:pi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B32AA2" w:rsidP="00D07947">
      <w:pPr>
        <w:tabs>
          <w:tab w:val="left" w:pos="2430"/>
        </w:tabs>
      </w:pPr>
      <w:r>
        <w:rPr>
          <w:noProof/>
        </w:rPr>
        <w:lastRenderedPageBreak/>
        <w:pict>
          <v:shape id="_x0000_s1130" type="#_x0000_t75" style="position:absolute;margin-left:-37.2pt;margin-top:-4.5pt;width:784.9pt;height:428.3pt;z-index:251723776">
            <v:imagedata r:id="rId20" o:title=""/>
            <w10:wrap type="square" side="right"/>
          </v:shape>
          <o:OLEObject Type="Embed" ProgID="Excel.Sheet.8" ShapeID="_x0000_s1130" DrawAspect="Content" ObjectID="_1568468067" r:id="rId21"/>
        </w:pi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B32AA2" w:rsidP="00C62B8F">
      <w:pPr>
        <w:jc w:val="center"/>
        <w:rPr>
          <w:rFonts w:ascii="Arial" w:hAnsi="Arial" w:cs="Arial"/>
          <w:sz w:val="18"/>
          <w:szCs w:val="18"/>
        </w:rPr>
      </w:pPr>
      <w:r w:rsidRPr="00B32AA2"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 w:rsidRPr="00B32AA2"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 w:rsidRPr="00B32AA2"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EA321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B32AA2"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0587</w:t>
            </w:r>
          </w:p>
        </w:tc>
        <w:tc>
          <w:tcPr>
            <w:tcW w:w="1417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SANTANDER</w:t>
            </w:r>
          </w:p>
        </w:tc>
        <w:tc>
          <w:tcPr>
            <w:tcW w:w="3969" w:type="dxa"/>
          </w:tcPr>
          <w:p w:rsid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635D4E" w:rsidRDefault="00635D4E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80088F">
              <w:rPr>
                <w:lang w:val="es-MX"/>
              </w:rPr>
              <w:t>274,294</w:t>
            </w:r>
          </w:p>
        </w:tc>
      </w:tr>
      <w:tr w:rsidR="006E3ED6" w:rsidTr="00834395">
        <w:tc>
          <w:tcPr>
            <w:tcW w:w="2649" w:type="dxa"/>
          </w:tcPr>
          <w:p w:rsidR="006E3ED6" w:rsidRDefault="0080088F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4281</w:t>
            </w:r>
          </w:p>
        </w:tc>
        <w:tc>
          <w:tcPr>
            <w:tcW w:w="1417" w:type="dxa"/>
          </w:tcPr>
          <w:p w:rsidR="006E3ED6" w:rsidRDefault="006E3ED6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SANTADER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</w:t>
            </w:r>
          </w:p>
        </w:tc>
        <w:tc>
          <w:tcPr>
            <w:tcW w:w="1559" w:type="dxa"/>
          </w:tcPr>
          <w:p w:rsidR="006E3ED6" w:rsidRDefault="0080088F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$ 6,757</w:t>
            </w:r>
          </w:p>
        </w:tc>
      </w:tr>
      <w:tr w:rsidR="00635D4E" w:rsidTr="00834395">
        <w:tc>
          <w:tcPr>
            <w:tcW w:w="264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3742</w:t>
            </w:r>
          </w:p>
        </w:tc>
        <w:tc>
          <w:tcPr>
            <w:tcW w:w="1417" w:type="dxa"/>
          </w:tcPr>
          <w:p w:rsidR="00635D4E" w:rsidRDefault="00EA321D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2017</w:t>
            </w:r>
          </w:p>
        </w:tc>
        <w:tc>
          <w:tcPr>
            <w:tcW w:w="1559" w:type="dxa"/>
          </w:tcPr>
          <w:p w:rsidR="00635D4E" w:rsidRDefault="00EA321D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0088F">
              <w:rPr>
                <w:lang w:val="es-MX"/>
              </w:rPr>
              <w:t>1,957,802</w:t>
            </w:r>
          </w:p>
        </w:tc>
      </w:tr>
      <w:tr w:rsidR="000D366A" w:rsidTr="00834395">
        <w:tc>
          <w:tcPr>
            <w:tcW w:w="2649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3750</w:t>
            </w:r>
          </w:p>
        </w:tc>
        <w:tc>
          <w:tcPr>
            <w:tcW w:w="1417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2017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0088F">
              <w:rPr>
                <w:lang w:val="es-MX"/>
              </w:rPr>
              <w:t>3,655,891</w:t>
            </w:r>
          </w:p>
        </w:tc>
      </w:tr>
      <w:tr w:rsidR="00834395" w:rsidTr="00834395">
        <w:tc>
          <w:tcPr>
            <w:tcW w:w="264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</w:t>
            </w:r>
            <w:r>
              <w:rPr>
                <w:lang w:val="es-MX"/>
              </w:rPr>
              <w:t>904</w:t>
            </w:r>
          </w:p>
        </w:tc>
        <w:tc>
          <w:tcPr>
            <w:tcW w:w="1417" w:type="dxa"/>
          </w:tcPr>
          <w:p w:rsidR="00834395" w:rsidRDefault="00834395" w:rsidP="00BA50A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CUOTAS </w:t>
            </w:r>
            <w:r>
              <w:rPr>
                <w:lang w:val="es-MX"/>
              </w:rPr>
              <w:t>EMPRESAS</w:t>
            </w:r>
            <w:r>
              <w:rPr>
                <w:lang w:val="es-MX"/>
              </w:rPr>
              <w:t xml:space="preserve"> 2017</w:t>
            </w:r>
          </w:p>
        </w:tc>
        <w:tc>
          <w:tcPr>
            <w:tcW w:w="155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>
              <w:rPr>
                <w:lang w:val="es-MX"/>
              </w:rPr>
              <w:t>223,287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Pr="00D067B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Se tiene disponible el fondo </w:t>
      </w:r>
      <w:proofErr w:type="spellStart"/>
      <w:r>
        <w:rPr>
          <w:lang w:val="es-MX"/>
        </w:rPr>
        <w:t>revolve</w:t>
      </w:r>
      <w:r w:rsidR="00D65551">
        <w:rPr>
          <w:lang w:val="es-MX"/>
        </w:rPr>
        <w:t>nte</w:t>
      </w:r>
      <w:proofErr w:type="spellEnd"/>
      <w:r w:rsidR="00D65551">
        <w:rPr>
          <w:lang w:val="es-MX"/>
        </w:rPr>
        <w:t xml:space="preserve">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733750" w:rsidRPr="00163D6C" w:rsidRDefault="00733750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63,608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>1,</w:t>
            </w:r>
            <w:r w:rsidR="001861C5">
              <w:rPr>
                <w:lang w:val="es-MX"/>
              </w:rPr>
              <w:t>500,805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143B8">
              <w:rPr>
                <w:lang w:val="es-MX"/>
              </w:rPr>
              <w:t>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41,043</w:t>
            </w:r>
          </w:p>
        </w:tc>
      </w:tr>
    </w:tbl>
    <w:p w:rsidR="00DF651E" w:rsidRPr="00242241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Pr="00242241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1861C5">
        <w:rPr>
          <w:lang w:val="es-MX"/>
        </w:rPr>
        <w:t>6</w:t>
      </w:r>
      <w:proofErr w:type="gramStart"/>
      <w:r w:rsidR="001861C5">
        <w:rPr>
          <w:lang w:val="es-MX"/>
        </w:rPr>
        <w:t>,051,741</w:t>
      </w:r>
      <w:proofErr w:type="gramEnd"/>
      <w:r w:rsidR="001861C5">
        <w:rPr>
          <w:lang w:val="es-MX"/>
        </w:rPr>
        <w:t xml:space="preserve"> </w:t>
      </w:r>
      <w:r w:rsidR="00BC3D3B">
        <w:t xml:space="preserve"> </w:t>
      </w:r>
      <w:r>
        <w:rPr>
          <w:lang w:val="es-MX"/>
        </w:rPr>
        <w:t xml:space="preserve">colocándose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>Cuentas por Pagar a corto plazo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1861C5">
              <w:rPr>
                <w:lang w:val="es-MX"/>
              </w:rPr>
              <w:t>9,768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861C5">
              <w:rPr>
                <w:lang w:val="es-MX"/>
              </w:rPr>
              <w:t>33,604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1861C5">
              <w:rPr>
                <w:lang w:val="es-MX"/>
              </w:rPr>
              <w:t>9,768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BB7CE6" w:rsidRPr="00163D6C" w:rsidRDefault="00BB7CE6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9821F5">
              <w:rPr>
                <w:lang w:val="es-MX"/>
              </w:rPr>
              <w:t>2,106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9821F5">
              <w:rPr>
                <w:lang w:val="es-MX"/>
              </w:rPr>
              <w:t>31,138,182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C62B8F" w:rsidRDefault="00C62B8F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5B70C9" w:rsidRDefault="005B70C9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9821F5">
              <w:rPr>
                <w:lang w:val="es-MX"/>
              </w:rPr>
              <w:t>2,937,358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9821F5">
              <w:rPr>
                <w:lang w:val="es-MX"/>
              </w:rPr>
              <w:t>2,387,160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C93C35">
              <w:rPr>
                <w:lang w:val="es-MX"/>
              </w:rPr>
              <w:t>1</w:t>
            </w:r>
            <w:r w:rsidR="009821F5">
              <w:rPr>
                <w:lang w:val="es-MX"/>
              </w:rPr>
              <w:t>7,635,659</w:t>
            </w:r>
          </w:p>
        </w:tc>
      </w:tr>
    </w:tbl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821F5">
              <w:rPr>
                <w:lang w:val="es-MX"/>
              </w:rPr>
              <w:t>285,817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821F5">
              <w:rPr>
                <w:lang w:val="es-MX"/>
              </w:rPr>
              <w:t>5,775,085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7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6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9821F5" w:rsidP="00F126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6,118,031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2,456,920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9821F5" w:rsidP="00D00CC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6,118,031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2,456,920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$ 63,608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175B3D" w:rsidRDefault="00175B3D" w:rsidP="00AB743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AB7436">
              <w:rPr>
                <w:lang w:val="es-MX"/>
              </w:rPr>
              <w:t>1,335,401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MAQUINARIA Y EQUIPO INDUSTRIAL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$ 41,043</w:t>
            </w:r>
          </w:p>
        </w:tc>
      </w:tr>
    </w:tbl>
    <w:p w:rsidR="00BD3373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 w:rsidR="00AB7436">
        <w:t>5</w:t>
      </w:r>
      <w:proofErr w:type="gramStart"/>
      <w:r w:rsidR="00AB7436">
        <w:t>,886,337</w:t>
      </w:r>
      <w:proofErr w:type="gramEnd"/>
      <w:r w:rsidR="00BD3373">
        <w:rPr>
          <w:lang w:val="es-MX"/>
        </w:rPr>
        <w:t xml:space="preserve"> colocándos</w:t>
      </w:r>
      <w:r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7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5B70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5B70C9">
              <w:rPr>
                <w:szCs w:val="18"/>
                <w:lang w:val="es-MX"/>
              </w:rPr>
              <w:t>6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821F5">
              <w:rPr>
                <w:lang w:val="es-MX"/>
              </w:rPr>
              <w:t>5,775,085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5B70C9" w:rsidP="005B70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$ 0</w:t>
            </w:r>
          </w:p>
        </w:tc>
      </w:tr>
      <w:tr w:rsidR="00BB7CE6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Pr="00163D6C" w:rsidRDefault="00BB7CE6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BB7CE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165CC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9821F5" w:rsidRDefault="009821F5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DF651E" w:rsidRDefault="00DF651E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584F9D" w:rsidRDefault="00584F9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B24830" w:rsidRDefault="00B24830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B32AA2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pict>
          <v:shape id="_x0000_s1139" type="#_x0000_t75" style="position:absolute;left:0;text-align:left;margin-left:105.8pt;margin-top:18.2pt;width:528.25pt;height:296.8pt;z-index:251724800">
            <v:imagedata r:id="rId22" o:title=""/>
            <w10:wrap type="topAndBottom"/>
          </v:shape>
          <o:OLEObject Type="Embed" ProgID="Excel.Sheet.8" ShapeID="_x0000_s1139" DrawAspect="Content" ObjectID="_1568468068" r:id="rId23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B32AA2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lastRenderedPageBreak/>
        <w:pict>
          <v:shape id="_x0000_s1140" type="#_x0000_t75" style="position:absolute;left:0;text-align:left;margin-left:61pt;margin-top:17.05pt;width:545.2pt;height:332.1pt;z-index:251725824">
            <v:imagedata r:id="rId24" o:title=""/>
            <w10:wrap type="topAndBottom"/>
          </v:shape>
          <o:OLEObject Type="Embed" ProgID="Excel.Sheet.8" ShapeID="_x0000_s1140" DrawAspect="Content" ObjectID="_1568468069" r:id="rId25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B32AA2" w:rsidP="00C62B8F">
      <w:pPr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  <w:r w:rsidRPr="00B32AA2"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 w:rsidRPr="00B32AA2"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 w:rsidRPr="00B32AA2"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5B70C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B32AA2"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Pr="00F41867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proofErr w:type="gramStart"/>
      <w:r w:rsidRPr="00163D6C">
        <w:rPr>
          <w:b/>
          <w:szCs w:val="18"/>
        </w:rPr>
        <w:t>b)</w:t>
      </w:r>
      <w:r w:rsidRPr="00163D6C">
        <w:rPr>
          <w:b/>
          <w:szCs w:val="18"/>
          <w:lang w:val="es-MX"/>
        </w:rPr>
        <w:t>NOTAS</w:t>
      </w:r>
      <w:proofErr w:type="gramEnd"/>
      <w:r w:rsidRPr="00163D6C">
        <w:rPr>
          <w:b/>
          <w:szCs w:val="18"/>
          <w:lang w:val="es-MX"/>
        </w:rPr>
        <w:t xml:space="preserve">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B32AA2" w:rsidP="00C62B8F">
      <w:pPr>
        <w:jc w:val="center"/>
        <w:rPr>
          <w:rFonts w:ascii="Arial" w:hAnsi="Arial" w:cs="Arial"/>
          <w:sz w:val="18"/>
          <w:szCs w:val="18"/>
        </w:rPr>
      </w:pPr>
      <w:r w:rsidRPr="00B32AA2"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 w:rsidRPr="00B32AA2"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 w:rsidRPr="00B32AA2"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B32AA2"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de  Servicios Integrales para el Tratamiento de Aguas Residuales de Aguas Residuales del Estado de </w:t>
      </w:r>
      <w:proofErr w:type="spellStart"/>
      <w:r>
        <w:t>Tlaxcalaretiene</w:t>
      </w:r>
      <w:proofErr w:type="spellEnd"/>
      <w:r>
        <w:t xml:space="preserve">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lastRenderedPageBreak/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>El Centro de  Servicios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</w:t>
      </w:r>
      <w:proofErr w:type="gramStart"/>
      <w:r>
        <w:t>obtienen</w:t>
      </w:r>
      <w:proofErr w:type="gramEnd"/>
      <w:r>
        <w:t xml:space="preserve">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Agosto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>El Centro de  Servicios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proofErr w:type="spellStart"/>
      <w:r w:rsidRPr="00163D6C">
        <w:rPr>
          <w:szCs w:val="18"/>
        </w:rPr>
        <w:t>Noexisten</w:t>
      </w:r>
      <w:proofErr w:type="spellEnd"/>
      <w:r w:rsidRPr="00163D6C">
        <w:rPr>
          <w:szCs w:val="18"/>
        </w:rPr>
        <w:t xml:space="preserve">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B32AA2" w:rsidP="00C62B8F">
      <w:pPr>
        <w:jc w:val="center"/>
        <w:rPr>
          <w:rFonts w:ascii="Arial" w:hAnsi="Arial" w:cs="Arial"/>
          <w:sz w:val="18"/>
          <w:szCs w:val="18"/>
        </w:rPr>
      </w:pPr>
      <w:r w:rsidRPr="00B32AA2"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 w:rsidRPr="00B32AA2"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 w:rsidRPr="00B32AA2"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 w:rsidRPr="00B32AA2"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0B" w:rsidRDefault="00F1260B" w:rsidP="00EA5418">
      <w:pPr>
        <w:spacing w:after="0" w:line="240" w:lineRule="auto"/>
      </w:pPr>
      <w:r>
        <w:separator/>
      </w:r>
    </w:p>
  </w:endnote>
  <w:endnote w:type="continuationSeparator" w:id="0">
    <w:p w:rsidR="00F1260B" w:rsidRDefault="00F126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Pr="0013011C" w:rsidRDefault="00B32A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75B3D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75B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821F5" w:rsidRPr="009821F5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75B3D" w:rsidRDefault="00175B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Pr="008E3652" w:rsidRDefault="00B32A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175B3D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175B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821F5" w:rsidRPr="009821F5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0B" w:rsidRDefault="00F1260B" w:rsidP="00EA5418">
      <w:pPr>
        <w:spacing w:after="0" w:line="240" w:lineRule="auto"/>
      </w:pPr>
      <w:r>
        <w:separator/>
      </w:r>
    </w:p>
  </w:footnote>
  <w:footnote w:type="continuationSeparator" w:id="0">
    <w:p w:rsidR="00F1260B" w:rsidRDefault="00F126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Default="00B32AA2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75B3D" w:rsidRDefault="00175B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75B3D" w:rsidRDefault="00175B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75B3D" w:rsidRPr="00275FC6" w:rsidRDefault="00175B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93AA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75B3D" w:rsidRPr="00275FC6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B32AA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3D" w:rsidRPr="0013011C" w:rsidRDefault="00B32A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75B3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4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40466"/>
    <w:rsid w:val="00041543"/>
    <w:rsid w:val="00045A10"/>
    <w:rsid w:val="000477D3"/>
    <w:rsid w:val="0007117B"/>
    <w:rsid w:val="00090991"/>
    <w:rsid w:val="00090ACF"/>
    <w:rsid w:val="000B7949"/>
    <w:rsid w:val="000D366A"/>
    <w:rsid w:val="000E06BC"/>
    <w:rsid w:val="00101626"/>
    <w:rsid w:val="00103BA6"/>
    <w:rsid w:val="0013011C"/>
    <w:rsid w:val="001370AE"/>
    <w:rsid w:val="00165BB4"/>
    <w:rsid w:val="00165CC8"/>
    <w:rsid w:val="00170989"/>
    <w:rsid w:val="001749FF"/>
    <w:rsid w:val="00175B3D"/>
    <w:rsid w:val="00184878"/>
    <w:rsid w:val="001861C5"/>
    <w:rsid w:val="00197A89"/>
    <w:rsid w:val="001A1ED9"/>
    <w:rsid w:val="001B1B72"/>
    <w:rsid w:val="001C08E8"/>
    <w:rsid w:val="001C0E53"/>
    <w:rsid w:val="001C696F"/>
    <w:rsid w:val="001C6FD8"/>
    <w:rsid w:val="001E7072"/>
    <w:rsid w:val="00200948"/>
    <w:rsid w:val="00204C86"/>
    <w:rsid w:val="00222B06"/>
    <w:rsid w:val="002316B5"/>
    <w:rsid w:val="00232059"/>
    <w:rsid w:val="00252679"/>
    <w:rsid w:val="00264426"/>
    <w:rsid w:val="002845C8"/>
    <w:rsid w:val="00290331"/>
    <w:rsid w:val="00295A67"/>
    <w:rsid w:val="002A70B3"/>
    <w:rsid w:val="002F7324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91E7C"/>
    <w:rsid w:val="00396C2B"/>
    <w:rsid w:val="003A0303"/>
    <w:rsid w:val="003A0806"/>
    <w:rsid w:val="003D15D4"/>
    <w:rsid w:val="003D32CC"/>
    <w:rsid w:val="003D5DBF"/>
    <w:rsid w:val="003E7FD0"/>
    <w:rsid w:val="003F0EA4"/>
    <w:rsid w:val="003F572E"/>
    <w:rsid w:val="00401E0E"/>
    <w:rsid w:val="00406719"/>
    <w:rsid w:val="00427CE8"/>
    <w:rsid w:val="004311BE"/>
    <w:rsid w:val="00432DCC"/>
    <w:rsid w:val="004330FE"/>
    <w:rsid w:val="0044253C"/>
    <w:rsid w:val="00444F59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41B8"/>
    <w:rsid w:val="004E3949"/>
    <w:rsid w:val="004E5EE5"/>
    <w:rsid w:val="004F44D3"/>
    <w:rsid w:val="004F5641"/>
    <w:rsid w:val="005134C6"/>
    <w:rsid w:val="005143B8"/>
    <w:rsid w:val="005206B6"/>
    <w:rsid w:val="00522632"/>
    <w:rsid w:val="00522EF3"/>
    <w:rsid w:val="005257D6"/>
    <w:rsid w:val="0053478D"/>
    <w:rsid w:val="00535B67"/>
    <w:rsid w:val="00540418"/>
    <w:rsid w:val="0054552B"/>
    <w:rsid w:val="00552C3F"/>
    <w:rsid w:val="00560B20"/>
    <w:rsid w:val="005625A5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5157"/>
    <w:rsid w:val="005D3D25"/>
    <w:rsid w:val="005F73C0"/>
    <w:rsid w:val="00602CA5"/>
    <w:rsid w:val="00605341"/>
    <w:rsid w:val="006069D6"/>
    <w:rsid w:val="006121D8"/>
    <w:rsid w:val="00625D16"/>
    <w:rsid w:val="00635D4E"/>
    <w:rsid w:val="00647D68"/>
    <w:rsid w:val="006666C3"/>
    <w:rsid w:val="006703D1"/>
    <w:rsid w:val="0068358B"/>
    <w:rsid w:val="00691D79"/>
    <w:rsid w:val="00691F74"/>
    <w:rsid w:val="00692D3E"/>
    <w:rsid w:val="00693AAF"/>
    <w:rsid w:val="006B1FE7"/>
    <w:rsid w:val="006C2600"/>
    <w:rsid w:val="006D19AB"/>
    <w:rsid w:val="006E3ED6"/>
    <w:rsid w:val="006E77DD"/>
    <w:rsid w:val="006F01B8"/>
    <w:rsid w:val="00715EA3"/>
    <w:rsid w:val="007238E9"/>
    <w:rsid w:val="00723ED8"/>
    <w:rsid w:val="00733750"/>
    <w:rsid w:val="00744F64"/>
    <w:rsid w:val="0075037C"/>
    <w:rsid w:val="0079582C"/>
    <w:rsid w:val="007C1752"/>
    <w:rsid w:val="007C4836"/>
    <w:rsid w:val="007C597D"/>
    <w:rsid w:val="007D6E9A"/>
    <w:rsid w:val="007E3B26"/>
    <w:rsid w:val="007F75D1"/>
    <w:rsid w:val="00800241"/>
    <w:rsid w:val="0080088F"/>
    <w:rsid w:val="00811DAC"/>
    <w:rsid w:val="0081287B"/>
    <w:rsid w:val="00825882"/>
    <w:rsid w:val="00834395"/>
    <w:rsid w:val="008350A7"/>
    <w:rsid w:val="00845B33"/>
    <w:rsid w:val="00856F61"/>
    <w:rsid w:val="0087406B"/>
    <w:rsid w:val="00877F33"/>
    <w:rsid w:val="00885F5C"/>
    <w:rsid w:val="0089054E"/>
    <w:rsid w:val="008A288A"/>
    <w:rsid w:val="008A5E1E"/>
    <w:rsid w:val="008A6E4D"/>
    <w:rsid w:val="008A793D"/>
    <w:rsid w:val="008B0017"/>
    <w:rsid w:val="008C50D6"/>
    <w:rsid w:val="008E3652"/>
    <w:rsid w:val="008F6D58"/>
    <w:rsid w:val="00906261"/>
    <w:rsid w:val="00924A29"/>
    <w:rsid w:val="00932AC8"/>
    <w:rsid w:val="0093492C"/>
    <w:rsid w:val="009548A4"/>
    <w:rsid w:val="00957043"/>
    <w:rsid w:val="009647D3"/>
    <w:rsid w:val="00972B1D"/>
    <w:rsid w:val="00977997"/>
    <w:rsid w:val="009821F5"/>
    <w:rsid w:val="00991D08"/>
    <w:rsid w:val="00993324"/>
    <w:rsid w:val="009A0319"/>
    <w:rsid w:val="009A1DBA"/>
    <w:rsid w:val="009A3377"/>
    <w:rsid w:val="009B7CD7"/>
    <w:rsid w:val="009C6789"/>
    <w:rsid w:val="009D5D4C"/>
    <w:rsid w:val="009D6F76"/>
    <w:rsid w:val="009F23C4"/>
    <w:rsid w:val="009F4CFC"/>
    <w:rsid w:val="00A01C84"/>
    <w:rsid w:val="00A126B5"/>
    <w:rsid w:val="00A22785"/>
    <w:rsid w:val="00A31A17"/>
    <w:rsid w:val="00A33622"/>
    <w:rsid w:val="00A363B6"/>
    <w:rsid w:val="00A46BF5"/>
    <w:rsid w:val="00A6227B"/>
    <w:rsid w:val="00A6593F"/>
    <w:rsid w:val="00A725CA"/>
    <w:rsid w:val="00A86EE1"/>
    <w:rsid w:val="00A95378"/>
    <w:rsid w:val="00AB163C"/>
    <w:rsid w:val="00AB1FDD"/>
    <w:rsid w:val="00AB7436"/>
    <w:rsid w:val="00AC2DEC"/>
    <w:rsid w:val="00AC361D"/>
    <w:rsid w:val="00AE3244"/>
    <w:rsid w:val="00AE77CB"/>
    <w:rsid w:val="00B10546"/>
    <w:rsid w:val="00B1293A"/>
    <w:rsid w:val="00B146E2"/>
    <w:rsid w:val="00B24830"/>
    <w:rsid w:val="00B32AA2"/>
    <w:rsid w:val="00B33577"/>
    <w:rsid w:val="00B34F73"/>
    <w:rsid w:val="00B64DC4"/>
    <w:rsid w:val="00B80E58"/>
    <w:rsid w:val="00B849EE"/>
    <w:rsid w:val="00B84D02"/>
    <w:rsid w:val="00B87C0D"/>
    <w:rsid w:val="00B929F8"/>
    <w:rsid w:val="00B96645"/>
    <w:rsid w:val="00B9776A"/>
    <w:rsid w:val="00BA2940"/>
    <w:rsid w:val="00BB55C2"/>
    <w:rsid w:val="00BB7CE6"/>
    <w:rsid w:val="00BC3D3B"/>
    <w:rsid w:val="00BD3373"/>
    <w:rsid w:val="00BF4C25"/>
    <w:rsid w:val="00C16E53"/>
    <w:rsid w:val="00C22002"/>
    <w:rsid w:val="00C367A5"/>
    <w:rsid w:val="00C431B4"/>
    <w:rsid w:val="00C53D83"/>
    <w:rsid w:val="00C61526"/>
    <w:rsid w:val="00C62B8F"/>
    <w:rsid w:val="00C86C59"/>
    <w:rsid w:val="00C91C5A"/>
    <w:rsid w:val="00C931F2"/>
    <w:rsid w:val="00C93C35"/>
    <w:rsid w:val="00CB01FE"/>
    <w:rsid w:val="00CC1100"/>
    <w:rsid w:val="00CD280E"/>
    <w:rsid w:val="00CD6D9A"/>
    <w:rsid w:val="00CE79EF"/>
    <w:rsid w:val="00CF3CFB"/>
    <w:rsid w:val="00D00CC6"/>
    <w:rsid w:val="00D00E92"/>
    <w:rsid w:val="00D055EC"/>
    <w:rsid w:val="00D07947"/>
    <w:rsid w:val="00D22483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B530F"/>
    <w:rsid w:val="00DC200B"/>
    <w:rsid w:val="00DC7397"/>
    <w:rsid w:val="00DF0C3D"/>
    <w:rsid w:val="00DF56C9"/>
    <w:rsid w:val="00DF651E"/>
    <w:rsid w:val="00E1773A"/>
    <w:rsid w:val="00E30318"/>
    <w:rsid w:val="00E32708"/>
    <w:rsid w:val="00E40342"/>
    <w:rsid w:val="00E41E81"/>
    <w:rsid w:val="00E540A6"/>
    <w:rsid w:val="00E5615F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E14D1"/>
    <w:rsid w:val="00EE46FB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4725"/>
    <w:rsid w:val="00F84CC2"/>
    <w:rsid w:val="00F90B7E"/>
    <w:rsid w:val="00F9550D"/>
    <w:rsid w:val="00F9635D"/>
    <w:rsid w:val="00FA711D"/>
    <w:rsid w:val="00FB1010"/>
    <w:rsid w:val="00FB5E77"/>
    <w:rsid w:val="00FC07D5"/>
    <w:rsid w:val="00FD5A63"/>
    <w:rsid w:val="00FD5E8F"/>
    <w:rsid w:val="00FE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="f" fillcolor="white" stroke="f">
      <v:fill color="white" on="f"/>
      <v:stroke on="f"/>
    </o:shapedefaults>
    <o:shapelayout v:ext="edit">
      <o:idmap v:ext="edit" data="1"/>
      <o:rules v:ext="edit">
        <o:r id="V:Rule9" type="connector" idref="#_x0000_s1110"/>
        <o:r id="V:Rule10" type="connector" idref="#_x0000_s1112"/>
        <o:r id="V:Rule11" type="connector" idref="#_x0000_s1096"/>
        <o:r id="V:Rule12" type="connector" idref="#_x0000_s1108"/>
        <o:r id="V:Rule13" type="connector" idref="#_x0000_s1098"/>
        <o:r id="V:Rule14" type="connector" idref="#_x0000_s1114"/>
        <o:r id="V:Rule15" type="connector" idref="#_x0000_s1106"/>
        <o:r id="V:Rule16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2F2B-BC20-4699-9EBE-C3F07A71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18</Pages>
  <Words>1628</Words>
  <Characters>8958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88</cp:revision>
  <cp:lastPrinted>2017-07-05T14:11:00Z</cp:lastPrinted>
  <dcterms:created xsi:type="dcterms:W3CDTF">2016-04-06T13:39:00Z</dcterms:created>
  <dcterms:modified xsi:type="dcterms:W3CDTF">2017-10-02T21:47:00Z</dcterms:modified>
</cp:coreProperties>
</file>