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08381848"/>
    <w:bookmarkEnd w:id="1"/>
    <w:p w:rsidR="00372F40" w:rsidRDefault="00B93226" w:rsidP="008D3342">
      <w:pPr>
        <w:jc w:val="center"/>
      </w:pPr>
      <w:r w:rsidRPr="003230B7">
        <w:object w:dxaOrig="23365" w:dyaOrig="16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5pt;height:472.5pt">
            <v:imagedata r:id="rId9" o:title=""/>
          </v:shape>
        </w:object>
      </w:r>
      <w:bookmarkStart w:id="2" w:name="_MON_1601117647"/>
      <w:bookmarkEnd w:id="2"/>
      <w:r w:rsidR="00AD07A8" w:rsidRPr="003230B7">
        <w:object w:dxaOrig="25549" w:dyaOrig="18047">
          <v:shape id="_x0000_i1026" type="#_x0000_t75" style="width:697.5pt;height:462.75pt">
            <v:imagedata r:id="rId10" o:title=""/>
          </v:shape>
        </w:object>
      </w:r>
      <w:bookmarkStart w:id="3" w:name="_MON_1470805999"/>
      <w:bookmarkEnd w:id="3"/>
      <w:r w:rsidR="0095282C" w:rsidRPr="005B6964">
        <w:object w:dxaOrig="24080" w:dyaOrig="16067">
          <v:shape id="_x0000_i1027" type="#_x0000_t75" style="width:706.5pt;height:471.75pt">
            <v:imagedata r:id="rId11" o:title=""/>
          </v:shape>
        </w:object>
      </w:r>
      <w:bookmarkStart w:id="4" w:name="_MON_1601118811"/>
      <w:bookmarkEnd w:id="4"/>
      <w:r w:rsidR="0050712A" w:rsidRPr="005B6964">
        <w:object w:dxaOrig="21245" w:dyaOrig="12801">
          <v:shape id="_x0000_i1028" type="#_x0000_t75" style="width:714pt;height:415.5pt">
            <v:imagedata r:id="rId12" o:title=""/>
          </v:shape>
        </w:object>
      </w:r>
      <w:bookmarkStart w:id="5" w:name="_MON_1608382225"/>
      <w:bookmarkEnd w:id="5"/>
      <w:r w:rsidR="000C645B">
        <w:object w:dxaOrig="19395" w:dyaOrig="15012">
          <v:shape id="_x0000_i1029" type="#_x0000_t75" style="width:696pt;height:492pt">
            <v:imagedata r:id="rId13" o:title=""/>
          </v:shape>
        </w:object>
      </w:r>
      <w:bookmarkStart w:id="6" w:name="_MON_1601119066"/>
      <w:bookmarkEnd w:id="6"/>
      <w:r w:rsidR="00606660">
        <w:object w:dxaOrig="21151" w:dyaOrig="11655">
          <v:shape id="_x0000_i1030" type="#_x0000_t75" style="width:760.5pt;height:6in">
            <v:imagedata r:id="rId14" o:title=""/>
          </v:shape>
        </w:object>
      </w:r>
      <w:bookmarkStart w:id="7" w:name="_MON_1600844699"/>
      <w:bookmarkEnd w:id="7"/>
      <w:r w:rsidR="00667C47">
        <w:object w:dxaOrig="24690" w:dyaOrig="18934">
          <v:shape id="_x0000_i1031" type="#_x0000_t75" style="width:699pt;height:448.5pt">
            <v:imagedata r:id="rId15" o:title=""/>
          </v:shape>
        </w:object>
      </w:r>
    </w:p>
    <w:p w:rsidR="00E32708" w:rsidRDefault="00E32708" w:rsidP="00E32708">
      <w:pPr>
        <w:tabs>
          <w:tab w:val="left" w:pos="2430"/>
        </w:tabs>
        <w:jc w:val="center"/>
      </w:pPr>
    </w:p>
    <w:p w:rsidR="00E32708" w:rsidRDefault="00E32708" w:rsidP="00E32708">
      <w:pPr>
        <w:tabs>
          <w:tab w:val="left" w:pos="2430"/>
        </w:tabs>
        <w:jc w:val="center"/>
      </w:pP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mediante sus políticas del comité de administración durante el </w:t>
      </w:r>
      <w:r w:rsidR="00842ECF">
        <w:rPr>
          <w:rFonts w:cstheme="minorHAnsi"/>
        </w:rPr>
        <w:t>ejercicio fiscal</w:t>
      </w:r>
      <w:r w:rsidRPr="002B15A9">
        <w:rPr>
          <w:rFonts w:cstheme="minorHAnsi"/>
        </w:rPr>
        <w:t xml:space="preserve"> 201</w:t>
      </w:r>
      <w:r w:rsidR="00BB0147">
        <w:rPr>
          <w:rFonts w:cstheme="minorHAnsi"/>
        </w:rPr>
        <w:t>8</w:t>
      </w:r>
      <w:r w:rsidRPr="002B15A9">
        <w:rPr>
          <w:rFonts w:cstheme="minorHAnsi"/>
        </w:rPr>
        <w:t xml:space="preserve"> no creo reservas para el rubro de pasivos contingentes</w:t>
      </w:r>
      <w:r>
        <w:rPr>
          <w:rFonts w:ascii="Soberana Sans Light" w:hAnsi="Soberana Sans Light"/>
        </w:rPr>
        <w:t>.</w:t>
      </w: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 w:rsidP="00606660">
      <w:pPr>
        <w:ind w:left="708" w:hanging="708"/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373E01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NOTAS DE DESGLOSE</w:t>
      </w:r>
    </w:p>
    <w:p w:rsidR="00373E01" w:rsidRPr="00540418" w:rsidRDefault="00373E01" w:rsidP="00373E01">
      <w:pPr>
        <w:pStyle w:val="Texto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B42050" w:rsidRPr="00540418" w:rsidRDefault="00B420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AF004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Efectivo y </w:t>
      </w:r>
      <w:r w:rsidR="001210CF">
        <w:rPr>
          <w:rFonts w:ascii="Soberana Sans Light" w:hAnsi="Soberana Sans Light"/>
          <w:b/>
          <w:sz w:val="22"/>
          <w:szCs w:val="22"/>
          <w:lang w:val="es-MX"/>
        </w:rPr>
        <w:t>Equivalentes</w:t>
      </w:r>
    </w:p>
    <w:p w:rsidR="00AF0048" w:rsidRDefault="00B51A25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</w:t>
      </w:r>
      <w:r w:rsidR="00B0228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842ECF">
        <w:rPr>
          <w:rFonts w:ascii="Soberana Sans Light" w:hAnsi="Soberana Sans Light"/>
          <w:sz w:val="22"/>
          <w:szCs w:val="22"/>
          <w:lang w:val="es-MX"/>
        </w:rPr>
        <w:t>e</w:t>
      </w:r>
      <w:r w:rsidR="007E2328">
        <w:rPr>
          <w:rFonts w:ascii="Soberana Sans Light" w:hAnsi="Soberana Sans Light"/>
          <w:sz w:val="22"/>
          <w:szCs w:val="22"/>
          <w:lang w:val="es-MX"/>
        </w:rPr>
        <w:t xml:space="preserve">jercicio fiscal 2018, no se tienen fondos con afectación </w:t>
      </w:r>
      <w:r>
        <w:rPr>
          <w:rFonts w:ascii="Soberana Sans Light" w:hAnsi="Soberana Sans Light"/>
          <w:sz w:val="22"/>
          <w:szCs w:val="22"/>
          <w:lang w:val="es-MX"/>
        </w:rPr>
        <w:t>específica</w:t>
      </w:r>
      <w:r w:rsidR="007E2328">
        <w:rPr>
          <w:rFonts w:ascii="Soberana Sans Light" w:hAnsi="Soberana Sans Light"/>
          <w:sz w:val="22"/>
          <w:szCs w:val="22"/>
          <w:lang w:val="es-MX"/>
        </w:rPr>
        <w:t xml:space="preserve">. </w:t>
      </w:r>
    </w:p>
    <w:p w:rsidR="002541EB" w:rsidRDefault="002541E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42050" w:rsidRDefault="00B420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AF0048" w:rsidRDefault="001210CF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Derechos a recibir Efectivo y Equivalentes y Bienes o Servicios a Recibir</w:t>
      </w:r>
    </w:p>
    <w:p w:rsidR="00B42050" w:rsidRDefault="00B420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4678"/>
        <w:gridCol w:w="1559"/>
        <w:gridCol w:w="2268"/>
      </w:tblGrid>
      <w:tr w:rsidR="00461778" w:rsidTr="00B42050">
        <w:trPr>
          <w:trHeight w:val="506"/>
        </w:trPr>
        <w:tc>
          <w:tcPr>
            <w:tcW w:w="4678" w:type="dxa"/>
          </w:tcPr>
          <w:p w:rsidR="00461778" w:rsidRP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46177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Cuentas por cobrar a corto plazo a 90 días</w:t>
            </w:r>
          </w:p>
        </w:tc>
        <w:tc>
          <w:tcPr>
            <w:tcW w:w="1559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Monto</w:t>
            </w:r>
          </w:p>
        </w:tc>
        <w:tc>
          <w:tcPr>
            <w:tcW w:w="2268" w:type="dxa"/>
          </w:tcPr>
          <w:p w:rsidR="00461778" w:rsidRPr="00461778" w:rsidRDefault="00461778" w:rsidP="00B42050">
            <w:pPr>
              <w:pStyle w:val="ROMANOS"/>
              <w:spacing w:after="0" w:line="240" w:lineRule="exact"/>
              <w:ind w:left="432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46177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Factibilidad de cobro</w:t>
            </w:r>
          </w:p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</w:p>
        </w:tc>
      </w:tr>
      <w:tr w:rsidR="00461778" w:rsidTr="00B42050">
        <w:trPr>
          <w:trHeight w:val="241"/>
        </w:trPr>
        <w:tc>
          <w:tcPr>
            <w:tcW w:w="4678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Deudores Diversos por Cobrar</w:t>
            </w:r>
            <w:r w:rsidR="008C6F7E">
              <w:rPr>
                <w:rFonts w:ascii="Soberana Sans Light" w:hAnsi="Soberana Sans Light"/>
                <w:sz w:val="22"/>
                <w:szCs w:val="22"/>
                <w:lang w:val="es-MX"/>
              </w:rPr>
              <w:t>:</w:t>
            </w:r>
          </w:p>
        </w:tc>
        <w:tc>
          <w:tcPr>
            <w:tcW w:w="1559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</w:p>
        </w:tc>
      </w:tr>
      <w:tr w:rsidR="00461778" w:rsidTr="00B42050">
        <w:trPr>
          <w:trHeight w:val="265"/>
        </w:trPr>
        <w:tc>
          <w:tcPr>
            <w:tcW w:w="4678" w:type="dxa"/>
          </w:tcPr>
          <w:p w:rsidR="00461778" w:rsidRDefault="00461778" w:rsidP="00DB7F25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2018 </w:t>
            </w:r>
            <w:r w:rsidR="00DB7F25">
              <w:rPr>
                <w:rFonts w:ascii="Soberana Sans Light" w:hAnsi="Soberana Sans Light"/>
                <w:sz w:val="22"/>
                <w:szCs w:val="22"/>
                <w:lang w:val="es-MX"/>
              </w:rPr>
              <w:t>Gastos a comprobar</w:t>
            </w:r>
          </w:p>
        </w:tc>
        <w:tc>
          <w:tcPr>
            <w:tcW w:w="1559" w:type="dxa"/>
          </w:tcPr>
          <w:p w:rsidR="00461778" w:rsidRDefault="00FB1C70" w:rsidP="00975F09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33,93</w:t>
            </w:r>
            <w:r w:rsidR="00DB7F25"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2268" w:type="dxa"/>
          </w:tcPr>
          <w:p w:rsidR="00461778" w:rsidRDefault="00461778" w:rsidP="00B42050">
            <w:pPr>
              <w:pStyle w:val="INCISO"/>
              <w:spacing w:after="0" w:line="240" w:lineRule="exact"/>
              <w:ind w:left="36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Buena</w:t>
            </w:r>
          </w:p>
        </w:tc>
      </w:tr>
    </w:tbl>
    <w:p w:rsidR="00461778" w:rsidRDefault="0046177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CC610F" w:rsidRPr="00324A22" w:rsidRDefault="00CC610F" w:rsidP="00CC610F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CF5F45" w:rsidRDefault="00CF5F45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Bienes Disponibles para su </w:t>
      </w:r>
      <w:r w:rsidR="00461778">
        <w:rPr>
          <w:rFonts w:ascii="Soberana Sans Light" w:hAnsi="Soberana Sans Light"/>
          <w:b/>
          <w:sz w:val="22"/>
          <w:szCs w:val="22"/>
          <w:lang w:val="es-MX"/>
        </w:rPr>
        <w:t>Transformación</w:t>
      </w:r>
      <w:r>
        <w:rPr>
          <w:rFonts w:ascii="Soberana Sans Light" w:hAnsi="Soberana Sans Light"/>
          <w:b/>
          <w:sz w:val="22"/>
          <w:szCs w:val="22"/>
          <w:lang w:val="es-MX"/>
        </w:rPr>
        <w:t xml:space="preserve"> o Consumo (inventarios)</w:t>
      </w:r>
    </w:p>
    <w:p w:rsidR="00CF5F45" w:rsidRDefault="00B51A25" w:rsidP="00CF5F4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ente no realiza ningún proceso de transformación. </w:t>
      </w:r>
    </w:p>
    <w:p w:rsid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2541EB" w:rsidRDefault="002541EB" w:rsidP="00CF5F4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FB1C70" w:rsidRDefault="00FB1C70" w:rsidP="00B51A2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B1C70" w:rsidRDefault="00FB1C70" w:rsidP="00B51A2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FB1C70">
        <w:rPr>
          <w:rFonts w:ascii="Soberana Sans Light" w:hAnsi="Soberana Sans Light"/>
          <w:sz w:val="22"/>
          <w:szCs w:val="22"/>
          <w:lang w:val="es-MX"/>
        </w:rPr>
        <w:t>2018 inversiones temporales (hasta 3 meses)</w:t>
      </w:r>
    </w:p>
    <w:p w:rsidR="00FB1C70" w:rsidRDefault="00FB1C70" w:rsidP="00B51A2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B1C70" w:rsidRDefault="00FB1C70" w:rsidP="00B51A2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CONTRATO </w:t>
      </w:r>
      <w:r>
        <w:rPr>
          <w:rFonts w:ascii="Soberana Sans Light" w:hAnsi="Soberana Sans Light"/>
          <w:sz w:val="22"/>
          <w:szCs w:val="22"/>
          <w:lang w:val="es-MX"/>
        </w:rPr>
        <w:tab/>
        <w:t>TIPO DE INVERSION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  <w:t>MONTO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  <w:t>INSTITUCION</w:t>
      </w:r>
    </w:p>
    <w:p w:rsidR="00FB1C70" w:rsidRDefault="00FB1C70" w:rsidP="00FB1C7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31638E">
        <w:rPr>
          <w:rFonts w:ascii="Soberana Sans Light" w:hAnsi="Soberana Sans Light"/>
          <w:sz w:val="22"/>
          <w:szCs w:val="22"/>
          <w:lang w:val="es-MX"/>
        </w:rPr>
        <w:t xml:space="preserve">0504139888 </w:t>
      </w:r>
      <w:r w:rsidRPr="0031638E">
        <w:rPr>
          <w:rFonts w:ascii="Soberana Sans Light" w:hAnsi="Soberana Sans Light"/>
          <w:sz w:val="22"/>
          <w:szCs w:val="22"/>
          <w:lang w:val="es-MX"/>
        </w:rPr>
        <w:tab/>
      </w:r>
      <w:r w:rsidR="0031638E" w:rsidRPr="0031638E">
        <w:rPr>
          <w:rFonts w:ascii="Soberana Sans Light" w:hAnsi="Soberana Sans Light"/>
          <w:sz w:val="22"/>
          <w:szCs w:val="22"/>
          <w:lang w:val="es-MX"/>
        </w:rPr>
        <w:t>Fondo de I</w:t>
      </w:r>
      <w:r w:rsidRPr="0031638E">
        <w:rPr>
          <w:rFonts w:ascii="Soberana Sans Light" w:hAnsi="Soberana Sans Light"/>
          <w:sz w:val="22"/>
          <w:szCs w:val="22"/>
          <w:lang w:val="es-MX"/>
        </w:rPr>
        <w:t>nversión</w:t>
      </w:r>
      <w:r w:rsidR="0031638E" w:rsidRPr="0031638E">
        <w:rPr>
          <w:rFonts w:ascii="Soberana Sans Light" w:hAnsi="Soberana Sans Light"/>
          <w:sz w:val="22"/>
          <w:szCs w:val="22"/>
          <w:lang w:val="es-MX"/>
        </w:rPr>
        <w:t xml:space="preserve"> General</w:t>
      </w:r>
      <w:r w:rsidRPr="0031638E">
        <w:rPr>
          <w:rFonts w:ascii="Soberana Sans Light" w:hAnsi="Soberana Sans Light"/>
          <w:sz w:val="22"/>
          <w:szCs w:val="22"/>
          <w:lang w:val="es-MX"/>
        </w:rPr>
        <w:tab/>
        <w:t>$ 1´782,849.33</w:t>
      </w:r>
      <w:r w:rsidRPr="0031638E">
        <w:rPr>
          <w:rFonts w:ascii="Soberana Sans Light" w:hAnsi="Soberana Sans Light"/>
          <w:sz w:val="22"/>
          <w:szCs w:val="22"/>
          <w:lang w:val="es-MX"/>
        </w:rPr>
        <w:tab/>
      </w:r>
      <w:r w:rsidRPr="0031638E">
        <w:rPr>
          <w:rFonts w:ascii="Soberana Sans Light" w:hAnsi="Soberana Sans Light"/>
          <w:sz w:val="22"/>
          <w:szCs w:val="22"/>
          <w:lang w:val="es-MX"/>
        </w:rPr>
        <w:tab/>
        <w:t>BANCO MERCANTIL DEL NORTE S.A. INSTITUCION DE BANCA</w:t>
      </w:r>
    </w:p>
    <w:p w:rsidR="00CF5F45" w:rsidRP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CF5F45" w:rsidRDefault="00CF5F45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2541EB" w:rsidRDefault="002541E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Bienes Muebles, Inmuebles e Intangibles</w:t>
      </w: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F52B8F" w:rsidRDefault="00587661" w:rsidP="00BB0147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Se realizaron</w:t>
      </w:r>
      <w:r w:rsidR="007E504B">
        <w:rPr>
          <w:rFonts w:ascii="Soberana Sans Light" w:hAnsi="Soberana Sans Light"/>
          <w:sz w:val="22"/>
          <w:szCs w:val="22"/>
          <w:lang w:val="es-MX"/>
        </w:rPr>
        <w:t xml:space="preserve"> los registros contables en base a las normas de la CONAC; </w:t>
      </w:r>
      <w:r>
        <w:rPr>
          <w:rFonts w:ascii="Soberana Sans Light" w:hAnsi="Soberana Sans Light"/>
          <w:sz w:val="22"/>
          <w:szCs w:val="22"/>
          <w:lang w:val="es-MX"/>
        </w:rPr>
        <w:t>así como el levantamiento físico de inventarios de bienes al 31 de diciembre de 2018</w:t>
      </w:r>
      <w:r w:rsidR="00F52B8F">
        <w:rPr>
          <w:rFonts w:ascii="Soberana Sans Light" w:hAnsi="Soberana Sans Light"/>
          <w:sz w:val="22"/>
          <w:szCs w:val="22"/>
          <w:lang w:val="es-MX"/>
        </w:rPr>
        <w:t>.</w:t>
      </w:r>
      <w:r>
        <w:rPr>
          <w:rFonts w:ascii="Soberana Sans Light" w:hAnsi="Soberana Sans Light"/>
          <w:sz w:val="22"/>
          <w:szCs w:val="22"/>
          <w:lang w:val="es-MX"/>
        </w:rPr>
        <w:t xml:space="preserve"> Quedando como a continuación se detalla:</w:t>
      </w:r>
    </w:p>
    <w:p w:rsidR="00587661" w:rsidRDefault="00587661" w:rsidP="00BB0147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</w:p>
    <w:p w:rsidR="00587661" w:rsidRDefault="00587661" w:rsidP="00BB0147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6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1200"/>
      </w:tblGrid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BIENES INMUEBLES, INFRAESTRUCTURA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1,405,491.76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MUEBLES DE OFICINA Y ESTANTERÍA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5,061,579.22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MUEBLES, EXCEPTO DE OFICINA Y ESTANTERÍA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37,270.87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EQUIPO DE CÓMPUTO Y DE TECNOLOGÍAS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3,710,635.94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OTROS MOBILIARIOS Y EQUIPOS DE ADMINISTRACION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3,667,415.71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EQUIPOS Y APARATOS AUDIOVISUALES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69,172.00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 xml:space="preserve">OTRO MOBILIARIO Y EQUIPO EDUCACIONAL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353,667.01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EQUIPO MÉDICO Y DE LABORATORIO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8,465.18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VEHÍCULOS Y EQUIPO TERRESTRE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1,022,580.00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EQUIPO DE COMUNICACIÓN Y TELECOMUNICACIÓN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26,448.00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EQUIPOS DE GENERACIÓN ELÉCTRICA,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585,336.05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HERRAMIENTAS Y MÁQUINAS-HERRAMIENTA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2,774.00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OTROS EQUIPOS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48,952.00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BIENES ARTÍSTICOS, CULTURALES Y CIENTÍFICOS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239,261.22</w:t>
            </w:r>
          </w:p>
        </w:tc>
      </w:tr>
      <w:tr w:rsidR="00587661" w:rsidRPr="00587661" w:rsidTr="00587661">
        <w:trPr>
          <w:trHeight w:val="30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61" w:rsidRPr="00587661" w:rsidRDefault="00587661" w:rsidP="00587661">
            <w:pPr>
              <w:spacing w:after="0" w:line="240" w:lineRule="auto"/>
              <w:jc w:val="right"/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</w:pPr>
            <w:r w:rsidRPr="00587661">
              <w:rPr>
                <w:rFonts w:ascii="Soberana sa" w:eastAsia="Times New Roman" w:hAnsi="Soberana sa" w:cs="Calibri"/>
                <w:color w:val="000000"/>
                <w:sz w:val="16"/>
                <w:szCs w:val="16"/>
              </w:rPr>
              <w:t>271,965.34</w:t>
            </w:r>
          </w:p>
        </w:tc>
      </w:tr>
    </w:tbl>
    <w:p w:rsidR="00587661" w:rsidRDefault="00587661" w:rsidP="00BB0147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</w:p>
    <w:p w:rsidR="002541EB" w:rsidRDefault="007E504B" w:rsidP="00BB0147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2541EB" w:rsidRPr="00324A22" w:rsidRDefault="002541EB" w:rsidP="00BB0147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87661" w:rsidRDefault="00587661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87661">
        <w:rPr>
          <w:rFonts w:ascii="Soberana Sans Light" w:hAnsi="Soberana Sans Light"/>
          <w:sz w:val="22"/>
          <w:szCs w:val="22"/>
          <w:lang w:val="es-MX"/>
        </w:rPr>
        <w:t xml:space="preserve">En los anexos a esta cuenta se integra de forma detalla cada rubro de bienes. </w:t>
      </w:r>
    </w:p>
    <w:p w:rsidR="00273AA2" w:rsidRDefault="00273AA2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8C6F7E" w:rsidRDefault="008C6F7E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82FAF" w:rsidRDefault="00782FAF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782FAF" w:rsidRDefault="00B51A25" w:rsidP="00782FAF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ejercicio fiscal 2018, no se </w:t>
      </w:r>
      <w:r w:rsidR="00C067AA">
        <w:rPr>
          <w:rFonts w:ascii="Soberana Sans Light" w:hAnsi="Soberana Sans Light"/>
          <w:sz w:val="22"/>
          <w:szCs w:val="22"/>
          <w:lang w:val="es-MX"/>
        </w:rPr>
        <w:t>r</w:t>
      </w:r>
      <w:r w:rsidR="002D7CB0">
        <w:rPr>
          <w:rFonts w:ascii="Soberana Sans Light" w:hAnsi="Soberana Sans Light"/>
          <w:sz w:val="22"/>
          <w:szCs w:val="22"/>
          <w:lang w:val="es-MX"/>
        </w:rPr>
        <w:t>ealizaron estimaciones d</w:t>
      </w:r>
      <w:r w:rsidR="00C067AA">
        <w:rPr>
          <w:rFonts w:ascii="Soberana Sans Light" w:hAnsi="Soberana Sans Light"/>
          <w:sz w:val="22"/>
          <w:szCs w:val="22"/>
          <w:lang w:val="es-MX"/>
        </w:rPr>
        <w:t>e cuentas incobrables.</w:t>
      </w:r>
    </w:p>
    <w:p w:rsidR="00B51A25" w:rsidRDefault="00B51A25" w:rsidP="00782FAF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8C6F7E" w:rsidRDefault="008C6F7E" w:rsidP="00782FAF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8C6F7E" w:rsidRDefault="008C6F7E" w:rsidP="00782FAF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82FAF" w:rsidRDefault="00782FAF" w:rsidP="00782FAF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C067AA" w:rsidRDefault="00C067AA" w:rsidP="00C067A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 ejercicio fiscal 2018,</w:t>
      </w:r>
      <w:r w:rsidR="00F52B8F">
        <w:rPr>
          <w:rFonts w:ascii="Soberana Sans Light" w:hAnsi="Soberana Sans Light"/>
          <w:sz w:val="22"/>
          <w:szCs w:val="22"/>
          <w:lang w:val="es-MX"/>
        </w:rPr>
        <w:t xml:space="preserve"> no existen otros activos.</w:t>
      </w:r>
    </w:p>
    <w:p w:rsidR="00782FAF" w:rsidRDefault="00782FAF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82FAF" w:rsidRDefault="00782FAF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C07A43" w:rsidRDefault="00C07A43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FE6FE1" w:rsidRDefault="00FE6FE1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EF6025" w:rsidRDefault="00EF6025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10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309"/>
        <w:gridCol w:w="1309"/>
        <w:gridCol w:w="1200"/>
        <w:gridCol w:w="1660"/>
      </w:tblGrid>
      <w:tr w:rsidR="00EF6025" w:rsidRPr="00EF6025" w:rsidTr="00EF6025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25" w:rsidRPr="00EF6025" w:rsidRDefault="00EF6025" w:rsidP="00EF6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6025">
              <w:rPr>
                <w:rFonts w:ascii="Calibri" w:eastAsia="Times New Roman" w:hAnsi="Calibri" w:cs="Calibri"/>
                <w:b/>
                <w:bCs/>
                <w:color w:val="000000"/>
              </w:rPr>
              <w:t>CONCEPTO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6025">
              <w:rPr>
                <w:rFonts w:ascii="Calibri" w:eastAsia="Times New Roman" w:hAnsi="Calibri" w:cs="Calibri"/>
                <w:b/>
                <w:bCs/>
                <w:color w:val="000000"/>
              </w:rPr>
              <w:t>90 DÍAS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6025">
              <w:rPr>
                <w:rFonts w:ascii="Calibri" w:eastAsia="Times New Roman" w:hAnsi="Calibri" w:cs="Calibri"/>
                <w:b/>
                <w:bCs/>
                <w:color w:val="000000"/>
              </w:rPr>
              <w:t>180 DÍAS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6025">
              <w:rPr>
                <w:rFonts w:ascii="Calibri" w:eastAsia="Times New Roman" w:hAnsi="Calibri" w:cs="Calibri"/>
                <w:b/>
                <w:bCs/>
                <w:color w:val="000000"/>
              </w:rPr>
              <w:t>365 DÍAS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25" w:rsidRPr="00EF6025" w:rsidRDefault="00EF6025" w:rsidP="00EF6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6025">
              <w:rPr>
                <w:rFonts w:ascii="Calibri" w:eastAsia="Times New Roman" w:hAnsi="Calibri" w:cs="Calibri"/>
                <w:b/>
                <w:bCs/>
                <w:color w:val="000000"/>
              </w:rPr>
              <w:t>MAS DE 365 DÍAS</w:t>
            </w:r>
          </w:p>
        </w:tc>
      </w:tr>
      <w:tr w:rsidR="00EF6025" w:rsidRPr="00EF6025" w:rsidTr="00EF6025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6025">
              <w:rPr>
                <w:rFonts w:ascii="Calibri" w:eastAsia="Times New Roman" w:hAnsi="Calibri" w:cs="Calibri"/>
                <w:b/>
                <w:bCs/>
                <w:color w:val="000000"/>
              </w:rPr>
              <w:t>IMPUESTOS Y DERECHOS RETENIDOS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2,197,979.12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6025" w:rsidRPr="00EF6025" w:rsidTr="00EF6025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31638E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638E">
              <w:rPr>
                <w:rFonts w:ascii="Calibri" w:eastAsia="Times New Roman" w:hAnsi="Calibri" w:cs="Calibri"/>
                <w:b/>
                <w:bCs/>
                <w:color w:val="000000"/>
              </w:rPr>
              <w:t>10% DE IMPUESTO SOBRE LA RENTA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31638E" w:rsidRDefault="00EF6025" w:rsidP="00EF6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638E">
              <w:rPr>
                <w:rFonts w:ascii="Calibri" w:eastAsia="Times New Roman" w:hAnsi="Calibri" w:cs="Calibri"/>
                <w:color w:val="000000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31638E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3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31638E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3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6025" w:rsidRPr="00EF6025" w:rsidTr="00EF6025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31638E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638E">
              <w:rPr>
                <w:rFonts w:ascii="Calibri" w:eastAsia="Times New Roman" w:hAnsi="Calibri" w:cs="Calibri"/>
                <w:b/>
                <w:bCs/>
                <w:color w:val="000000"/>
              </w:rPr>
              <w:t>OTRAS OBLIGACIONES POR PAGAR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31638E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3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31638E" w:rsidRDefault="00EF6025" w:rsidP="00EF6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638E">
              <w:rPr>
                <w:rFonts w:ascii="Calibri" w:eastAsia="Times New Roman" w:hAnsi="Calibri" w:cs="Calibri"/>
                <w:color w:val="000000"/>
              </w:rPr>
              <w:t>6,000,000.00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31638E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3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6025" w:rsidRPr="00EF6025" w:rsidTr="00EF6025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6025">
              <w:rPr>
                <w:rFonts w:ascii="Calibri" w:eastAsia="Times New Roman" w:hAnsi="Calibri" w:cs="Calibri"/>
                <w:b/>
                <w:bCs/>
                <w:color w:val="000000"/>
              </w:rPr>
              <w:t>FONDOS AJENOS RETENCIÓN POR CUENTA DE TERCEROS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627,749.52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6025" w:rsidRPr="00EF6025" w:rsidTr="00EF6025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6025">
              <w:rPr>
                <w:rFonts w:ascii="Calibri" w:eastAsia="Times New Roman" w:hAnsi="Calibri" w:cs="Calibri"/>
                <w:b/>
                <w:bCs/>
                <w:color w:val="000000"/>
              </w:rPr>
              <w:t>SINDICATOS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158,755.01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6025" w:rsidRPr="00EF6025" w:rsidTr="00EF6025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6025">
              <w:rPr>
                <w:rFonts w:ascii="Calibri" w:eastAsia="Times New Roman" w:hAnsi="Calibri" w:cs="Calibri"/>
                <w:b/>
                <w:bCs/>
                <w:color w:val="000000"/>
              </w:rPr>
              <w:t>PENSIONES CIVILES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446,667.16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25" w:rsidRPr="00EF6025" w:rsidRDefault="00EF6025" w:rsidP="00EF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60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9061B" w:rsidRPr="00324A22" w:rsidRDefault="0039061B" w:rsidP="00EF602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C07A43" w:rsidRDefault="00C07A43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</w:p>
    <w:p w:rsidR="00C07A43" w:rsidRDefault="00C07A43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EF6025" w:rsidRDefault="00955EA2" w:rsidP="00EF6025">
      <w:pPr>
        <w:pStyle w:val="ROMANOS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Aprovechamientos de tipo corriente</w:t>
      </w:r>
      <w:r w:rsidR="00253663">
        <w:rPr>
          <w:rFonts w:ascii="Soberana Sans Light" w:hAnsi="Soberana Sans Light"/>
          <w:sz w:val="22"/>
          <w:szCs w:val="22"/>
          <w:lang w:val="es-MX"/>
        </w:rPr>
        <w:t xml:space="preserve">          </w:t>
      </w:r>
      <w:r w:rsidR="00EF6025">
        <w:rPr>
          <w:rFonts w:ascii="Soberana Sans Light" w:hAnsi="Soberana Sans Light"/>
          <w:sz w:val="22"/>
          <w:szCs w:val="22"/>
          <w:lang w:val="es-MX"/>
        </w:rPr>
        <w:t>71,165</w:t>
      </w:r>
    </w:p>
    <w:p w:rsidR="00E01504" w:rsidRPr="00540418" w:rsidRDefault="007E7212" w:rsidP="00EF6025">
      <w:pPr>
        <w:pStyle w:val="ROMANOS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Participaciones y Aportaciones</w:t>
      </w:r>
      <w:r w:rsidR="00253663">
        <w:rPr>
          <w:rFonts w:ascii="Soberana Sans Light" w:hAnsi="Soberana Sans Light"/>
          <w:sz w:val="22"/>
          <w:szCs w:val="22"/>
          <w:lang w:val="es-MX"/>
        </w:rPr>
        <w:t xml:space="preserve">         </w:t>
      </w:r>
      <w:r w:rsidR="00EF6025">
        <w:rPr>
          <w:rFonts w:ascii="Soberana Sans Light" w:hAnsi="Soberana Sans Light"/>
          <w:sz w:val="22"/>
          <w:szCs w:val="22"/>
          <w:lang w:val="es-MX"/>
        </w:rPr>
        <w:t>214,329,975</w:t>
      </w:r>
    </w:p>
    <w:p w:rsidR="00373E01" w:rsidRPr="00C211AA" w:rsidRDefault="007E7212" w:rsidP="007E7212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Otros Ingresos y Beneficios Varios     </w:t>
      </w:r>
      <w:r w:rsidR="00EF6025">
        <w:rPr>
          <w:rFonts w:ascii="Soberana Sans Light" w:hAnsi="Soberana Sans Light"/>
          <w:sz w:val="22"/>
          <w:szCs w:val="22"/>
          <w:lang w:val="es-MX"/>
        </w:rPr>
        <w:t>11,990,888</w:t>
      </w:r>
    </w:p>
    <w:p w:rsidR="00732688" w:rsidRDefault="00732688" w:rsidP="0073268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5502D" w:rsidRDefault="0075502D" w:rsidP="0073268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Dentro del rubro Otros Ingresos y Beneficios Varios se </w:t>
      </w:r>
      <w:r w:rsidR="00732688">
        <w:rPr>
          <w:rFonts w:ascii="Soberana Sans Light" w:hAnsi="Soberana Sans Light"/>
          <w:sz w:val="22"/>
          <w:szCs w:val="22"/>
          <w:lang w:val="es-MX"/>
        </w:rPr>
        <w:t xml:space="preserve">integra </w:t>
      </w:r>
      <w:r>
        <w:rPr>
          <w:rFonts w:ascii="Soberana Sans Light" w:hAnsi="Soberana Sans Light"/>
          <w:sz w:val="22"/>
          <w:szCs w:val="22"/>
          <w:lang w:val="es-MX"/>
        </w:rPr>
        <w:t>la devolución de ISR</w:t>
      </w:r>
      <w:r w:rsidR="00732688">
        <w:rPr>
          <w:rFonts w:ascii="Soberana Sans Light" w:hAnsi="Soberana Sans Light"/>
          <w:sz w:val="22"/>
          <w:szCs w:val="22"/>
          <w:lang w:val="es-MX"/>
        </w:rPr>
        <w:t xml:space="preserve"> del ejercicio </w:t>
      </w:r>
      <w:r w:rsidR="00E26A0F">
        <w:rPr>
          <w:rFonts w:ascii="Soberana Sans Light" w:hAnsi="Soberana Sans Light"/>
          <w:sz w:val="22"/>
          <w:szCs w:val="22"/>
          <w:lang w:val="es-MX"/>
        </w:rPr>
        <w:t>2018</w:t>
      </w:r>
      <w:r w:rsidR="00732688">
        <w:rPr>
          <w:rFonts w:ascii="Soberana Sans Light" w:hAnsi="Soberana Sans Light"/>
          <w:sz w:val="22"/>
          <w:szCs w:val="22"/>
          <w:lang w:val="es-MX"/>
        </w:rPr>
        <w:t>.</w:t>
      </w:r>
    </w:p>
    <w:p w:rsidR="00373E01" w:rsidRDefault="00373E01" w:rsidP="00373E01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56"/>
        <w:gridCol w:w="1820"/>
        <w:gridCol w:w="1600"/>
      </w:tblGrid>
      <w:tr w:rsidR="003D1E02" w:rsidRPr="003D1E02" w:rsidTr="003D1E0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CAPÍTULO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LXII LEGISLATURA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LXIII LEGISLATURA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2018</w:t>
            </w:r>
          </w:p>
        </w:tc>
      </w:tr>
      <w:tr w:rsidR="003D1E02" w:rsidRPr="003D1E02" w:rsidTr="003D1E0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SERVICIOS PERSONALES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65,070,236.03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33,210,254.45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98,280,490.48 </w:t>
            </w:r>
          </w:p>
        </w:tc>
      </w:tr>
      <w:tr w:rsidR="003D1E02" w:rsidRPr="003D1E02" w:rsidTr="003D1E0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MATERIALES Y SUMINISTROS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14,107,221.47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3,788,716.13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17,895,937.60 </w:t>
            </w:r>
          </w:p>
        </w:tc>
      </w:tr>
      <w:tr w:rsidR="003D1E02" w:rsidRPr="003D1E02" w:rsidTr="003D1E0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SERVICIOS GENERALES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29,473,182.96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2,804,458.84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32,277,641.80 </w:t>
            </w:r>
          </w:p>
        </w:tc>
      </w:tr>
      <w:tr w:rsidR="003D1E02" w:rsidRPr="003D1E02" w:rsidTr="003D1E0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AYUDAS SOCIALES A PERSONAS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65,789,532.46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18,118,396.11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83,907,928.57 </w:t>
            </w:r>
          </w:p>
        </w:tc>
      </w:tr>
      <w:tr w:rsidR="003D1E02" w:rsidRPr="003D1E02" w:rsidTr="003D1E0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174,440,172.92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57,921,825.53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02" w:rsidRPr="003D1E02" w:rsidRDefault="003D1E02" w:rsidP="003D1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D1E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232,361,998.45 </w:t>
            </w:r>
          </w:p>
        </w:tc>
      </w:tr>
    </w:tbl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732688" w:rsidRDefault="00732688" w:rsidP="004A0E52">
      <w:pPr>
        <w:pStyle w:val="ROMANOS"/>
        <w:tabs>
          <w:tab w:val="clear" w:pos="720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lastRenderedPageBreak/>
        <w:t xml:space="preserve">Debido a </w:t>
      </w:r>
      <w:r w:rsidR="00842ECF">
        <w:rPr>
          <w:rFonts w:ascii="Soberana Sans Light" w:hAnsi="Soberana Sans Light"/>
          <w:sz w:val="22"/>
          <w:szCs w:val="22"/>
          <w:lang w:val="es-MX"/>
        </w:rPr>
        <w:t xml:space="preserve">que </w:t>
      </w:r>
      <w:r>
        <w:rPr>
          <w:rFonts w:ascii="Soberana Sans Light" w:hAnsi="Soberana Sans Light"/>
          <w:sz w:val="22"/>
          <w:szCs w:val="22"/>
          <w:lang w:val="es-MX"/>
        </w:rPr>
        <w:t xml:space="preserve">una de </w:t>
      </w:r>
      <w:r w:rsidR="00602EA5">
        <w:rPr>
          <w:rFonts w:ascii="Soberana Sans Light" w:hAnsi="Soberana Sans Light"/>
          <w:sz w:val="22"/>
          <w:szCs w:val="22"/>
          <w:lang w:val="es-MX"/>
        </w:rPr>
        <w:t xml:space="preserve">las principales actividades de los diputados integrantes del Congreso de Estado de Tlaxcala </w:t>
      </w:r>
      <w:r>
        <w:rPr>
          <w:rFonts w:ascii="Soberana Sans Light" w:hAnsi="Soberana Sans Light"/>
          <w:sz w:val="22"/>
          <w:szCs w:val="22"/>
          <w:lang w:val="es-MX"/>
        </w:rPr>
        <w:t xml:space="preserve">es la </w:t>
      </w:r>
      <w:r w:rsidR="00602EA5">
        <w:rPr>
          <w:rFonts w:ascii="Soberana Sans Light" w:hAnsi="Soberana Sans Light"/>
          <w:sz w:val="22"/>
          <w:szCs w:val="22"/>
          <w:lang w:val="es-MX"/>
        </w:rPr>
        <w:t xml:space="preserve">gestión </w:t>
      </w:r>
      <w:r>
        <w:rPr>
          <w:rFonts w:ascii="Soberana Sans Light" w:hAnsi="Soberana Sans Light"/>
          <w:sz w:val="22"/>
          <w:szCs w:val="22"/>
          <w:lang w:val="es-MX"/>
        </w:rPr>
        <w:t>socia</w:t>
      </w:r>
      <w:r w:rsidR="00125C48">
        <w:rPr>
          <w:rFonts w:ascii="Soberana Sans Light" w:hAnsi="Soberana Sans Light"/>
          <w:sz w:val="22"/>
          <w:szCs w:val="22"/>
          <w:lang w:val="es-MX"/>
        </w:rPr>
        <w:t xml:space="preserve">l </w:t>
      </w:r>
      <w:r w:rsidR="00602EA5">
        <w:rPr>
          <w:rFonts w:ascii="Soberana Sans Light" w:hAnsi="Soberana Sans Light"/>
          <w:sz w:val="22"/>
          <w:szCs w:val="22"/>
          <w:lang w:val="es-MX"/>
        </w:rPr>
        <w:t>para la ciudadanía</w:t>
      </w:r>
      <w:r w:rsidR="00125C48">
        <w:rPr>
          <w:rFonts w:ascii="Soberana Sans Light" w:hAnsi="Soberana Sans Light"/>
          <w:sz w:val="22"/>
          <w:szCs w:val="22"/>
          <w:lang w:val="es-MX"/>
        </w:rPr>
        <w:t xml:space="preserve">; por tal motivo </w:t>
      </w:r>
      <w:r w:rsidR="004A0E52">
        <w:rPr>
          <w:rFonts w:ascii="Soberana Sans Light" w:hAnsi="Soberana Sans Light"/>
          <w:sz w:val="22"/>
          <w:szCs w:val="22"/>
          <w:lang w:val="es-MX"/>
        </w:rPr>
        <w:t>es</w:t>
      </w:r>
      <w:r w:rsidR="00602EA5">
        <w:rPr>
          <w:rFonts w:ascii="Soberana Sans Light" w:hAnsi="Soberana Sans Light"/>
          <w:sz w:val="22"/>
          <w:szCs w:val="22"/>
          <w:lang w:val="es-MX"/>
        </w:rPr>
        <w:t>to representa una erogación importante al gasto</w:t>
      </w:r>
      <w:r w:rsidR="009D2F86">
        <w:rPr>
          <w:rFonts w:ascii="Soberana Sans Light" w:hAnsi="Soberana Sans Light"/>
          <w:sz w:val="22"/>
          <w:szCs w:val="22"/>
          <w:lang w:val="es-MX"/>
        </w:rPr>
        <w:t xml:space="preserve">. </w:t>
      </w:r>
    </w:p>
    <w:p w:rsidR="00732688" w:rsidRDefault="00732688" w:rsidP="0073268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C07A43" w:rsidRDefault="00C07A43" w:rsidP="003D1E02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D80BCD" w:rsidRDefault="00D80BCD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D80BCD" w:rsidRPr="00180186" w:rsidRDefault="003D1E02" w:rsidP="00875426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En el ejercicio fiscal 2018 se realizó </w:t>
      </w:r>
      <w:r w:rsidR="00D80BCD" w:rsidRPr="00180186">
        <w:rPr>
          <w:rFonts w:ascii="Soberana Sans Light" w:hAnsi="Soberana Sans Light"/>
          <w:sz w:val="22"/>
          <w:szCs w:val="22"/>
          <w:lang w:val="es-MX"/>
        </w:rPr>
        <w:t xml:space="preserve"> una </w:t>
      </w:r>
      <w:r>
        <w:rPr>
          <w:rFonts w:ascii="Soberana Sans Light" w:hAnsi="Soberana Sans Light"/>
          <w:sz w:val="22"/>
          <w:szCs w:val="22"/>
          <w:lang w:val="es-MX"/>
        </w:rPr>
        <w:t xml:space="preserve"> afectación </w:t>
      </w:r>
      <w:r w:rsidR="00D80BCD" w:rsidRPr="00180186">
        <w:rPr>
          <w:rFonts w:ascii="Soberana Sans Light" w:hAnsi="Soberana Sans Light"/>
          <w:sz w:val="22"/>
          <w:szCs w:val="22"/>
          <w:lang w:val="es-MX"/>
        </w:rPr>
        <w:t xml:space="preserve">en </w:t>
      </w:r>
      <w:r w:rsidR="00875426" w:rsidRPr="00180186">
        <w:rPr>
          <w:rFonts w:ascii="Soberana Sans Light" w:hAnsi="Soberana Sans Light"/>
          <w:sz w:val="22"/>
          <w:szCs w:val="22"/>
          <w:lang w:val="es-MX"/>
        </w:rPr>
        <w:t>la actualización de la hacienda pública y patrimonio</w:t>
      </w:r>
      <w:r w:rsidR="00D80BCD" w:rsidRPr="00180186">
        <w:rPr>
          <w:rFonts w:ascii="Soberana Sans Light" w:hAnsi="Soberana Sans Light"/>
          <w:sz w:val="22"/>
          <w:szCs w:val="22"/>
          <w:lang w:val="es-MX"/>
        </w:rPr>
        <w:t xml:space="preserve"> por un monto</w:t>
      </w:r>
      <w:r w:rsidR="00875426" w:rsidRPr="00180186">
        <w:rPr>
          <w:rFonts w:ascii="Soberana Sans Light" w:hAnsi="Soberana Sans Light"/>
          <w:sz w:val="22"/>
          <w:szCs w:val="22"/>
          <w:lang w:val="es-MX"/>
        </w:rPr>
        <w:t xml:space="preserve"> neto</w:t>
      </w:r>
      <w:r w:rsidR="00D80BCD" w:rsidRPr="00180186">
        <w:rPr>
          <w:rFonts w:ascii="Soberana Sans Light" w:hAnsi="Soberana Sans Light"/>
          <w:sz w:val="22"/>
          <w:szCs w:val="22"/>
          <w:lang w:val="es-MX"/>
        </w:rPr>
        <w:t xml:space="preserve"> de $</w:t>
      </w:r>
      <w:r w:rsidR="00875426" w:rsidRPr="00180186">
        <w:rPr>
          <w:rFonts w:ascii="Soberana Sans Light" w:hAnsi="Soberana Sans Light"/>
          <w:sz w:val="22"/>
          <w:szCs w:val="22"/>
          <w:lang w:val="es-MX"/>
        </w:rPr>
        <w:t>6,212,569</w:t>
      </w:r>
      <w:r w:rsidR="00D80BCD" w:rsidRPr="00180186">
        <w:rPr>
          <w:rFonts w:ascii="Soberana Sans Light" w:hAnsi="Soberana Sans Light"/>
          <w:sz w:val="22"/>
          <w:szCs w:val="22"/>
          <w:lang w:val="es-MX"/>
        </w:rPr>
        <w:t xml:space="preserve">.00, debido a </w:t>
      </w:r>
      <w:r w:rsidR="00875426" w:rsidRPr="00180186">
        <w:rPr>
          <w:rFonts w:ascii="Soberana Sans Light" w:hAnsi="Soberana Sans Light"/>
          <w:sz w:val="22"/>
          <w:szCs w:val="22"/>
          <w:lang w:val="es-MX"/>
        </w:rPr>
        <w:t>la baja de bienes muebles</w:t>
      </w:r>
      <w:r w:rsidR="00180186" w:rsidRPr="00180186">
        <w:rPr>
          <w:rFonts w:ascii="Soberana Sans Light" w:hAnsi="Soberana Sans Light"/>
          <w:sz w:val="22"/>
          <w:szCs w:val="22"/>
          <w:lang w:val="es-MX"/>
        </w:rPr>
        <w:t xml:space="preserve"> por </w:t>
      </w:r>
      <w:r w:rsidRPr="00180186">
        <w:rPr>
          <w:rFonts w:ascii="Soberana Sans Light" w:hAnsi="Soberana Sans Light"/>
          <w:sz w:val="22"/>
          <w:szCs w:val="22"/>
          <w:lang w:val="es-MX"/>
        </w:rPr>
        <w:t>insolencia</w:t>
      </w:r>
      <w:r w:rsidR="00180186" w:rsidRPr="00180186">
        <w:rPr>
          <w:rFonts w:ascii="Soberana Sans Light" w:hAnsi="Soberana Sans Light"/>
          <w:sz w:val="22"/>
          <w:szCs w:val="22"/>
          <w:lang w:val="es-MX"/>
        </w:rPr>
        <w:t xml:space="preserve"> deterioro o extravío</w:t>
      </w:r>
      <w:r w:rsidR="00180186">
        <w:rPr>
          <w:rFonts w:ascii="Soberana Sans Light" w:hAnsi="Soberana Sans Light"/>
          <w:sz w:val="22"/>
          <w:szCs w:val="22"/>
          <w:lang w:val="es-MX"/>
        </w:rPr>
        <w:t>.</w:t>
      </w:r>
    </w:p>
    <w:p w:rsidR="00875426" w:rsidRDefault="00875426" w:rsidP="00875426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highlight w:val="yellow"/>
          <w:lang w:val="es-MX"/>
        </w:rPr>
      </w:pPr>
    </w:p>
    <w:p w:rsidR="00C07A43" w:rsidRPr="00E26A0F" w:rsidRDefault="00C07A43" w:rsidP="00875426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highlight w:val="yellow"/>
          <w:lang w:val="es-MX"/>
        </w:rPr>
      </w:pPr>
    </w:p>
    <w:p w:rsidR="00F52B8F" w:rsidRPr="00F52B8F" w:rsidRDefault="003D1E02" w:rsidP="0087542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Al cierre del</w:t>
      </w:r>
      <w:r w:rsidR="00EB2B47" w:rsidRPr="00F52B8F">
        <w:rPr>
          <w:rFonts w:ascii="Soberana Sans Light" w:hAnsi="Soberana Sans Light"/>
          <w:sz w:val="22"/>
          <w:szCs w:val="22"/>
          <w:lang w:val="es-MX"/>
        </w:rPr>
        <w:t xml:space="preserve"> ejercicio fiscal 2018 se tiene un </w:t>
      </w:r>
      <w:r w:rsidR="00875426" w:rsidRPr="00F52B8F">
        <w:rPr>
          <w:rFonts w:ascii="Soberana Sans Light" w:hAnsi="Soberana Sans Light"/>
          <w:sz w:val="22"/>
          <w:szCs w:val="22"/>
          <w:lang w:val="es-MX"/>
        </w:rPr>
        <w:t>des</w:t>
      </w:r>
      <w:r w:rsidR="00EB2B47" w:rsidRPr="00F52B8F">
        <w:rPr>
          <w:rFonts w:ascii="Soberana Sans Light" w:hAnsi="Soberana Sans Light"/>
          <w:sz w:val="22"/>
          <w:szCs w:val="22"/>
          <w:lang w:val="es-MX"/>
        </w:rPr>
        <w:t>ahorro de</w:t>
      </w:r>
      <w:r w:rsidR="00F52B8F" w:rsidRPr="00F52B8F">
        <w:rPr>
          <w:rFonts w:ascii="Soberana Sans Light" w:hAnsi="Soberana Sans Light"/>
          <w:sz w:val="22"/>
          <w:szCs w:val="22"/>
          <w:lang w:val="es-MX"/>
        </w:rPr>
        <w:t>:</w:t>
      </w:r>
    </w:p>
    <w:p w:rsidR="00F52B8F" w:rsidRPr="00F52B8F" w:rsidRDefault="00F52B8F" w:rsidP="0087542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4361" w:type="dxa"/>
        <w:tblLook w:val="04A0" w:firstRow="1" w:lastRow="0" w:firstColumn="1" w:lastColumn="0" w:noHBand="0" w:noVBand="1"/>
      </w:tblPr>
      <w:tblGrid>
        <w:gridCol w:w="2983"/>
        <w:gridCol w:w="1695"/>
      </w:tblGrid>
      <w:tr w:rsidR="00F52B8F" w:rsidRPr="003D1E02" w:rsidTr="00F52B8F">
        <w:tc>
          <w:tcPr>
            <w:tcW w:w="2983" w:type="dxa"/>
          </w:tcPr>
          <w:p w:rsidR="00F52B8F" w:rsidRPr="002C4FA2" w:rsidRDefault="00F52B8F" w:rsidP="00875426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2C4FA2">
              <w:rPr>
                <w:rFonts w:ascii="Soberana Sans Light" w:hAnsi="Soberana Sans Light"/>
                <w:sz w:val="22"/>
                <w:szCs w:val="22"/>
                <w:lang w:val="es-MX"/>
              </w:rPr>
              <w:t>IMPORTE A AGOSTO</w:t>
            </w:r>
          </w:p>
        </w:tc>
        <w:tc>
          <w:tcPr>
            <w:tcW w:w="1695" w:type="dxa"/>
          </w:tcPr>
          <w:p w:rsidR="00F52B8F" w:rsidRPr="002C4FA2" w:rsidRDefault="00F52B8F" w:rsidP="00875426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2C4FA2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-851,503</w:t>
            </w:r>
            <w:r w:rsidR="005B43C3">
              <w:rPr>
                <w:rFonts w:ascii="Soberana Sans Light" w:hAnsi="Soberana Sans Light"/>
                <w:sz w:val="22"/>
                <w:szCs w:val="22"/>
                <w:lang w:val="es-MX"/>
              </w:rPr>
              <w:t>.00</w:t>
            </w:r>
          </w:p>
        </w:tc>
      </w:tr>
      <w:tr w:rsidR="005B43C3" w:rsidRPr="003D1E02" w:rsidTr="00F52B8F">
        <w:tc>
          <w:tcPr>
            <w:tcW w:w="2983" w:type="dxa"/>
          </w:tcPr>
          <w:p w:rsidR="005B43C3" w:rsidRPr="002C4FA2" w:rsidRDefault="005B43C3" w:rsidP="005B43C3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GASTO NO RECONOCIDO AGOSTO</w:t>
            </w:r>
          </w:p>
        </w:tc>
        <w:tc>
          <w:tcPr>
            <w:tcW w:w="1695" w:type="dxa"/>
          </w:tcPr>
          <w:p w:rsidR="005B43C3" w:rsidRDefault="005B43C3" w:rsidP="00875426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5B43C3" w:rsidRPr="002C4FA2" w:rsidRDefault="005B43C3" w:rsidP="00875426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-721,698.00</w:t>
            </w:r>
          </w:p>
        </w:tc>
      </w:tr>
      <w:tr w:rsidR="00F52B8F" w:rsidRPr="003D1E02" w:rsidTr="00F52B8F">
        <w:tc>
          <w:tcPr>
            <w:tcW w:w="2983" w:type="dxa"/>
          </w:tcPr>
          <w:p w:rsidR="00F52B8F" w:rsidRPr="002C4FA2" w:rsidRDefault="00F52B8F" w:rsidP="003D1E02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2C4FA2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IMPORTE A </w:t>
            </w:r>
            <w:r w:rsidR="003D1E02" w:rsidRPr="002C4FA2">
              <w:rPr>
                <w:rFonts w:ascii="Soberana Sans Light" w:hAnsi="Soberana Sans Light"/>
                <w:sz w:val="22"/>
                <w:szCs w:val="22"/>
                <w:lang w:val="es-MX"/>
              </w:rPr>
              <w:t>DICIE</w:t>
            </w:r>
            <w:r w:rsidRPr="002C4FA2">
              <w:rPr>
                <w:rFonts w:ascii="Soberana Sans Light" w:hAnsi="Soberana Sans Light"/>
                <w:sz w:val="22"/>
                <w:szCs w:val="22"/>
                <w:lang w:val="es-MX"/>
              </w:rPr>
              <w:t>MBRE</w:t>
            </w:r>
          </w:p>
        </w:tc>
        <w:tc>
          <w:tcPr>
            <w:tcW w:w="1695" w:type="dxa"/>
          </w:tcPr>
          <w:p w:rsidR="00F52B8F" w:rsidRPr="002C4FA2" w:rsidRDefault="00F52B8F" w:rsidP="005B43C3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2C4FA2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-</w:t>
            </w:r>
            <w:r w:rsidR="005B43C3">
              <w:rPr>
                <w:rFonts w:ascii="Soberana Sans Light" w:hAnsi="Soberana Sans Light"/>
                <w:sz w:val="22"/>
                <w:szCs w:val="22"/>
                <w:lang w:val="es-MX"/>
              </w:rPr>
              <w:t>4</w:t>
            </w:r>
            <w:r w:rsidR="003D1E02" w:rsidRPr="002C4FA2">
              <w:rPr>
                <w:rFonts w:ascii="Soberana Sans Light" w:hAnsi="Soberana Sans Light"/>
                <w:sz w:val="22"/>
                <w:szCs w:val="22"/>
                <w:lang w:val="es-MX"/>
              </w:rPr>
              <w:t>´</w:t>
            </w:r>
            <w:r w:rsidR="005B43C3">
              <w:rPr>
                <w:rFonts w:ascii="Soberana Sans Light" w:hAnsi="Soberana Sans Light"/>
                <w:sz w:val="22"/>
                <w:szCs w:val="22"/>
                <w:lang w:val="es-MX"/>
              </w:rPr>
              <w:t>396,770</w:t>
            </w:r>
          </w:p>
        </w:tc>
      </w:tr>
      <w:tr w:rsidR="00F52B8F" w:rsidRPr="00F52B8F" w:rsidTr="00F52B8F">
        <w:tc>
          <w:tcPr>
            <w:tcW w:w="2983" w:type="dxa"/>
          </w:tcPr>
          <w:p w:rsidR="00F52B8F" w:rsidRPr="002C4FA2" w:rsidRDefault="00F52B8F" w:rsidP="00875426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2C4FA2">
              <w:rPr>
                <w:rFonts w:ascii="Soberana Sans Light" w:hAnsi="Soberana Sans Light"/>
                <w:sz w:val="22"/>
                <w:szCs w:val="22"/>
                <w:lang w:val="es-MX"/>
              </w:rPr>
              <w:t>TOTAL</w:t>
            </w:r>
          </w:p>
        </w:tc>
        <w:tc>
          <w:tcPr>
            <w:tcW w:w="1695" w:type="dxa"/>
          </w:tcPr>
          <w:p w:rsidR="00F52B8F" w:rsidRPr="002C4FA2" w:rsidRDefault="003D1E02" w:rsidP="00875426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2C4FA2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-5´969,971</w:t>
            </w:r>
          </w:p>
        </w:tc>
      </w:tr>
    </w:tbl>
    <w:p w:rsidR="00482D8D" w:rsidRDefault="00EB2B47" w:rsidP="0087542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E26A0F">
        <w:rPr>
          <w:rFonts w:ascii="Soberana Sans Light" w:hAnsi="Soberana Sans Light"/>
          <w:sz w:val="22"/>
          <w:szCs w:val="22"/>
          <w:highlight w:val="yellow"/>
          <w:lang w:val="es-MX"/>
        </w:rPr>
        <w:t xml:space="preserve"> </w:t>
      </w:r>
    </w:p>
    <w:p w:rsidR="008C6F7E" w:rsidRDefault="008C6F7E" w:rsidP="0087542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8C6F7E" w:rsidRDefault="008C6F7E" w:rsidP="0087542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875426" w:rsidRPr="00540418" w:rsidRDefault="00875426" w:rsidP="0087542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39061B" w:rsidRDefault="0039061B" w:rsidP="0039061B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417"/>
        <w:gridCol w:w="1327"/>
      </w:tblGrid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917B09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917B09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917B09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917B09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D1E02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</w:t>
            </w:r>
            <w:r w:rsidR="00E26A0F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872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917B09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997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926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D1E02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1,782,849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D1E02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1,786,722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917B09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997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926</w:t>
            </w:r>
          </w:p>
        </w:tc>
      </w:tr>
    </w:tbl>
    <w:p w:rsidR="0039061B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C34F4" w:rsidRDefault="009C34F4" w:rsidP="008A19E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C34F4" w:rsidRDefault="009C34F4" w:rsidP="008A19E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D1E02" w:rsidRDefault="003D1E02" w:rsidP="008A19E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D1E02" w:rsidRDefault="003D1E02" w:rsidP="008A19E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D1E02" w:rsidRDefault="003D1E02" w:rsidP="008A19E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Default="00125C48" w:rsidP="009C34F4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Se adquirieron bienes </w:t>
      </w:r>
      <w:r w:rsidR="003D1E02">
        <w:rPr>
          <w:rFonts w:ascii="Soberana Sans Light" w:hAnsi="Soberana Sans Light"/>
          <w:sz w:val="22"/>
          <w:szCs w:val="22"/>
          <w:lang w:val="es-MX"/>
        </w:rPr>
        <w:t xml:space="preserve">en el ejercicio como a continuación se detallan: </w:t>
      </w:r>
    </w:p>
    <w:p w:rsidR="00DE7749" w:rsidRDefault="00DE7749" w:rsidP="00DE774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DE7749" w:rsidRDefault="00DE7749" w:rsidP="00DE774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DE7749" w:rsidRPr="00540418" w:rsidRDefault="00DE7749" w:rsidP="00DE774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74"/>
        <w:gridCol w:w="1417"/>
      </w:tblGrid>
      <w:tr w:rsidR="001B0600" w:rsidRPr="00540418" w:rsidTr="00343C37">
        <w:trPr>
          <w:cantSplit/>
          <w:jc w:val="center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1B0600" w:rsidRDefault="001B0600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1B0600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Bienes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1B0600" w:rsidRDefault="001B060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1B0600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1B0600" w:rsidRPr="00540418" w:rsidTr="00343C37">
        <w:trPr>
          <w:cantSplit/>
          <w:jc w:val="center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3D1E02" w:rsidRDefault="003D1E02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12"/>
                <w:szCs w:val="1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</w:t>
            </w:r>
            <w:r w:rsidRPr="003D1E02">
              <w:rPr>
                <w:rFonts w:ascii="Soberana Sans Light" w:hAnsi="Soberana Sans Light"/>
                <w:sz w:val="22"/>
                <w:szCs w:val="22"/>
                <w:lang w:val="es-MX"/>
              </w:rPr>
              <w:t>uebles de oficina y estantería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343C37" w:rsidP="001F350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</w:t>
            </w:r>
            <w:r w:rsidR="001F350B">
              <w:rPr>
                <w:rFonts w:ascii="Soberana Sans Light" w:hAnsi="Soberana Sans Light"/>
                <w:sz w:val="22"/>
                <w:szCs w:val="22"/>
                <w:lang w:val="es-MX"/>
              </w:rPr>
              <w:t>80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31638E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  <w:r w:rsidR="001F350B">
              <w:rPr>
                <w:rFonts w:ascii="Soberana Sans Light" w:hAnsi="Soberana Sans Light"/>
                <w:sz w:val="22"/>
                <w:szCs w:val="22"/>
                <w:lang w:val="es-MX"/>
              </w:rPr>
              <w:t>30.00</w:t>
            </w:r>
          </w:p>
        </w:tc>
      </w:tr>
      <w:tr w:rsidR="001B0600" w:rsidRPr="00540418" w:rsidTr="00343C37">
        <w:trPr>
          <w:cantSplit/>
          <w:jc w:val="center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3D1E02" w:rsidRDefault="003D1E02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3D1E02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Equipo de cómputo y de tecnologías de la información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343C37" w:rsidP="001F350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</w:t>
            </w:r>
            <w:r w:rsidR="001F350B">
              <w:rPr>
                <w:rFonts w:ascii="Soberana Sans Light" w:hAnsi="Soberana Sans Light"/>
                <w:sz w:val="22"/>
                <w:szCs w:val="22"/>
                <w:lang w:val="es-MX"/>
              </w:rPr>
              <w:t>1´321,475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.00</w:t>
            </w:r>
            <w:r w:rsidR="001B0600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</w:t>
            </w:r>
          </w:p>
        </w:tc>
      </w:tr>
      <w:tr w:rsidR="003D1E02" w:rsidRPr="00540418" w:rsidTr="00343C37">
        <w:trPr>
          <w:cantSplit/>
          <w:jc w:val="center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2" w:rsidRPr="003D1E02" w:rsidRDefault="003D1E02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3D1E02">
              <w:rPr>
                <w:rFonts w:ascii="Soberana Sans Light" w:hAnsi="Soberana Sans Light"/>
                <w:sz w:val="22"/>
                <w:szCs w:val="22"/>
                <w:lang w:val="es-MX"/>
              </w:rPr>
              <w:t>Otros mobiliarios y equipos de administración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2" w:rsidRDefault="001F350B" w:rsidP="00E26A0F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22,736.00</w:t>
            </w:r>
          </w:p>
        </w:tc>
      </w:tr>
      <w:tr w:rsidR="003D1E02" w:rsidRPr="00540418" w:rsidTr="00343C37">
        <w:trPr>
          <w:cantSplit/>
          <w:jc w:val="center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2" w:rsidRPr="003D1E02" w:rsidRDefault="003D1E02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3D1E02">
              <w:rPr>
                <w:rFonts w:ascii="Soberana Sans Light" w:hAnsi="Soberana Sans Light"/>
                <w:sz w:val="22"/>
                <w:szCs w:val="22"/>
                <w:lang w:val="es-MX"/>
              </w:rPr>
              <w:t>Otros equipos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2" w:rsidRDefault="001F350B" w:rsidP="00E26A0F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19,488.00</w:t>
            </w:r>
          </w:p>
        </w:tc>
      </w:tr>
      <w:tr w:rsidR="001B0600" w:rsidRPr="00540418" w:rsidTr="00343C37">
        <w:trPr>
          <w:cantSplit/>
          <w:jc w:val="center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125C48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Total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F52B8F" w:rsidRDefault="001F350B" w:rsidP="0031638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1´64</w:t>
            </w:r>
            <w:r w:rsidR="0031638E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4,5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29</w:t>
            </w:r>
          </w:p>
        </w:tc>
      </w:tr>
    </w:tbl>
    <w:p w:rsidR="00776170" w:rsidRDefault="0077617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C07A43" w:rsidRDefault="00C07A4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76170" w:rsidRDefault="0077617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C07A43" w:rsidRDefault="00C07A4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776170" w:rsidP="00776170">
      <w:pPr>
        <w:pStyle w:val="Texto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776170" w:rsidRDefault="00776170" w:rsidP="00776170">
      <w:pPr>
        <w:pStyle w:val="Texto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54"/>
        <w:gridCol w:w="1541"/>
        <w:gridCol w:w="1327"/>
      </w:tblGrid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343C37" w:rsidP="00EE2603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-</w:t>
            </w:r>
            <w:r w:rsidR="00EE2603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EE2603">
              <w:rPr>
                <w:rFonts w:ascii="Soberana Sans Light" w:hAnsi="Soberana Sans Light"/>
                <w:sz w:val="22"/>
                <w:szCs w:val="22"/>
                <w:lang w:val="es-MX"/>
              </w:rPr>
              <w:t>969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,9</w:t>
            </w:r>
            <w:r w:rsidR="00EE2603">
              <w:rPr>
                <w:rFonts w:ascii="Soberana Sans Light" w:hAnsi="Soberana Sans Light"/>
                <w:sz w:val="22"/>
                <w:szCs w:val="22"/>
                <w:lang w:val="es-MX"/>
              </w:rPr>
              <w:t>71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22778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27</w:t>
            </w:r>
            <w:r w:rsidR="00776170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929</w:t>
            </w:r>
            <w:r w:rsidR="00776170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045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Movimientos de partidas (o rubros) que no afectan al efectivo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3D1E02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3D1E0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832A36" w:rsidRDefault="00832A36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832A36" w:rsidRDefault="00832A36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C07A43" w:rsidRDefault="00C07A43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C07A43" w:rsidRDefault="00C07A43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39061B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</w:t>
      </w:r>
      <w:r w:rsidR="00832A36">
        <w:rPr>
          <w:rFonts w:ascii="Soberana Sans Light" w:hAnsi="Soberana Sans Light"/>
          <w:sz w:val="22"/>
          <w:szCs w:val="22"/>
          <w:lang w:val="es-MX"/>
        </w:rPr>
        <w:t xml:space="preserve"> atendiendo a lo dispuesto por el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Acuerdo por el que se emite el formato de conciliación entre los ingresos presupuestarios y contables, así como entre los egresos presupuestarios y los gastos contables.</w:t>
      </w:r>
    </w:p>
    <w:p w:rsidR="0044253C" w:rsidRDefault="000310FB" w:rsidP="00606660">
      <w:pPr>
        <w:pStyle w:val="Texto"/>
        <w:tabs>
          <w:tab w:val="left" w:pos="5194"/>
        </w:tabs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pict>
          <v:shape id="_x0000_s1028" type="#_x0000_t75" style="position:absolute;left:0;text-align:left;margin-left:52.75pt;margin-top:13.25pt;width:526.05pt;height:283.4pt;z-index:251658240">
            <v:imagedata r:id="rId16" o:title=""/>
            <w10:wrap type="topAndBottom"/>
          </v:shape>
        </w:pic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C34F4" w:rsidRDefault="009C34F4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C34F4" w:rsidRDefault="009C34F4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C34F4" w:rsidRDefault="009C34F4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C34F4" w:rsidRDefault="000310F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noProof/>
        </w:rPr>
        <w:lastRenderedPageBreak/>
        <w:pict>
          <v:shape id="_x0000_s1030" type="#_x0000_t75" style="position:absolute;left:0;text-align:left;margin-left:71pt;margin-top:13.8pt;width:613.65pt;height:312.85pt;z-index:251660288">
            <v:imagedata r:id="rId17" o:title=""/>
            <w10:wrap type="topAndBottom"/>
          </v:shape>
        </w:pict>
      </w:r>
    </w:p>
    <w:p w:rsidR="009C34F4" w:rsidRDefault="009C34F4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C34F4" w:rsidRDefault="009C34F4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C34F4" w:rsidRDefault="009C34F4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D3342" w:rsidRDefault="008D334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D3342" w:rsidRDefault="008D334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D3342" w:rsidRDefault="008D334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D3342" w:rsidRDefault="008D334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D3342" w:rsidRDefault="008D334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FD279C" w:rsidRDefault="00FD279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FD279C" w:rsidRDefault="00FD279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C34F4" w:rsidRDefault="009C34F4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D506F1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077D1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Las cuentas de orden presupuestarias que se manejan son las siguientes:</w:t>
      </w:r>
    </w:p>
    <w:p w:rsidR="00D701D4" w:rsidRDefault="00D701D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8657A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13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440"/>
        <w:gridCol w:w="1200"/>
        <w:gridCol w:w="4460"/>
        <w:gridCol w:w="1440"/>
      </w:tblGrid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DEUDORAS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ACREEDORAS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LEY DE INGRESOS ESTIMADA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178,740,000.00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LEY DE INGRESOS POR EJECUTAR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168,835.10</w:t>
            </w:r>
          </w:p>
        </w:tc>
      </w:tr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AMPLIACIONES Y MODIFICACIONES POSITIVAS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48,550,865.84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REDUCCIONES Y MODIFICACIONES NEGATIVAS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730,002.89</w:t>
            </w:r>
          </w:p>
        </w:tc>
      </w:tr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 LA LEY DE INGRESOS ESTIMADA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 LA LEY DE INGRESOS ESTIMADA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PRESUPUESTO DE EGRESOS POR EJERCER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-7,445,664.07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LEY DE INGRESOS RECAUDADA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226,392,027.85</w:t>
            </w:r>
          </w:p>
        </w:tc>
      </w:tr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REDUCCIONES Y MODIFICACIONES NEGATIVAS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26,277,934.60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PRESUPUESTO DE EGRESOS APROBADO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178,740,000.00</w:t>
            </w:r>
          </w:p>
        </w:tc>
      </w:tr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 PRESUPUESTO DE EGRESOS APROBADO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AMPLIACIONES Y MODIFICACIONES POSITIVAS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74,098,797.55</w:t>
            </w:r>
          </w:p>
        </w:tc>
      </w:tr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PRESUPUESTO DE EGRESOS DEVENGADO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272,727.50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 PRESUPUESTO DE EGRESOS APROBADO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PRESUPUESTO DE EGRESOS PAGADO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233,733,799.52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1D4" w:rsidRPr="00D701D4" w:rsidTr="00D701D4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DE DEUDORAS................................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480,129,663.39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DE ACREEDORAS..............................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D4" w:rsidRPr="00D701D4" w:rsidRDefault="00D701D4" w:rsidP="00D70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01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480,129,663.39</w:t>
            </w:r>
          </w:p>
        </w:tc>
      </w:tr>
    </w:tbl>
    <w:p w:rsidR="00F8657A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701D4" w:rsidRPr="00540418" w:rsidRDefault="00D701D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Default="00540418" w:rsidP="00AF2D47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GESTIÓN ADMINISTRATIVA</w:t>
      </w:r>
    </w:p>
    <w:p w:rsidR="00AF2D47" w:rsidRDefault="00AF2D47" w:rsidP="00AF2D47">
      <w:pPr>
        <w:pStyle w:val="Texto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852311" w:rsidRDefault="00B90DC9" w:rsidP="009E5B7E">
      <w:pPr>
        <w:pStyle w:val="Texto"/>
        <w:numPr>
          <w:ilvl w:val="0"/>
          <w:numId w:val="8"/>
        </w:numPr>
        <w:spacing w:after="0" w:line="240" w:lineRule="exact"/>
        <w:jc w:val="lef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Introducción.</w:t>
      </w:r>
    </w:p>
    <w:p w:rsidR="00B90DC9" w:rsidRDefault="00B90DC9" w:rsidP="00B90DC9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D506F1" w:rsidRDefault="00D506F1" w:rsidP="008D4BB7">
      <w:pPr>
        <w:jc w:val="both"/>
        <w:rPr>
          <w:rFonts w:ascii="Soberana sans" w:hAnsi="Soberana sans" w:cs="Arial"/>
        </w:rPr>
      </w:pPr>
      <w:r w:rsidRPr="00D506F1">
        <w:rPr>
          <w:rFonts w:ascii="Soberana sans" w:hAnsi="Soberana sans" w:cs="Arial"/>
        </w:rPr>
        <w:t xml:space="preserve">Cumpliendo con las disposiciones </w:t>
      </w:r>
      <w:r w:rsidR="00083A74">
        <w:rPr>
          <w:rFonts w:ascii="Soberana sans" w:hAnsi="Soberana sans" w:cs="Arial"/>
        </w:rPr>
        <w:t xml:space="preserve">de la Ley General de Contabilidad Gubernamental </w:t>
      </w:r>
      <w:r w:rsidRPr="00D506F1">
        <w:rPr>
          <w:rFonts w:ascii="Soberana sans" w:hAnsi="Soberana sans" w:cs="Arial"/>
        </w:rPr>
        <w:t xml:space="preserve"> aplicables, con el fin de </w:t>
      </w:r>
      <w:r w:rsidR="00E46D8E">
        <w:rPr>
          <w:rFonts w:ascii="Soberana sans" w:hAnsi="Soberana sans" w:cs="Arial"/>
        </w:rPr>
        <w:t xml:space="preserve">armonizar  y </w:t>
      </w:r>
      <w:r w:rsidRPr="00D506F1">
        <w:rPr>
          <w:rFonts w:ascii="Soberana sans" w:hAnsi="Soberana sans" w:cs="Arial"/>
        </w:rPr>
        <w:t xml:space="preserve">transparentar el uso de los recursos públicos </w:t>
      </w:r>
      <w:r w:rsidR="00E12E1C">
        <w:rPr>
          <w:rFonts w:ascii="Soberana sans" w:hAnsi="Soberana sans" w:cs="Arial"/>
        </w:rPr>
        <w:t>el Congreso del Estado de Tlaxcala presenta</w:t>
      </w:r>
      <w:r w:rsidRPr="00D506F1">
        <w:rPr>
          <w:rFonts w:ascii="Soberana sans" w:hAnsi="Soberana sans" w:cs="Arial"/>
        </w:rPr>
        <w:t xml:space="preserve"> la cuenta pública armonizada</w:t>
      </w:r>
      <w:r w:rsidR="00E12E1C">
        <w:rPr>
          <w:rFonts w:ascii="Soberana sans" w:hAnsi="Soberana sans" w:cs="Arial"/>
        </w:rPr>
        <w:t xml:space="preserve"> que integra, </w:t>
      </w:r>
      <w:r w:rsidRPr="00D506F1">
        <w:rPr>
          <w:rFonts w:ascii="Soberana sans" w:hAnsi="Soberana sans" w:cs="Arial"/>
        </w:rPr>
        <w:t>la información contable, presupuestal y programática del ejercicio 2018</w:t>
      </w:r>
      <w:r w:rsidR="00E46D8E">
        <w:rPr>
          <w:rFonts w:ascii="Soberana sans" w:hAnsi="Soberana sans" w:cs="Arial"/>
        </w:rPr>
        <w:t>;</w:t>
      </w:r>
      <w:r w:rsidRPr="00D506F1">
        <w:rPr>
          <w:rFonts w:ascii="Soberana sans" w:hAnsi="Soberana sans" w:cs="Arial"/>
        </w:rPr>
        <w:t xml:space="preserve"> cuyo objetivo es que la sociedad tenga acceso y conocimiento del gasto real ejercido</w:t>
      </w:r>
      <w:r w:rsidR="00602EA5">
        <w:rPr>
          <w:rFonts w:ascii="Soberana sans" w:hAnsi="Soberana sans" w:cs="Arial"/>
        </w:rPr>
        <w:t>,</w:t>
      </w:r>
      <w:r w:rsidRPr="00D506F1">
        <w:rPr>
          <w:rFonts w:ascii="Soberana sans" w:hAnsi="Soberana sans" w:cs="Arial"/>
        </w:rPr>
        <w:t xml:space="preserve"> ayuda a esta institución establecer una legislación acorde al contexto del estado que coadyuve a desarrollar los sectores económicos, sociales, culturales y políticos</w:t>
      </w:r>
      <w:r w:rsidR="00602EA5">
        <w:rPr>
          <w:rFonts w:ascii="Soberana sans" w:hAnsi="Soberana sans" w:cs="Arial"/>
        </w:rPr>
        <w:t>, de este modo generar u</w:t>
      </w:r>
      <w:r w:rsidRPr="00D506F1">
        <w:rPr>
          <w:rFonts w:ascii="Soberana sans" w:hAnsi="Soberana sans" w:cs="Arial"/>
        </w:rPr>
        <w:t>na mejor calidad de vida entre los ciudadanos.</w:t>
      </w:r>
    </w:p>
    <w:p w:rsidR="00832A36" w:rsidRDefault="00832A36" w:rsidP="008D4BB7">
      <w:pPr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En relación a</w:t>
      </w:r>
      <w:r w:rsidR="00842ECF">
        <w:rPr>
          <w:rFonts w:ascii="Soberana sans" w:hAnsi="Soberana sans" w:cs="Arial"/>
        </w:rPr>
        <w:t xml:space="preserve">l ejercicio fiscal 2018 </w:t>
      </w:r>
      <w:r>
        <w:rPr>
          <w:rFonts w:ascii="Soberana sans" w:hAnsi="Soberana sans" w:cs="Arial"/>
        </w:rPr>
        <w:t xml:space="preserve">se presenta la modificación al artículo cuarto del Título primero de la Ley Orgánica del Poder Legislativo del Estado de Tlaxcala, por el cual se modifica el periodo legislativo para que a partir del día 29 de agosto de 2018 se inicie la Legislatura </w:t>
      </w:r>
      <w:r w:rsidR="00FD279C">
        <w:rPr>
          <w:rFonts w:ascii="Soberana sans" w:hAnsi="Soberana sans" w:cs="Arial"/>
        </w:rPr>
        <w:t>LXIII</w:t>
      </w:r>
      <w:r>
        <w:rPr>
          <w:rFonts w:ascii="Soberana sans" w:hAnsi="Soberana sans" w:cs="Arial"/>
        </w:rPr>
        <w:t xml:space="preserve">; por lo tanto la Legislatura LXII tuvo bajo su responsabilidad </w:t>
      </w:r>
      <w:r w:rsidR="009C34F4">
        <w:rPr>
          <w:rFonts w:ascii="Soberana sans" w:hAnsi="Soberana sans" w:cs="Arial"/>
        </w:rPr>
        <w:t xml:space="preserve">el periodo comprendido </w:t>
      </w:r>
      <w:r>
        <w:rPr>
          <w:rFonts w:ascii="Soberana sans" w:hAnsi="Soberana sans" w:cs="Arial"/>
        </w:rPr>
        <w:t xml:space="preserve">de Enero a Agosto y la Legislatura LXIII </w:t>
      </w:r>
      <w:r w:rsidR="009C34F4">
        <w:rPr>
          <w:rFonts w:ascii="Soberana sans" w:hAnsi="Soberana sans" w:cs="Arial"/>
        </w:rPr>
        <w:t xml:space="preserve">el </w:t>
      </w:r>
      <w:r w:rsidR="00FD279C">
        <w:rPr>
          <w:rFonts w:ascii="Soberana sans" w:hAnsi="Soberana sans" w:cs="Arial"/>
        </w:rPr>
        <w:t>periodo comprendido de Septiembre a Diciembre</w:t>
      </w:r>
      <w:r w:rsidR="009C34F4">
        <w:rPr>
          <w:rFonts w:ascii="Soberana sans" w:hAnsi="Soberana sans" w:cs="Arial"/>
        </w:rPr>
        <w:t>.</w:t>
      </w:r>
    </w:p>
    <w:p w:rsidR="00B90DC9" w:rsidRDefault="00B90DC9" w:rsidP="008D4BB7">
      <w:pPr>
        <w:jc w:val="both"/>
        <w:rPr>
          <w:rFonts w:ascii="Soberana sans" w:hAnsi="Soberana sans" w:cs="Arial"/>
        </w:rPr>
      </w:pPr>
    </w:p>
    <w:p w:rsidR="008D3342" w:rsidRDefault="008D3342" w:rsidP="008D4BB7">
      <w:pPr>
        <w:jc w:val="both"/>
        <w:rPr>
          <w:rFonts w:ascii="Soberana sans" w:hAnsi="Soberana sans" w:cs="Arial"/>
        </w:rPr>
      </w:pPr>
    </w:p>
    <w:p w:rsidR="00602EA5" w:rsidRDefault="007D0AF0" w:rsidP="007D0AF0">
      <w:pPr>
        <w:tabs>
          <w:tab w:val="left" w:pos="2038"/>
        </w:tabs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ab/>
      </w:r>
    </w:p>
    <w:p w:rsidR="00B90DC9" w:rsidRPr="009E5B7E" w:rsidRDefault="00B90DC9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9E5B7E">
        <w:rPr>
          <w:rFonts w:ascii="Soberana sans" w:hAnsi="Soberana sans" w:cs="Arial"/>
          <w:b/>
        </w:rPr>
        <w:t>Panorama Económico y Financiero</w:t>
      </w:r>
    </w:p>
    <w:p w:rsidR="00B90DC9" w:rsidRDefault="00BA654E" w:rsidP="008D4BB7">
      <w:pPr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Se tuvo un incremento del 5% en el presupuesto del ejercicio </w:t>
      </w:r>
      <w:r w:rsidR="00A1106F">
        <w:rPr>
          <w:rFonts w:ascii="Soberana sans" w:hAnsi="Soberana sans" w:cs="Arial"/>
        </w:rPr>
        <w:t>dos mil dieciocho</w:t>
      </w:r>
      <w:r w:rsidR="00FB4304">
        <w:rPr>
          <w:rFonts w:ascii="Soberana sans" w:hAnsi="Soberana sans" w:cs="Arial"/>
        </w:rPr>
        <w:t xml:space="preserve"> con respecto al ejercicio 2017</w:t>
      </w:r>
      <w:r>
        <w:rPr>
          <w:rFonts w:ascii="Soberana sans" w:hAnsi="Soberana sans" w:cs="Arial"/>
        </w:rPr>
        <w:t xml:space="preserve">; dicho aumento </w:t>
      </w:r>
      <w:r w:rsidR="00FB4304">
        <w:rPr>
          <w:rFonts w:ascii="Soberana sans" w:hAnsi="Soberana sans" w:cs="Arial"/>
        </w:rPr>
        <w:t>se proyectó para poder subsanar las prestaciones y sueldos del persona</w:t>
      </w:r>
      <w:r w:rsidR="00E12E1C">
        <w:rPr>
          <w:rFonts w:ascii="Soberana sans" w:hAnsi="Soberana sans" w:cs="Arial"/>
        </w:rPr>
        <w:t xml:space="preserve">l; así como derivados gastos que se generen para poder llevar a cabo las actividades </w:t>
      </w:r>
      <w:r w:rsidR="009B0D13">
        <w:rPr>
          <w:rFonts w:ascii="Soberana sans" w:hAnsi="Soberana sans" w:cs="Arial"/>
        </w:rPr>
        <w:t>que corresponden a esta entidad</w:t>
      </w:r>
      <w:r w:rsidR="00E12E1C">
        <w:rPr>
          <w:rFonts w:ascii="Soberana sans" w:hAnsi="Soberana sans" w:cs="Arial"/>
        </w:rPr>
        <w:t>.</w:t>
      </w:r>
    </w:p>
    <w:p w:rsidR="00CC4FCA" w:rsidRDefault="00CC4FCA" w:rsidP="008D4BB7">
      <w:pPr>
        <w:jc w:val="both"/>
        <w:rPr>
          <w:rFonts w:ascii="Soberana sans" w:hAnsi="Soberana sans" w:cs="Arial"/>
        </w:rPr>
      </w:pPr>
    </w:p>
    <w:p w:rsidR="00B90DC9" w:rsidRPr="009E5B7E" w:rsidRDefault="00B90DC9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9E5B7E">
        <w:rPr>
          <w:rFonts w:ascii="Soberana sans" w:hAnsi="Soberana sans" w:cs="Arial"/>
          <w:b/>
        </w:rPr>
        <w:t>Autorización e Historia</w:t>
      </w:r>
    </w:p>
    <w:p w:rsidR="00B90DC9" w:rsidRPr="006D519B" w:rsidRDefault="00842ECF" w:rsidP="00B90DC9">
      <w:pPr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L</w:t>
      </w:r>
      <w:r w:rsidR="006D519B" w:rsidRPr="006D519B">
        <w:rPr>
          <w:rFonts w:ascii="Soberana sans" w:hAnsi="Soberana sans" w:cs="Arial"/>
        </w:rPr>
        <w:t>a primer legislatura</w:t>
      </w:r>
      <w:r>
        <w:rPr>
          <w:rFonts w:ascii="Soberana sans" w:hAnsi="Soberana sans" w:cs="Arial"/>
        </w:rPr>
        <w:t xml:space="preserve"> se instaló</w:t>
      </w:r>
      <w:r w:rsidR="006D519B" w:rsidRPr="006D519B">
        <w:rPr>
          <w:rFonts w:ascii="Soberana sans" w:hAnsi="Soberana sans" w:cs="Arial"/>
        </w:rPr>
        <w:t xml:space="preserve"> </w:t>
      </w:r>
      <w:r>
        <w:rPr>
          <w:rFonts w:ascii="Soberana sans" w:hAnsi="Soberana sans" w:cs="Arial"/>
        </w:rPr>
        <w:t>en el año</w:t>
      </w:r>
      <w:r w:rsidR="006D519B" w:rsidRPr="006D519B">
        <w:rPr>
          <w:rFonts w:ascii="Soberana sans" w:hAnsi="Soberana sans" w:cs="Arial"/>
        </w:rPr>
        <w:t xml:space="preserve"> 1857, era integrada por 8 diputados y 1 gobernador</w:t>
      </w:r>
      <w:r w:rsidR="006D519B">
        <w:rPr>
          <w:rFonts w:ascii="Soberana sans" w:hAnsi="Soberana sans" w:cs="Arial"/>
        </w:rPr>
        <w:t>, dicha legislatura fue de 1857 a 1861; con el paso de los años h</w:t>
      </w:r>
      <w:r>
        <w:rPr>
          <w:rFonts w:ascii="Soberana sans" w:hAnsi="Soberana sans" w:cs="Arial"/>
        </w:rPr>
        <w:t xml:space="preserve">ubo </w:t>
      </w:r>
      <w:r w:rsidR="006D519B">
        <w:rPr>
          <w:rFonts w:ascii="Soberana sans" w:hAnsi="Soberana sans" w:cs="Arial"/>
        </w:rPr>
        <w:t>vari</w:t>
      </w:r>
      <w:r>
        <w:rPr>
          <w:rFonts w:ascii="Soberana sans" w:hAnsi="Soberana sans" w:cs="Arial"/>
        </w:rPr>
        <w:t>a</w:t>
      </w:r>
      <w:r w:rsidR="006D519B">
        <w:rPr>
          <w:rFonts w:ascii="Soberana sans" w:hAnsi="Soberana sans" w:cs="Arial"/>
        </w:rPr>
        <w:t xml:space="preserve">s modificaciones; </w:t>
      </w:r>
      <w:r w:rsidR="000B4D22">
        <w:rPr>
          <w:rFonts w:ascii="Soberana sans" w:hAnsi="Soberana sans" w:cs="Arial"/>
        </w:rPr>
        <w:t>l</w:t>
      </w:r>
      <w:r>
        <w:rPr>
          <w:rFonts w:ascii="Soberana sans" w:hAnsi="Soberana sans" w:cs="Arial"/>
        </w:rPr>
        <w:t>as última</w:t>
      </w:r>
      <w:r w:rsidR="000B4D22">
        <w:rPr>
          <w:rFonts w:ascii="Soberana sans" w:hAnsi="Soberana sans" w:cs="Arial"/>
        </w:rPr>
        <w:t xml:space="preserve">s fueron en la LXI </w:t>
      </w:r>
      <w:r>
        <w:rPr>
          <w:rFonts w:ascii="Soberana sans" w:hAnsi="Soberana sans" w:cs="Arial"/>
        </w:rPr>
        <w:t>legislatura la cual se integró</w:t>
      </w:r>
      <w:r w:rsidR="000B4D22">
        <w:rPr>
          <w:rFonts w:ascii="Soberana sans" w:hAnsi="Soberana sans" w:cs="Arial"/>
        </w:rPr>
        <w:t xml:space="preserve"> por 32 diputados</w:t>
      </w:r>
      <w:r>
        <w:rPr>
          <w:rFonts w:ascii="Soberana sans" w:hAnsi="Soberana sans" w:cs="Arial"/>
        </w:rPr>
        <w:t xml:space="preserve"> y comprendió </w:t>
      </w:r>
      <w:r w:rsidR="000B4D22">
        <w:rPr>
          <w:rFonts w:ascii="Soberana sans" w:hAnsi="Soberana sans" w:cs="Arial"/>
        </w:rPr>
        <w:t>de</w:t>
      </w:r>
      <w:r>
        <w:rPr>
          <w:rFonts w:ascii="Soberana sans" w:hAnsi="Soberana sans" w:cs="Arial"/>
        </w:rPr>
        <w:t>l</w:t>
      </w:r>
      <w:r w:rsidR="000B4D22">
        <w:rPr>
          <w:rFonts w:ascii="Soberana sans" w:hAnsi="Soberana sans" w:cs="Arial"/>
        </w:rPr>
        <w:t xml:space="preserve"> </w:t>
      </w:r>
      <w:r w:rsidR="00433CE3">
        <w:rPr>
          <w:rFonts w:ascii="Soberana sans" w:hAnsi="Soberana sans" w:cs="Arial"/>
        </w:rPr>
        <w:t xml:space="preserve">2014 al 2016; </w:t>
      </w:r>
      <w:r>
        <w:rPr>
          <w:rFonts w:ascii="Soberana sans" w:hAnsi="Soberana sans" w:cs="Arial"/>
        </w:rPr>
        <w:t>La LXII legislatura fue</w:t>
      </w:r>
      <w:r w:rsidR="00433CE3">
        <w:rPr>
          <w:rFonts w:ascii="Soberana sans" w:hAnsi="Soberana sans" w:cs="Arial"/>
        </w:rPr>
        <w:t xml:space="preserve"> integra</w:t>
      </w:r>
      <w:r>
        <w:rPr>
          <w:rFonts w:ascii="Soberana sans" w:hAnsi="Soberana sans" w:cs="Arial"/>
        </w:rPr>
        <w:t>da</w:t>
      </w:r>
      <w:r w:rsidR="00BA654E">
        <w:rPr>
          <w:rFonts w:ascii="Soberana sans" w:hAnsi="Soberana sans" w:cs="Arial"/>
        </w:rPr>
        <w:t xml:space="preserve"> </w:t>
      </w:r>
      <w:r>
        <w:rPr>
          <w:rFonts w:ascii="Soberana sans" w:hAnsi="Soberana sans" w:cs="Arial"/>
        </w:rPr>
        <w:t>por</w:t>
      </w:r>
      <w:r w:rsidR="00BA654E">
        <w:rPr>
          <w:rFonts w:ascii="Soberana sans" w:hAnsi="Soberana sans" w:cs="Arial"/>
        </w:rPr>
        <w:t xml:space="preserve"> 25 diputados y el periodo es</w:t>
      </w:r>
      <w:r w:rsidR="00084A4A">
        <w:rPr>
          <w:rFonts w:ascii="Soberana sans" w:hAnsi="Soberana sans" w:cs="Arial"/>
        </w:rPr>
        <w:t xml:space="preserve"> de 2017 al 31 de Agosto de 2018.</w:t>
      </w:r>
    </w:p>
    <w:p w:rsidR="00B90DC9" w:rsidRDefault="00B90DC9" w:rsidP="00B90DC9">
      <w:pPr>
        <w:jc w:val="both"/>
        <w:rPr>
          <w:rFonts w:ascii="Soberana sans" w:hAnsi="Soberana sans" w:cs="Arial"/>
          <w:b/>
        </w:rPr>
      </w:pPr>
    </w:p>
    <w:p w:rsidR="00B90DC9" w:rsidRDefault="00B90DC9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9E5B7E">
        <w:rPr>
          <w:rFonts w:ascii="Soberana sans" w:hAnsi="Soberana sans" w:cs="Arial"/>
          <w:b/>
        </w:rPr>
        <w:t>Organización y Objeto Social</w:t>
      </w:r>
    </w:p>
    <w:p w:rsidR="00E12E1C" w:rsidRPr="009E5B7E" w:rsidRDefault="00E12E1C" w:rsidP="00E12E1C">
      <w:pPr>
        <w:pStyle w:val="Prrafodelista"/>
        <w:jc w:val="both"/>
        <w:rPr>
          <w:rFonts w:ascii="Soberana sans" w:hAnsi="Soberana sans" w:cs="Arial"/>
          <w:b/>
        </w:rPr>
      </w:pPr>
    </w:p>
    <w:p w:rsidR="007117C7" w:rsidRDefault="007117C7" w:rsidP="007117C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Objeto Social</w:t>
      </w:r>
      <w:r w:rsidR="00F76380">
        <w:rPr>
          <w:rFonts w:ascii="Soberana sans" w:hAnsi="Soberana sans" w:cs="Arial"/>
          <w:b/>
        </w:rPr>
        <w:t>.</w:t>
      </w:r>
    </w:p>
    <w:p w:rsidR="007117C7" w:rsidRDefault="00F76380" w:rsidP="007117C7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  <w:b/>
        </w:rPr>
        <w:t>E</w:t>
      </w:r>
      <w:r w:rsidR="007117C7">
        <w:rPr>
          <w:rFonts w:ascii="Soberana sans" w:hAnsi="Soberana sans" w:cs="Arial"/>
        </w:rPr>
        <w:t xml:space="preserve">laborar las iniciativas, revisión, emisión y aprobación de leyes, decretos, acuerdos y reglamentos para su respectiva difusión de; </w:t>
      </w:r>
      <w:r w:rsidR="007F575A">
        <w:rPr>
          <w:rFonts w:ascii="Soberana sans" w:hAnsi="Soberana sans" w:cs="Arial"/>
        </w:rPr>
        <w:t>también se encarga de la fiscalización de la cuenta pública y atención a la ciudadanía.</w:t>
      </w:r>
    </w:p>
    <w:p w:rsidR="00351EE4" w:rsidRPr="007117C7" w:rsidRDefault="00351EE4" w:rsidP="007117C7">
      <w:pPr>
        <w:pStyle w:val="Prrafodelista"/>
        <w:jc w:val="both"/>
        <w:rPr>
          <w:rFonts w:ascii="Soberana sans" w:hAnsi="Soberana sans" w:cs="Arial"/>
        </w:rPr>
      </w:pPr>
    </w:p>
    <w:p w:rsidR="00F76380" w:rsidRDefault="007F575A" w:rsidP="007117C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Principal Actividad</w:t>
      </w:r>
      <w:r w:rsidR="00F76380">
        <w:rPr>
          <w:rFonts w:ascii="Soberana sans" w:hAnsi="Soberana sans" w:cs="Arial"/>
          <w:b/>
        </w:rPr>
        <w:t xml:space="preserve">. </w:t>
      </w:r>
    </w:p>
    <w:p w:rsidR="007117C7" w:rsidRDefault="00F76380" w:rsidP="00F76380">
      <w:pPr>
        <w:pStyle w:val="Prrafodelista"/>
        <w:jc w:val="both"/>
        <w:rPr>
          <w:rFonts w:ascii="Soberana sans" w:hAnsi="Soberana sans" w:cs="Arial"/>
        </w:rPr>
      </w:pPr>
      <w:r w:rsidRPr="007117C7">
        <w:rPr>
          <w:rFonts w:ascii="Soberana sans" w:hAnsi="Soberana sans" w:cs="Arial"/>
        </w:rPr>
        <w:t xml:space="preserve">Es </w:t>
      </w:r>
      <w:r>
        <w:rPr>
          <w:rFonts w:ascii="Soberana sans" w:hAnsi="Soberana sans" w:cs="Arial"/>
        </w:rPr>
        <w:t xml:space="preserve">un ente público </w:t>
      </w:r>
      <w:r w:rsidRPr="007117C7">
        <w:rPr>
          <w:rFonts w:ascii="Soberana sans" w:hAnsi="Soberana sans" w:cs="Arial"/>
        </w:rPr>
        <w:t>encargado de</w:t>
      </w:r>
      <w:r>
        <w:rPr>
          <w:rFonts w:ascii="Soberana sans" w:hAnsi="Soberana sans" w:cs="Arial"/>
        </w:rPr>
        <w:t xml:space="preserve"> elaborar las leyes, decretos, </w:t>
      </w:r>
      <w:r w:rsidR="00351EE4">
        <w:rPr>
          <w:rFonts w:ascii="Soberana sans" w:hAnsi="Soberana sans" w:cs="Arial"/>
        </w:rPr>
        <w:t>a</w:t>
      </w:r>
      <w:r>
        <w:rPr>
          <w:rFonts w:ascii="Soberana sans" w:hAnsi="Soberana sans" w:cs="Arial"/>
        </w:rPr>
        <w:t>cuerdos y reglamento</w:t>
      </w:r>
      <w:r w:rsidR="00351EE4">
        <w:rPr>
          <w:rFonts w:ascii="Soberana sans" w:hAnsi="Soberana sans" w:cs="Arial"/>
        </w:rPr>
        <w:t>s</w:t>
      </w:r>
      <w:r w:rsidR="00606660">
        <w:rPr>
          <w:rFonts w:ascii="Soberana sans" w:hAnsi="Soberana sans" w:cs="Arial"/>
        </w:rPr>
        <w:t xml:space="preserve"> </w:t>
      </w:r>
      <w:r w:rsidR="008A3FAE">
        <w:rPr>
          <w:rFonts w:ascii="Soberana sans" w:hAnsi="Soberana sans" w:cs="Arial"/>
        </w:rPr>
        <w:t>que rigen el estado de Tlaxcala</w:t>
      </w:r>
      <w:r w:rsidR="00351EE4">
        <w:rPr>
          <w:rFonts w:ascii="Soberana sans" w:hAnsi="Soberana sans" w:cs="Arial"/>
        </w:rPr>
        <w:t xml:space="preserve">; </w:t>
      </w:r>
      <w:r w:rsidR="009B652B">
        <w:rPr>
          <w:rFonts w:ascii="Soberana sans" w:hAnsi="Soberana sans" w:cs="Arial"/>
        </w:rPr>
        <w:t>así</w:t>
      </w:r>
      <w:r w:rsidR="00351EE4">
        <w:rPr>
          <w:rFonts w:ascii="Soberana sans" w:hAnsi="Soberana sans" w:cs="Arial"/>
        </w:rPr>
        <w:t xml:space="preserve"> como atender a la ciudadanía que acude al palacio legislativo a realizar alguna gestión, derivado de dicha gestión les otorgan ayuda social. </w:t>
      </w:r>
    </w:p>
    <w:p w:rsidR="00F76380" w:rsidRDefault="00F76380" w:rsidP="00F76380">
      <w:pPr>
        <w:pStyle w:val="Prrafodelista"/>
        <w:jc w:val="both"/>
        <w:rPr>
          <w:rFonts w:ascii="Soberana sans" w:hAnsi="Soberana sans" w:cs="Arial"/>
        </w:rPr>
      </w:pPr>
    </w:p>
    <w:p w:rsidR="00F76380" w:rsidRDefault="00F76380" w:rsidP="00F76380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Ejercicio Fiscal.</w:t>
      </w:r>
    </w:p>
    <w:p w:rsidR="00F76380" w:rsidRDefault="00F76380" w:rsidP="00F76380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El ejercicio fiscal inicia el 01 de enero y termina el 31 de diciembre de cada año.</w:t>
      </w:r>
    </w:p>
    <w:p w:rsidR="0030636C" w:rsidRDefault="0030636C" w:rsidP="00F76380">
      <w:pPr>
        <w:pStyle w:val="Prrafodelista"/>
        <w:jc w:val="both"/>
        <w:rPr>
          <w:rFonts w:ascii="Soberana sans" w:hAnsi="Soberana sans" w:cs="Arial"/>
        </w:rPr>
      </w:pPr>
    </w:p>
    <w:p w:rsidR="00F76380" w:rsidRDefault="00F76380" w:rsidP="00F76380">
      <w:pPr>
        <w:pStyle w:val="Prrafodelista"/>
        <w:jc w:val="both"/>
        <w:rPr>
          <w:rFonts w:ascii="Soberana sans" w:hAnsi="Soberana sans" w:cs="Arial"/>
        </w:rPr>
      </w:pPr>
    </w:p>
    <w:p w:rsidR="0030636C" w:rsidRDefault="0030636C" w:rsidP="0030636C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Régimen Jurídico</w:t>
      </w:r>
    </w:p>
    <w:p w:rsidR="0030636C" w:rsidRDefault="0030636C" w:rsidP="0030636C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El Congreso de Estado de Tlaxcala se rige a través </w:t>
      </w:r>
      <w:r w:rsidR="00FE1E94">
        <w:rPr>
          <w:rFonts w:ascii="Soberana sans" w:hAnsi="Soberana sans" w:cs="Arial"/>
        </w:rPr>
        <w:t xml:space="preserve">de </w:t>
      </w:r>
      <w:r w:rsidR="00A5555A">
        <w:rPr>
          <w:rFonts w:ascii="Soberana sans" w:hAnsi="Soberana sans" w:cs="Arial"/>
        </w:rPr>
        <w:t xml:space="preserve">la </w:t>
      </w:r>
      <w:r w:rsidR="00FE1E94">
        <w:rPr>
          <w:rFonts w:ascii="Soberana sans" w:hAnsi="Soberana sans" w:cs="Arial"/>
        </w:rPr>
        <w:t>Constitución</w:t>
      </w:r>
      <w:r w:rsidR="00606660">
        <w:rPr>
          <w:rFonts w:ascii="Soberana sans" w:hAnsi="Soberana sans" w:cs="Arial"/>
        </w:rPr>
        <w:t xml:space="preserve"> </w:t>
      </w:r>
      <w:r w:rsidR="00FE1E94">
        <w:rPr>
          <w:rFonts w:ascii="Soberana sans" w:hAnsi="Soberana sans" w:cs="Arial"/>
        </w:rPr>
        <w:t>Política</w:t>
      </w:r>
      <w:r w:rsidR="00A5555A">
        <w:rPr>
          <w:rFonts w:ascii="Soberana sans" w:hAnsi="Soberana sans" w:cs="Arial"/>
        </w:rPr>
        <w:t xml:space="preserve"> del Estado Libre y Soberano de Tlaxcala, Ley </w:t>
      </w:r>
      <w:r w:rsidR="0024135F">
        <w:rPr>
          <w:rFonts w:ascii="Soberana sans" w:hAnsi="Soberana sans" w:cs="Arial"/>
        </w:rPr>
        <w:t>Orgánica</w:t>
      </w:r>
      <w:r w:rsidR="00A5555A">
        <w:rPr>
          <w:rFonts w:ascii="Soberana sans" w:hAnsi="Soberana sans" w:cs="Arial"/>
        </w:rPr>
        <w:t xml:space="preserve"> del Poder Legislativo del estado de Tlaxcala</w:t>
      </w:r>
      <w:r w:rsidR="0024135F">
        <w:rPr>
          <w:rFonts w:ascii="Soberana sans" w:hAnsi="Soberana sans" w:cs="Arial"/>
        </w:rPr>
        <w:t xml:space="preserve"> y el Reglamento Interior del Congreso del Estado de Tlaxcala.</w:t>
      </w:r>
    </w:p>
    <w:p w:rsidR="009B652B" w:rsidRDefault="009B652B" w:rsidP="0030636C">
      <w:pPr>
        <w:pStyle w:val="Prrafodelista"/>
        <w:jc w:val="both"/>
        <w:rPr>
          <w:rFonts w:ascii="Soberana sans" w:hAnsi="Soberana sans" w:cs="Arial"/>
        </w:rPr>
      </w:pPr>
    </w:p>
    <w:p w:rsidR="00A47E93" w:rsidRDefault="00A47E93" w:rsidP="00A47E93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Consideraciones Fiscales</w:t>
      </w:r>
    </w:p>
    <w:p w:rsidR="00A47E93" w:rsidRDefault="00A47E93" w:rsidP="00A47E93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El Congreso de Estado de Tlaxcala es una persona moral no contribuyente del Impuesto al Valor Agregado e Impuesto Sobre la Renta; solo es retenedor de Impuesto Sobre la Renta por salarios pagados y por el pago a personas que se encuentran bajo el régimen de honorarios </w:t>
      </w:r>
      <w:r w:rsidR="00761A47">
        <w:rPr>
          <w:rFonts w:ascii="Soberana sans" w:hAnsi="Soberana sans" w:cs="Arial"/>
        </w:rPr>
        <w:t>a</w:t>
      </w:r>
      <w:r>
        <w:rPr>
          <w:rFonts w:ascii="Soberana sans" w:hAnsi="Soberana sans" w:cs="Arial"/>
        </w:rPr>
        <w:t xml:space="preserve"> personas físicas por servicios profesionales</w:t>
      </w:r>
      <w:r w:rsidR="00761A47">
        <w:rPr>
          <w:rFonts w:ascii="Soberana sans" w:hAnsi="Soberana sans" w:cs="Arial"/>
        </w:rPr>
        <w:t xml:space="preserve"> y/o arrendamiento.</w:t>
      </w:r>
    </w:p>
    <w:p w:rsidR="00761A47" w:rsidRDefault="00761A47" w:rsidP="00A47E93">
      <w:pPr>
        <w:pStyle w:val="Prrafodelista"/>
        <w:jc w:val="both"/>
        <w:rPr>
          <w:rFonts w:ascii="Soberana sans" w:hAnsi="Soberana sans" w:cs="Arial"/>
        </w:rPr>
      </w:pPr>
    </w:p>
    <w:p w:rsidR="00761A47" w:rsidRDefault="00761A47" w:rsidP="00761A4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Estructura Organizacional Básica</w:t>
      </w:r>
    </w:p>
    <w:p w:rsidR="00602EA5" w:rsidRDefault="00602EA5" w:rsidP="00761A47">
      <w:p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  <w:noProof/>
        </w:rPr>
        <w:drawing>
          <wp:inline distT="0" distB="0" distL="0" distR="0">
            <wp:extent cx="8219440" cy="3143250"/>
            <wp:effectExtent l="0" t="0" r="0" b="0"/>
            <wp:docPr id="2" name="Imagen 2" descr="L:\or\organig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:\or\organigram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337" cy="31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13" w:rsidRDefault="009B0D13" w:rsidP="00761A47">
      <w:pPr>
        <w:jc w:val="both"/>
        <w:rPr>
          <w:rFonts w:ascii="Soberana sans" w:hAnsi="Soberana sans" w:cs="Arial"/>
          <w:b/>
        </w:rPr>
      </w:pPr>
    </w:p>
    <w:p w:rsidR="009B0D13" w:rsidRDefault="009B0D13" w:rsidP="00761A47">
      <w:pPr>
        <w:jc w:val="both"/>
        <w:rPr>
          <w:rFonts w:ascii="Soberana sans" w:hAnsi="Soberana sans" w:cs="Arial"/>
          <w:b/>
        </w:rPr>
      </w:pPr>
    </w:p>
    <w:p w:rsidR="009B0D13" w:rsidRDefault="009B0D13" w:rsidP="00761A47">
      <w:pPr>
        <w:jc w:val="both"/>
        <w:rPr>
          <w:rFonts w:ascii="Soberana sans" w:hAnsi="Soberana sans" w:cs="Arial"/>
          <w:b/>
        </w:rPr>
      </w:pPr>
    </w:p>
    <w:p w:rsidR="00761A47" w:rsidRDefault="00761A47" w:rsidP="00761A4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Fideicomisos, mandatos y análogos de los cuales es fideicomitente o fiduciario</w:t>
      </w:r>
    </w:p>
    <w:p w:rsidR="002D7CB0" w:rsidRDefault="002D7CB0" w:rsidP="002D7CB0">
      <w:pPr>
        <w:pStyle w:val="Text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 ejercicio fiscal 2018, no se realizaron contratos por fideicomisos.</w:t>
      </w:r>
    </w:p>
    <w:p w:rsidR="00761A47" w:rsidRPr="00761A47" w:rsidRDefault="00761A47" w:rsidP="00761A47">
      <w:pPr>
        <w:jc w:val="both"/>
        <w:rPr>
          <w:rFonts w:ascii="Soberana sans" w:hAnsi="Soberana sans" w:cs="Arial"/>
          <w:b/>
        </w:rPr>
      </w:pPr>
    </w:p>
    <w:p w:rsidR="00761A47" w:rsidRDefault="009E5B7E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Base de preparación de los Estados Financieros</w:t>
      </w:r>
    </w:p>
    <w:p w:rsidR="009E5B7E" w:rsidRPr="009E5B7E" w:rsidRDefault="009E5B7E" w:rsidP="009E5B7E">
      <w:pPr>
        <w:jc w:val="both"/>
        <w:rPr>
          <w:rFonts w:ascii="Soberana sans" w:hAnsi="Soberana sans" w:cs="Arial"/>
        </w:rPr>
      </w:pPr>
      <w:r w:rsidRPr="009E5B7E">
        <w:rPr>
          <w:rFonts w:ascii="Soberana sans" w:hAnsi="Soberana sans" w:cs="Arial"/>
        </w:rPr>
        <w:t>La emisión de los Estados Financieros se ha realizado en base a la normatividad de la CONAC y la Ley de Contabilidad Gubernamental.</w:t>
      </w:r>
    </w:p>
    <w:p w:rsidR="009E5B7E" w:rsidRPr="0068051F" w:rsidRDefault="009E5B7E" w:rsidP="009E5B7E">
      <w:pPr>
        <w:jc w:val="both"/>
        <w:rPr>
          <w:rFonts w:ascii="Soberana sans" w:hAnsi="Soberana sans" w:cs="Arial"/>
        </w:rPr>
      </w:pPr>
      <w:r w:rsidRPr="0068051F">
        <w:rPr>
          <w:rFonts w:ascii="Soberana sans" w:hAnsi="Soberana sans" w:cs="Arial"/>
        </w:rPr>
        <w:t xml:space="preserve">Debido al </w:t>
      </w:r>
      <w:r w:rsidR="0068051F" w:rsidRPr="0068051F">
        <w:rPr>
          <w:rFonts w:ascii="Soberana sans" w:hAnsi="Soberana sans" w:cs="Arial"/>
        </w:rPr>
        <w:t>cambio en políticas, se implementa nuevo sistema de contabilidad SCGIII; por lo tanto la presentación de los Estados Financieros será de forma más detallada y en base a la normatividad de la CONAC</w:t>
      </w:r>
      <w:r w:rsidR="00AE1711">
        <w:rPr>
          <w:rFonts w:ascii="Soberana sans" w:hAnsi="Soberana sans" w:cs="Arial"/>
        </w:rPr>
        <w:t>.</w:t>
      </w:r>
    </w:p>
    <w:p w:rsidR="009E5B7E" w:rsidRDefault="009E5B7E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Políticas de Contabilidad Significativas</w:t>
      </w:r>
    </w:p>
    <w:p w:rsidR="009C34F4" w:rsidRDefault="009C34F4" w:rsidP="009C34F4">
      <w:pPr>
        <w:pStyle w:val="Text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 ejercicio fiscal 2018, no hubo registros significativos.</w:t>
      </w:r>
    </w:p>
    <w:p w:rsidR="0068051F" w:rsidRPr="0068051F" w:rsidRDefault="0068051F" w:rsidP="00761A47">
      <w:pPr>
        <w:jc w:val="both"/>
        <w:rPr>
          <w:rFonts w:ascii="Soberana sans" w:hAnsi="Soberana sans" w:cs="Arial"/>
        </w:rPr>
      </w:pPr>
    </w:p>
    <w:p w:rsidR="007117C7" w:rsidRP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68051F">
        <w:rPr>
          <w:rFonts w:ascii="Soberana sans" w:hAnsi="Soberana sans" w:cs="Arial"/>
          <w:b/>
        </w:rPr>
        <w:t>Posición en Moneda Extranjera y Protección de Riesgo Cambiario</w:t>
      </w:r>
    </w:p>
    <w:p w:rsidR="0068051F" w:rsidRDefault="006D2F1B" w:rsidP="0068051F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No se manejan activos, pasivos en moneda extranjera.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</w:rPr>
      </w:pPr>
    </w:p>
    <w:p w:rsidR="001F15FD" w:rsidRDefault="0068051F" w:rsidP="001F15FD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68051F">
        <w:rPr>
          <w:rFonts w:ascii="Soberana sans" w:hAnsi="Soberana sans" w:cs="Arial"/>
          <w:b/>
        </w:rPr>
        <w:t>Reporte An</w:t>
      </w:r>
      <w:r w:rsidR="001F15FD" w:rsidRPr="001F15FD">
        <w:rPr>
          <w:rFonts w:ascii="Soberana sans" w:hAnsi="Soberana sans" w:cs="Arial"/>
          <w:b/>
        </w:rPr>
        <w:t>alítico del Activo</w:t>
      </w:r>
    </w:p>
    <w:tbl>
      <w:tblPr>
        <w:tblStyle w:val="Tablaconcuadrcula"/>
        <w:tblW w:w="0" w:type="auto"/>
        <w:tblInd w:w="2802" w:type="dxa"/>
        <w:tblLook w:val="04A0" w:firstRow="1" w:lastRow="0" w:firstColumn="1" w:lastColumn="0" w:noHBand="0" w:noVBand="1"/>
      </w:tblPr>
      <w:tblGrid>
        <w:gridCol w:w="4819"/>
        <w:gridCol w:w="1127"/>
        <w:gridCol w:w="289"/>
      </w:tblGrid>
      <w:tr w:rsidR="001F15FD" w:rsidTr="009B0D13">
        <w:trPr>
          <w:trHeight w:val="270"/>
        </w:trPr>
        <w:tc>
          <w:tcPr>
            <w:tcW w:w="4819" w:type="dxa"/>
          </w:tcPr>
          <w:p w:rsidR="001F15FD" w:rsidRDefault="001F15FD" w:rsidP="001F15FD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 w:rsidRPr="001F15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ACTIVO</w:t>
            </w:r>
          </w:p>
        </w:tc>
        <w:tc>
          <w:tcPr>
            <w:tcW w:w="1268" w:type="dxa"/>
            <w:gridSpan w:val="2"/>
          </w:tcPr>
          <w:p w:rsidR="001F15FD" w:rsidRDefault="001F15FD" w:rsidP="00A83D07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</w:p>
        </w:tc>
      </w:tr>
      <w:tr w:rsidR="001F15FD" w:rsidTr="009B0D13">
        <w:trPr>
          <w:trHeight w:val="286"/>
        </w:trPr>
        <w:tc>
          <w:tcPr>
            <w:tcW w:w="4819" w:type="dxa"/>
          </w:tcPr>
          <w:p w:rsidR="001F15FD" w:rsidRDefault="001F15FD" w:rsidP="001F15FD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 w:rsidRPr="001F15F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Activo Circulante</w:t>
            </w:r>
          </w:p>
        </w:tc>
        <w:tc>
          <w:tcPr>
            <w:tcW w:w="1268" w:type="dxa"/>
            <w:gridSpan w:val="2"/>
          </w:tcPr>
          <w:p w:rsidR="001F15FD" w:rsidRDefault="001F15FD" w:rsidP="00A83D07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</w:p>
        </w:tc>
      </w:tr>
      <w:tr w:rsidR="001F15FD" w:rsidTr="009B0D13">
        <w:trPr>
          <w:trHeight w:val="219"/>
        </w:trPr>
        <w:tc>
          <w:tcPr>
            <w:tcW w:w="4819" w:type="dxa"/>
          </w:tcPr>
          <w:p w:rsidR="009B0D13" w:rsidRPr="009B0D13" w:rsidRDefault="00A83D07" w:rsidP="00A83D07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Efectivo y Equivalentes</w:t>
            </w:r>
          </w:p>
        </w:tc>
        <w:tc>
          <w:tcPr>
            <w:tcW w:w="1268" w:type="dxa"/>
            <w:gridSpan w:val="2"/>
          </w:tcPr>
          <w:p w:rsidR="001F15FD" w:rsidRDefault="009B0D13" w:rsidP="009B0D13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A83D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1´786,721</w:t>
            </w:r>
          </w:p>
        </w:tc>
      </w:tr>
      <w:tr w:rsidR="001F15FD" w:rsidTr="009B0D13">
        <w:trPr>
          <w:trHeight w:val="236"/>
        </w:trPr>
        <w:tc>
          <w:tcPr>
            <w:tcW w:w="4819" w:type="dxa"/>
          </w:tcPr>
          <w:p w:rsidR="001F15FD" w:rsidRDefault="00A83D07" w:rsidP="00A83D07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Derechos a Recibir Efectivo o Equivalentes</w:t>
            </w:r>
          </w:p>
        </w:tc>
        <w:tc>
          <w:tcPr>
            <w:tcW w:w="1268" w:type="dxa"/>
            <w:gridSpan w:val="2"/>
          </w:tcPr>
          <w:p w:rsidR="001F15FD" w:rsidRDefault="009B0D13" w:rsidP="009B0D13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33</w:t>
            </w:r>
            <w:r w:rsidR="00A83D07" w:rsidRPr="001F15FD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93</w:t>
            </w:r>
            <w:r w:rsidR="00A83D07" w:rsidRPr="001F15F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1F15FD" w:rsidTr="009B0D13">
        <w:trPr>
          <w:trHeight w:val="219"/>
        </w:trPr>
        <w:tc>
          <w:tcPr>
            <w:tcW w:w="4819" w:type="dxa"/>
          </w:tcPr>
          <w:p w:rsidR="001F15FD" w:rsidRDefault="00A83D07" w:rsidP="00A83D07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 w:rsidRPr="001F15F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Total de  Activos  Circulantes</w:t>
            </w:r>
          </w:p>
        </w:tc>
        <w:tc>
          <w:tcPr>
            <w:tcW w:w="1268" w:type="dxa"/>
            <w:gridSpan w:val="2"/>
          </w:tcPr>
          <w:p w:rsidR="001F15FD" w:rsidRDefault="009B0D13" w:rsidP="009B0D13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A83D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1´820</w:t>
            </w:r>
            <w:r w:rsidR="00A83D07" w:rsidRPr="001F15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651</w:t>
            </w:r>
          </w:p>
        </w:tc>
      </w:tr>
      <w:tr w:rsidR="001F15FD" w:rsidTr="009B0D13">
        <w:trPr>
          <w:trHeight w:val="286"/>
        </w:trPr>
        <w:tc>
          <w:tcPr>
            <w:tcW w:w="4819" w:type="dxa"/>
          </w:tcPr>
          <w:p w:rsidR="001F15FD" w:rsidRDefault="00A83D07" w:rsidP="00A83D07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 w:rsidRPr="001F15F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Activo No Circulante</w:t>
            </w:r>
          </w:p>
        </w:tc>
        <w:tc>
          <w:tcPr>
            <w:tcW w:w="1268" w:type="dxa"/>
            <w:gridSpan w:val="2"/>
          </w:tcPr>
          <w:p w:rsidR="001F15FD" w:rsidRDefault="001F15FD" w:rsidP="00A83D07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</w:p>
        </w:tc>
      </w:tr>
      <w:tr w:rsidR="00A83D07" w:rsidTr="009B0D13">
        <w:trPr>
          <w:trHeight w:val="455"/>
        </w:trPr>
        <w:tc>
          <w:tcPr>
            <w:tcW w:w="4819" w:type="dxa"/>
          </w:tcPr>
          <w:p w:rsidR="00A83D07" w:rsidRPr="001F15FD" w:rsidRDefault="00A83D07" w:rsidP="003D1E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Bienes Inmuebles, Infraestructura y Construcciones en Proceso</w:t>
            </w:r>
          </w:p>
        </w:tc>
        <w:tc>
          <w:tcPr>
            <w:tcW w:w="1268" w:type="dxa"/>
            <w:gridSpan w:val="2"/>
          </w:tcPr>
          <w:p w:rsidR="00A83D07" w:rsidRDefault="00A83D07" w:rsidP="00A83D07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1,405,492</w:t>
            </w:r>
          </w:p>
        </w:tc>
      </w:tr>
      <w:tr w:rsidR="00A83D07" w:rsidTr="009B0D13">
        <w:trPr>
          <w:trHeight w:val="236"/>
        </w:trPr>
        <w:tc>
          <w:tcPr>
            <w:tcW w:w="4819" w:type="dxa"/>
          </w:tcPr>
          <w:p w:rsidR="00A83D07" w:rsidRDefault="00A83D07" w:rsidP="00A83D07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Bienes Muebles</w:t>
            </w:r>
          </w:p>
        </w:tc>
        <w:tc>
          <w:tcPr>
            <w:tcW w:w="1268" w:type="dxa"/>
            <w:gridSpan w:val="2"/>
          </w:tcPr>
          <w:p w:rsidR="00A83D07" w:rsidRDefault="00A83D07" w:rsidP="009B0D13">
            <w:pPr>
              <w:pStyle w:val="Prrafodelista"/>
              <w:ind w:left="0"/>
              <w:jc w:val="both"/>
              <w:rPr>
                <w:rFonts w:ascii="Soberana sans" w:hAnsi="Soberana sans" w:cs="Arial"/>
                <w:b/>
              </w:rPr>
            </w:pP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9B0D1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,8</w:t>
            </w:r>
            <w:r w:rsidR="009B0D13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9B0D13">
              <w:rPr>
                <w:rFonts w:ascii="Arial" w:eastAsia="Times New Roman" w:hAnsi="Arial" w:cs="Arial"/>
                <w:sz w:val="18"/>
                <w:szCs w:val="18"/>
              </w:rPr>
              <w:t>557</w:t>
            </w:r>
          </w:p>
        </w:tc>
      </w:tr>
      <w:tr w:rsidR="00A83D07" w:rsidTr="009B0D13">
        <w:trPr>
          <w:trHeight w:val="219"/>
        </w:trPr>
        <w:tc>
          <w:tcPr>
            <w:tcW w:w="4819" w:type="dxa"/>
          </w:tcPr>
          <w:p w:rsidR="00A83D07" w:rsidRPr="001F15FD" w:rsidRDefault="00A83D07" w:rsidP="003D1E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Activos Intangibles</w:t>
            </w:r>
          </w:p>
        </w:tc>
        <w:tc>
          <w:tcPr>
            <w:tcW w:w="1268" w:type="dxa"/>
            <w:gridSpan w:val="2"/>
          </w:tcPr>
          <w:p w:rsidR="00A83D07" w:rsidRPr="001F15FD" w:rsidRDefault="00A83D07" w:rsidP="00A83D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271,965</w:t>
            </w:r>
          </w:p>
        </w:tc>
      </w:tr>
      <w:tr w:rsidR="00A83D07" w:rsidTr="009B0D13">
        <w:trPr>
          <w:trHeight w:val="236"/>
        </w:trPr>
        <w:tc>
          <w:tcPr>
            <w:tcW w:w="4819" w:type="dxa"/>
          </w:tcPr>
          <w:p w:rsidR="00A83D07" w:rsidRPr="001F15FD" w:rsidRDefault="00A83D07" w:rsidP="003D1E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Total de  Activos  No Circulantes</w:t>
            </w:r>
          </w:p>
        </w:tc>
        <w:tc>
          <w:tcPr>
            <w:tcW w:w="1268" w:type="dxa"/>
            <w:gridSpan w:val="2"/>
          </w:tcPr>
          <w:p w:rsidR="00A83D07" w:rsidRPr="001F15FD" w:rsidRDefault="00A83D07" w:rsidP="009B0D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9B0D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 w:rsidRPr="001F15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  <w:r w:rsidR="009B0D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511,0147</w:t>
            </w:r>
          </w:p>
        </w:tc>
      </w:tr>
      <w:tr w:rsidR="00A83D07" w:rsidTr="009B0D13">
        <w:trPr>
          <w:gridAfter w:val="1"/>
          <w:wAfter w:w="289" w:type="dxa"/>
          <w:trHeight w:val="236"/>
        </w:trPr>
        <w:tc>
          <w:tcPr>
            <w:tcW w:w="4819" w:type="dxa"/>
          </w:tcPr>
          <w:p w:rsidR="00A83D07" w:rsidRPr="001F15FD" w:rsidRDefault="00A83D07" w:rsidP="003D1E02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Total del Activo</w:t>
            </w:r>
          </w:p>
        </w:tc>
        <w:tc>
          <w:tcPr>
            <w:tcW w:w="979" w:type="dxa"/>
          </w:tcPr>
          <w:p w:rsidR="00A83D07" w:rsidRPr="001F15FD" w:rsidRDefault="009B0D13" w:rsidP="009B0D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18´331,665     </w:t>
            </w:r>
          </w:p>
        </w:tc>
      </w:tr>
    </w:tbl>
    <w:p w:rsidR="001F15FD" w:rsidRPr="0068051F" w:rsidRDefault="001F15FD" w:rsidP="00A83D07">
      <w:pPr>
        <w:pStyle w:val="Prrafodelista"/>
        <w:jc w:val="both"/>
        <w:rPr>
          <w:rFonts w:ascii="Soberana sans" w:hAnsi="Soberana sans" w:cs="Arial"/>
          <w:b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980"/>
        <w:gridCol w:w="2200"/>
      </w:tblGrid>
      <w:tr w:rsidR="001F15FD" w:rsidRPr="001F15FD" w:rsidTr="001F15FD">
        <w:trPr>
          <w:trHeight w:val="240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F15FD" w:rsidRPr="001F15FD" w:rsidTr="001F15FD">
        <w:trPr>
          <w:trHeight w:val="1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F15FD" w:rsidRPr="001F15FD" w:rsidTr="001F15FD">
        <w:trPr>
          <w:trHeight w:val="240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F15FD" w:rsidRPr="001F15FD" w:rsidTr="001F15FD">
        <w:trPr>
          <w:trHeight w:val="1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15F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F15FD" w:rsidRPr="001F15FD" w:rsidTr="00C07A43">
        <w:trPr>
          <w:trHeight w:val="240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F15FD" w:rsidRPr="001F15FD" w:rsidRDefault="001F15FD" w:rsidP="001F15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15FD" w:rsidRPr="001F15FD" w:rsidTr="00C07A43">
        <w:trPr>
          <w:trHeight w:val="240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F15FD" w:rsidRPr="001F15FD" w:rsidRDefault="001F15FD" w:rsidP="001F1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F15FD" w:rsidRPr="001F15FD" w:rsidRDefault="001F15FD" w:rsidP="001F15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75818" w:rsidRPr="00275818" w:rsidRDefault="00275818" w:rsidP="0068051F">
      <w:pPr>
        <w:pStyle w:val="Prrafodelista"/>
        <w:jc w:val="both"/>
        <w:rPr>
          <w:rFonts w:ascii="Soberana sans" w:hAnsi="Soberana sans" w:cs="Arial"/>
        </w:rPr>
      </w:pPr>
    </w:p>
    <w:p w:rsidR="007117C7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Fideicomisos, Mandatos y Análogos</w:t>
      </w:r>
    </w:p>
    <w:p w:rsidR="006D2F1B" w:rsidRDefault="006D2F1B" w:rsidP="006D2F1B">
      <w:pPr>
        <w:pStyle w:val="Text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 ejercicio fiscal 2018, no se realizaron contratos de fideicomisos.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Reporte de recaudación</w:t>
      </w:r>
    </w:p>
    <w:p w:rsidR="00275818" w:rsidRDefault="006D2F1B" w:rsidP="00275818">
      <w:pPr>
        <w:pStyle w:val="Prrafodelista"/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Durante el ejercicio fiscal 2018</w:t>
      </w:r>
      <w:r w:rsidR="00A65AA3">
        <w:rPr>
          <w:rFonts w:ascii="Soberana Sans Light" w:hAnsi="Soberana Sans Light"/>
        </w:rPr>
        <w:t>, se recaudaron multas a los municipios por: $</w:t>
      </w:r>
      <w:r w:rsidR="009B0D13">
        <w:rPr>
          <w:rFonts w:ascii="Soberana Sans Light" w:hAnsi="Soberana Sans Light"/>
        </w:rPr>
        <w:t xml:space="preserve"> 71</w:t>
      </w:r>
      <w:r w:rsidR="00A65AA3">
        <w:rPr>
          <w:rFonts w:ascii="Soberana Sans Light" w:hAnsi="Soberana Sans Light"/>
        </w:rPr>
        <w:t>,</w:t>
      </w:r>
      <w:r w:rsidR="009B0D13">
        <w:rPr>
          <w:rFonts w:ascii="Soberana Sans Light" w:hAnsi="Soberana Sans Light"/>
        </w:rPr>
        <w:t>165</w:t>
      </w:r>
      <w:r w:rsidR="00A65AA3">
        <w:rPr>
          <w:rFonts w:ascii="Soberana Sans Light" w:hAnsi="Soberana Sans Light"/>
        </w:rPr>
        <w:t>.00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Información Sobre la Deuda</w:t>
      </w:r>
    </w:p>
    <w:p w:rsidR="009943D6" w:rsidRDefault="009943D6" w:rsidP="009943D6">
      <w:pPr>
        <w:pStyle w:val="Text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</w:t>
      </w:r>
      <w:r w:rsidR="009B0D13">
        <w:rPr>
          <w:rFonts w:ascii="Soberana Sans Light" w:hAnsi="Soberana Sans Light"/>
          <w:sz w:val="22"/>
          <w:szCs w:val="22"/>
          <w:lang w:val="es-MX"/>
        </w:rPr>
        <w:t>e</w:t>
      </w:r>
      <w:r>
        <w:rPr>
          <w:rFonts w:ascii="Soberana Sans Light" w:hAnsi="Soberana Sans Light"/>
          <w:sz w:val="22"/>
          <w:szCs w:val="22"/>
          <w:lang w:val="es-MX"/>
        </w:rPr>
        <w:t>jercicio fiscal 2018, no se tiene contratada deuda pública.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  <w:b/>
        </w:rPr>
      </w:pPr>
    </w:p>
    <w:p w:rsidR="003967B7" w:rsidRDefault="003967B7" w:rsidP="0068051F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Calificaciones Otorgadas</w:t>
      </w:r>
    </w:p>
    <w:p w:rsidR="00972E3A" w:rsidRDefault="009943D6" w:rsidP="00972E3A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El ente no ha sido sujeto a una evaluación crediticia.</w:t>
      </w:r>
    </w:p>
    <w:p w:rsidR="00972E3A" w:rsidRDefault="00972E3A" w:rsidP="00972E3A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Procesos de Mejora</w:t>
      </w:r>
    </w:p>
    <w:p w:rsidR="009943D6" w:rsidRPr="006914C4" w:rsidRDefault="009943D6" w:rsidP="009943D6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>Dentro de las políticas de control interno, se implementan el siguiente procedimiento para tener un mejor control en los recursos.</w:t>
      </w:r>
    </w:p>
    <w:p w:rsidR="009943D6" w:rsidRPr="006914C4" w:rsidRDefault="009943D6" w:rsidP="009943D6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>Para la emisión de cheques y /o transferencias de pago a proveedores.</w:t>
      </w:r>
    </w:p>
    <w:p w:rsidR="009943D6" w:rsidRPr="006914C4" w:rsidRDefault="009943D6" w:rsidP="009943D6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 xml:space="preserve">Primero el </w:t>
      </w:r>
      <w:r w:rsidR="006914C4">
        <w:rPr>
          <w:rFonts w:ascii="Soberana sans" w:hAnsi="Soberana sans" w:cs="Arial"/>
        </w:rPr>
        <w:t>solicitante</w:t>
      </w:r>
      <w:r w:rsidRPr="006914C4">
        <w:rPr>
          <w:rFonts w:ascii="Soberana sans" w:hAnsi="Soberana sans" w:cs="Arial"/>
        </w:rPr>
        <w:t xml:space="preserve"> elabora su </w:t>
      </w:r>
      <w:r w:rsidR="006914C4" w:rsidRPr="006914C4">
        <w:rPr>
          <w:rFonts w:ascii="Soberana sans" w:hAnsi="Soberana sans" w:cs="Arial"/>
        </w:rPr>
        <w:t>requisición</w:t>
      </w:r>
      <w:r w:rsidRPr="006914C4">
        <w:rPr>
          <w:rFonts w:ascii="Soberana sans" w:hAnsi="Soberana sans" w:cs="Arial"/>
        </w:rPr>
        <w:t xml:space="preserve"> de material la cual </w:t>
      </w:r>
      <w:r w:rsidR="006914C4">
        <w:rPr>
          <w:rFonts w:ascii="Soberana sans" w:hAnsi="Soberana sans" w:cs="Arial"/>
        </w:rPr>
        <w:t>debe ir debidamente autorizada por los las personas correspondientes misma que será</w:t>
      </w:r>
      <w:r w:rsidRPr="006914C4">
        <w:rPr>
          <w:rFonts w:ascii="Soberana sans" w:hAnsi="Soberana sans" w:cs="Arial"/>
        </w:rPr>
        <w:t xml:space="preserve"> entregada al área de recursos materiales</w:t>
      </w:r>
      <w:r w:rsidR="006914C4" w:rsidRPr="006914C4">
        <w:rPr>
          <w:rFonts w:ascii="Soberana sans" w:hAnsi="Soberana sans" w:cs="Arial"/>
        </w:rPr>
        <w:t>, para que dicha área realice la solicitud correspondiente al proveedor</w:t>
      </w:r>
      <w:r w:rsidR="006914C4">
        <w:rPr>
          <w:rFonts w:ascii="Soberana sans" w:hAnsi="Soberana sans" w:cs="Arial"/>
        </w:rPr>
        <w:t xml:space="preserve">; en cuanto llega el material y la factura recursos materiales entrega lo solicitado al área y la factura con la </w:t>
      </w:r>
      <w:r w:rsidR="000A284E">
        <w:rPr>
          <w:rFonts w:ascii="Soberana sans" w:hAnsi="Soberana sans" w:cs="Arial"/>
        </w:rPr>
        <w:t>requisición</w:t>
      </w:r>
      <w:r w:rsidR="006914C4">
        <w:rPr>
          <w:rFonts w:ascii="Soberana sans" w:hAnsi="Soberana sans" w:cs="Arial"/>
        </w:rPr>
        <w:t xml:space="preserve"> es entregada al área de recursos financieros dicha documentación debe ir debidamente autorizada para su pago</w:t>
      </w:r>
      <w:r w:rsidR="000A284E">
        <w:rPr>
          <w:rFonts w:ascii="Soberana sans" w:hAnsi="Soberana sans" w:cs="Arial"/>
        </w:rPr>
        <w:t>; recursos financieros realiza la captura del documento en el sistema de contabilidad implementado para ser entregada con posterioridad al área de caja para su pago.</w:t>
      </w:r>
    </w:p>
    <w:p w:rsidR="009943D6" w:rsidRDefault="009943D6" w:rsidP="009943D6">
      <w:pPr>
        <w:pStyle w:val="Prrafodelista"/>
        <w:jc w:val="both"/>
        <w:rPr>
          <w:rFonts w:ascii="Soberana sans" w:hAnsi="Soberana sans" w:cs="Arial"/>
        </w:rPr>
      </w:pPr>
    </w:p>
    <w:p w:rsidR="000A284E" w:rsidRDefault="000A284E" w:rsidP="000A284E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 xml:space="preserve">Para </w:t>
      </w:r>
      <w:r>
        <w:rPr>
          <w:rFonts w:ascii="Soberana sans" w:hAnsi="Soberana sans" w:cs="Arial"/>
        </w:rPr>
        <w:t xml:space="preserve">el pago de </w:t>
      </w:r>
      <w:r w:rsidR="0080681A">
        <w:rPr>
          <w:rFonts w:ascii="Soberana sans" w:hAnsi="Soberana sans" w:cs="Arial"/>
        </w:rPr>
        <w:t>nómina</w:t>
      </w:r>
      <w:r w:rsidRPr="006914C4">
        <w:rPr>
          <w:rFonts w:ascii="Soberana sans" w:hAnsi="Soberana sans" w:cs="Arial"/>
        </w:rPr>
        <w:t>.</w:t>
      </w:r>
    </w:p>
    <w:p w:rsidR="0080681A" w:rsidRDefault="0080681A" w:rsidP="000A284E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lastRenderedPageBreak/>
        <w:t xml:space="preserve">Primero el área de recurso humanos descarga todas las incidencias de los trabajadores y personal en el sistema implementado se pasa a la secretaria administrativa para su autorización para posteriormente enviarla al jefe  de recursos financieros le dé el visto bueno y sea entregada al área de caja para su pago. </w:t>
      </w:r>
    </w:p>
    <w:p w:rsidR="000A284E" w:rsidRPr="006914C4" w:rsidRDefault="000A284E" w:rsidP="000A284E">
      <w:pPr>
        <w:pStyle w:val="Prrafodelista"/>
        <w:jc w:val="both"/>
        <w:rPr>
          <w:rFonts w:ascii="Soberana sans" w:hAnsi="Soberana sans" w:cs="Arial"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Información por Segmentos</w:t>
      </w:r>
    </w:p>
    <w:p w:rsidR="00275818" w:rsidRDefault="009943D6" w:rsidP="00275818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No se realiza información de manera segmentada.</w:t>
      </w:r>
    </w:p>
    <w:p w:rsidR="00275818" w:rsidRDefault="00275818" w:rsidP="00275818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Eventos Posteriores al cierre</w:t>
      </w:r>
    </w:p>
    <w:p w:rsidR="00275818" w:rsidRDefault="009943D6" w:rsidP="00275818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No aplica, debido a que el ente no se ve afectado por afectaciones posteriores.</w:t>
      </w:r>
    </w:p>
    <w:p w:rsidR="00972E3A" w:rsidRPr="00972E3A" w:rsidRDefault="00972E3A" w:rsidP="00972E3A">
      <w:pPr>
        <w:pStyle w:val="Prrafodelista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Partes relacionadas</w:t>
      </w:r>
    </w:p>
    <w:p w:rsidR="00275818" w:rsidRDefault="00275818" w:rsidP="00275818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No </w:t>
      </w:r>
      <w:r w:rsidR="009943D6">
        <w:rPr>
          <w:rFonts w:ascii="Soberana sans" w:hAnsi="Soberana sans" w:cs="Arial"/>
        </w:rPr>
        <w:t>hay existencia de partes relacionadas</w:t>
      </w:r>
      <w:r>
        <w:rPr>
          <w:rFonts w:ascii="Soberana sans" w:hAnsi="Soberana sans" w:cs="Arial"/>
        </w:rPr>
        <w:t>.</w:t>
      </w:r>
    </w:p>
    <w:p w:rsidR="00972E3A" w:rsidRDefault="00972E3A" w:rsidP="00972E3A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P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Responsabilidad Sobre la Presentación Razonable de la Información Contable</w:t>
      </w:r>
    </w:p>
    <w:p w:rsidR="00B90DC9" w:rsidRDefault="00B90DC9" w:rsidP="008D4BB7">
      <w:pPr>
        <w:jc w:val="both"/>
        <w:rPr>
          <w:rFonts w:ascii="Soberana sans" w:hAnsi="Soberana sans" w:cs="Arial"/>
        </w:rPr>
      </w:pPr>
    </w:p>
    <w:p w:rsidR="004311BE" w:rsidRDefault="000310FB" w:rsidP="00373E01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margin-left:36.55pt;margin-top:85.7pt;width:825pt;height:81.85pt;z-index:251662336">
            <v:imagedata r:id="rId19" o:title=""/>
            <w10:wrap type="topAndBottom"/>
          </v:shape>
        </w:pict>
      </w:r>
      <w:r w:rsidR="00275818">
        <w:rPr>
          <w:rFonts w:ascii="Soberana Sans Light" w:hAnsi="Soberana Sans Light"/>
          <w:sz w:val="22"/>
          <w:szCs w:val="22"/>
        </w:rPr>
        <w:t>“</w:t>
      </w:r>
      <w:r w:rsidR="0068051F">
        <w:rPr>
          <w:rFonts w:ascii="Soberana Sans Light" w:hAnsi="Soberana Sans Light"/>
          <w:sz w:val="22"/>
          <w:szCs w:val="22"/>
        </w:rPr>
        <w:t>Bajo protesta de decir verdad declaramos que los Estados Financieros y sus Notas son razonablemente correctos y responsabilidad del emisor.</w:t>
      </w:r>
      <w:r w:rsidR="00275818">
        <w:rPr>
          <w:rFonts w:ascii="Soberana Sans Light" w:hAnsi="Soberana Sans Light"/>
          <w:sz w:val="22"/>
          <w:szCs w:val="22"/>
        </w:rPr>
        <w:t>”</w:t>
      </w:r>
    </w:p>
    <w:sectPr w:rsidR="004311BE" w:rsidSect="008E3652">
      <w:headerReference w:type="even" r:id="rId20"/>
      <w:headerReference w:type="default" r:id="rId21"/>
      <w:footerReference w:type="even" r:id="rId22"/>
      <w:footerReference w:type="default" r:id="rId2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39" w:rsidRDefault="004F0E39" w:rsidP="00EA5418">
      <w:pPr>
        <w:spacing w:after="0" w:line="240" w:lineRule="auto"/>
      </w:pPr>
      <w:r>
        <w:separator/>
      </w:r>
    </w:p>
  </w:endnote>
  <w:endnote w:type="continuationSeparator" w:id="0">
    <w:p w:rsidR="004F0E39" w:rsidRDefault="004F0E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">
    <w:altName w:val="Times New Roman"/>
    <w:panose1 w:val="00000000000000000000"/>
    <w:charset w:val="00"/>
    <w:family w:val="roman"/>
    <w:notTrueType/>
    <w:pitch w:val="default"/>
  </w:font>
  <w:font w:name="Soberana sans">
    <w:altName w:val="Times New Roman"/>
    <w:panose1 w:val="00000000000000000000"/>
    <w:charset w:val="00"/>
    <w:family w:val="roman"/>
    <w:notTrueType/>
    <w:pitch w:val="default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CF" w:rsidRPr="0013011C" w:rsidRDefault="000310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842ECF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42ECF" w:rsidRPr="0013011C">
          <w:rPr>
            <w:rFonts w:ascii="Soberana Sans Light" w:hAnsi="Soberana Sans Light"/>
          </w:rPr>
          <w:fldChar w:fldCharType="begin"/>
        </w:r>
        <w:r w:rsidR="00842ECF" w:rsidRPr="0013011C">
          <w:rPr>
            <w:rFonts w:ascii="Soberana Sans Light" w:hAnsi="Soberana Sans Light"/>
          </w:rPr>
          <w:instrText>PAGE   \* MERGEFORMAT</w:instrText>
        </w:r>
        <w:r w:rsidR="00842ECF" w:rsidRPr="0013011C">
          <w:rPr>
            <w:rFonts w:ascii="Soberana Sans Light" w:hAnsi="Soberana Sans Light"/>
          </w:rPr>
          <w:fldChar w:fldCharType="separate"/>
        </w:r>
        <w:r w:rsidRPr="000310FB">
          <w:rPr>
            <w:rFonts w:ascii="Soberana Sans Light" w:hAnsi="Soberana Sans Light"/>
            <w:noProof/>
            <w:lang w:val="es-ES"/>
          </w:rPr>
          <w:t>20</w:t>
        </w:r>
        <w:r w:rsidR="00842ECF" w:rsidRPr="0013011C">
          <w:rPr>
            <w:rFonts w:ascii="Soberana Sans Light" w:hAnsi="Soberana Sans Light"/>
          </w:rPr>
          <w:fldChar w:fldCharType="end"/>
        </w:r>
      </w:sdtContent>
    </w:sdt>
  </w:p>
  <w:p w:rsidR="00842ECF" w:rsidRDefault="00842ECF" w:rsidP="003230B7">
    <w:pPr>
      <w:pStyle w:val="Piedepgina"/>
      <w:tabs>
        <w:tab w:val="clear" w:pos="4419"/>
        <w:tab w:val="clear" w:pos="8838"/>
        <w:tab w:val="left" w:pos="10518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CF" w:rsidRPr="008E3652" w:rsidRDefault="000310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42ECF" w:rsidRPr="008E3652">
          <w:rPr>
            <w:rFonts w:ascii="Soberana Sans Light" w:hAnsi="Soberana Sans Light"/>
          </w:rPr>
          <w:t xml:space="preserve">Contable / </w:t>
        </w:r>
        <w:r w:rsidR="00842ECF" w:rsidRPr="008E3652">
          <w:rPr>
            <w:rFonts w:ascii="Soberana Sans Light" w:hAnsi="Soberana Sans Light"/>
          </w:rPr>
          <w:fldChar w:fldCharType="begin"/>
        </w:r>
        <w:r w:rsidR="00842ECF" w:rsidRPr="008E3652">
          <w:rPr>
            <w:rFonts w:ascii="Soberana Sans Light" w:hAnsi="Soberana Sans Light"/>
          </w:rPr>
          <w:instrText>PAGE   \* MERGEFORMAT</w:instrText>
        </w:r>
        <w:r w:rsidR="00842ECF" w:rsidRPr="008E3652">
          <w:rPr>
            <w:rFonts w:ascii="Soberana Sans Light" w:hAnsi="Soberana Sans Light"/>
          </w:rPr>
          <w:fldChar w:fldCharType="separate"/>
        </w:r>
        <w:r w:rsidRPr="000310FB">
          <w:rPr>
            <w:rFonts w:ascii="Soberana Sans Light" w:hAnsi="Soberana Sans Light"/>
            <w:noProof/>
            <w:lang w:val="es-ES"/>
          </w:rPr>
          <w:t>1</w:t>
        </w:r>
        <w:r w:rsidR="00842EC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39" w:rsidRDefault="004F0E39" w:rsidP="00EA5418">
      <w:pPr>
        <w:spacing w:after="0" w:line="240" w:lineRule="auto"/>
      </w:pPr>
      <w:r>
        <w:separator/>
      </w:r>
    </w:p>
  </w:footnote>
  <w:footnote w:type="continuationSeparator" w:id="0">
    <w:p w:rsidR="004F0E39" w:rsidRDefault="004F0E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CF" w:rsidRDefault="000310F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ECF" w:rsidRDefault="00842E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42ECF" w:rsidRDefault="00842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42ECF" w:rsidRPr="00275FC6" w:rsidRDefault="00842EC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ECF" w:rsidRDefault="00842EC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842ECF" w:rsidRDefault="00842EC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42ECF" w:rsidRPr="00275FC6" w:rsidRDefault="00842EC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2ECF" w:rsidRDefault="00842E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42ECF" w:rsidRDefault="00842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42ECF" w:rsidRPr="00275FC6" w:rsidRDefault="00842EC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42ECF" w:rsidRDefault="00842EC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842ECF" w:rsidRDefault="00842EC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42ECF" w:rsidRPr="00275FC6" w:rsidRDefault="00842EC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CF" w:rsidRPr="0013011C" w:rsidRDefault="000310F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842ECF">
      <w:rPr>
        <w:rFonts w:ascii="Soberana Sans Light" w:hAnsi="Soberana Sans Light"/>
      </w:rPr>
      <w:t>CONGRESO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6848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4696F00"/>
    <w:multiLevelType w:val="hybridMultilevel"/>
    <w:tmpl w:val="FCC80A2C"/>
    <w:lvl w:ilvl="0" w:tplc="D9DC771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D131207"/>
    <w:multiLevelType w:val="hybridMultilevel"/>
    <w:tmpl w:val="3D7418D8"/>
    <w:lvl w:ilvl="0" w:tplc="5E4630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59B82BB6"/>
    <w:multiLevelType w:val="hybridMultilevel"/>
    <w:tmpl w:val="EB1405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64F0E"/>
    <w:multiLevelType w:val="hybridMultilevel"/>
    <w:tmpl w:val="C4044A90"/>
    <w:lvl w:ilvl="0" w:tplc="F0A2F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10FB"/>
    <w:rsid w:val="00031833"/>
    <w:rsid w:val="00040466"/>
    <w:rsid w:val="00045A10"/>
    <w:rsid w:val="0007174B"/>
    <w:rsid w:val="000731DC"/>
    <w:rsid w:val="00083A74"/>
    <w:rsid w:val="00084A4A"/>
    <w:rsid w:val="000A1727"/>
    <w:rsid w:val="000A284E"/>
    <w:rsid w:val="000A517B"/>
    <w:rsid w:val="000A64A2"/>
    <w:rsid w:val="000A78B2"/>
    <w:rsid w:val="000B4D22"/>
    <w:rsid w:val="000C2C01"/>
    <w:rsid w:val="000C31E8"/>
    <w:rsid w:val="000C645B"/>
    <w:rsid w:val="000D335E"/>
    <w:rsid w:val="000E652D"/>
    <w:rsid w:val="000F7D9A"/>
    <w:rsid w:val="001210CF"/>
    <w:rsid w:val="001259A9"/>
    <w:rsid w:val="00125C48"/>
    <w:rsid w:val="0013011C"/>
    <w:rsid w:val="00130DD3"/>
    <w:rsid w:val="001351B9"/>
    <w:rsid w:val="0013606E"/>
    <w:rsid w:val="00136247"/>
    <w:rsid w:val="00155B53"/>
    <w:rsid w:val="00165BB4"/>
    <w:rsid w:val="00167BAF"/>
    <w:rsid w:val="00180186"/>
    <w:rsid w:val="00191EA7"/>
    <w:rsid w:val="001A021D"/>
    <w:rsid w:val="001B0600"/>
    <w:rsid w:val="001B1B72"/>
    <w:rsid w:val="001B396C"/>
    <w:rsid w:val="001B6A6B"/>
    <w:rsid w:val="001B6ECD"/>
    <w:rsid w:val="001C6FD8"/>
    <w:rsid w:val="001E065C"/>
    <w:rsid w:val="001E5C21"/>
    <w:rsid w:val="001E7072"/>
    <w:rsid w:val="001F15FD"/>
    <w:rsid w:val="001F350B"/>
    <w:rsid w:val="001F4EC8"/>
    <w:rsid w:val="001F5571"/>
    <w:rsid w:val="00204C86"/>
    <w:rsid w:val="0022236D"/>
    <w:rsid w:val="00224706"/>
    <w:rsid w:val="00227787"/>
    <w:rsid w:val="0024135F"/>
    <w:rsid w:val="00253663"/>
    <w:rsid w:val="002541EB"/>
    <w:rsid w:val="00264426"/>
    <w:rsid w:val="002720B6"/>
    <w:rsid w:val="00273AA2"/>
    <w:rsid w:val="00275818"/>
    <w:rsid w:val="00292417"/>
    <w:rsid w:val="00293645"/>
    <w:rsid w:val="002A5B20"/>
    <w:rsid w:val="002A70B3"/>
    <w:rsid w:val="002B0CBE"/>
    <w:rsid w:val="002B15A9"/>
    <w:rsid w:val="002B7B30"/>
    <w:rsid w:val="002C3D6E"/>
    <w:rsid w:val="002C4FA2"/>
    <w:rsid w:val="002C6757"/>
    <w:rsid w:val="002D41D5"/>
    <w:rsid w:val="002D7CB0"/>
    <w:rsid w:val="0030636C"/>
    <w:rsid w:val="003103F8"/>
    <w:rsid w:val="0031234D"/>
    <w:rsid w:val="00312863"/>
    <w:rsid w:val="00315310"/>
    <w:rsid w:val="0031638E"/>
    <w:rsid w:val="003222C4"/>
    <w:rsid w:val="003230B7"/>
    <w:rsid w:val="00331754"/>
    <w:rsid w:val="00343C37"/>
    <w:rsid w:val="00351EE4"/>
    <w:rsid w:val="00372B6B"/>
    <w:rsid w:val="00372F40"/>
    <w:rsid w:val="00373E01"/>
    <w:rsid w:val="00375A12"/>
    <w:rsid w:val="0039061B"/>
    <w:rsid w:val="003967B7"/>
    <w:rsid w:val="00396C2B"/>
    <w:rsid w:val="003A0303"/>
    <w:rsid w:val="003B5039"/>
    <w:rsid w:val="003C288A"/>
    <w:rsid w:val="003C5108"/>
    <w:rsid w:val="003D1E02"/>
    <w:rsid w:val="003D5DBF"/>
    <w:rsid w:val="003E7FD0"/>
    <w:rsid w:val="003F0EA4"/>
    <w:rsid w:val="003F1F83"/>
    <w:rsid w:val="003F3916"/>
    <w:rsid w:val="003F6311"/>
    <w:rsid w:val="004064C7"/>
    <w:rsid w:val="0042186C"/>
    <w:rsid w:val="00424615"/>
    <w:rsid w:val="004263F1"/>
    <w:rsid w:val="004311BE"/>
    <w:rsid w:val="004334AE"/>
    <w:rsid w:val="00433CE3"/>
    <w:rsid w:val="0043438F"/>
    <w:rsid w:val="00435D59"/>
    <w:rsid w:val="00437B00"/>
    <w:rsid w:val="0044253C"/>
    <w:rsid w:val="0044330A"/>
    <w:rsid w:val="00444251"/>
    <w:rsid w:val="00447B00"/>
    <w:rsid w:val="00454F25"/>
    <w:rsid w:val="004612E1"/>
    <w:rsid w:val="00461778"/>
    <w:rsid w:val="004714CF"/>
    <w:rsid w:val="00482D8D"/>
    <w:rsid w:val="00484C0D"/>
    <w:rsid w:val="004955FF"/>
    <w:rsid w:val="00497D8B"/>
    <w:rsid w:val="004A0E52"/>
    <w:rsid w:val="004B290C"/>
    <w:rsid w:val="004B4BC5"/>
    <w:rsid w:val="004C36B5"/>
    <w:rsid w:val="004C7EAD"/>
    <w:rsid w:val="004D23B1"/>
    <w:rsid w:val="004D41B8"/>
    <w:rsid w:val="004E2912"/>
    <w:rsid w:val="004E42F5"/>
    <w:rsid w:val="004F0E39"/>
    <w:rsid w:val="004F1746"/>
    <w:rsid w:val="004F5641"/>
    <w:rsid w:val="0050140E"/>
    <w:rsid w:val="00504416"/>
    <w:rsid w:val="0050712A"/>
    <w:rsid w:val="005077D1"/>
    <w:rsid w:val="00510683"/>
    <w:rsid w:val="00522632"/>
    <w:rsid w:val="00522EF3"/>
    <w:rsid w:val="005265FD"/>
    <w:rsid w:val="00540418"/>
    <w:rsid w:val="005625CD"/>
    <w:rsid w:val="0056672F"/>
    <w:rsid w:val="00570EC3"/>
    <w:rsid w:val="00574266"/>
    <w:rsid w:val="00587661"/>
    <w:rsid w:val="005A2E0C"/>
    <w:rsid w:val="005B43C3"/>
    <w:rsid w:val="005B6964"/>
    <w:rsid w:val="005B7A63"/>
    <w:rsid w:val="005C1DA8"/>
    <w:rsid w:val="005D3D25"/>
    <w:rsid w:val="005D4F9E"/>
    <w:rsid w:val="005D6768"/>
    <w:rsid w:val="005E0F96"/>
    <w:rsid w:val="005F1A86"/>
    <w:rsid w:val="005F1AAB"/>
    <w:rsid w:val="005F1F29"/>
    <w:rsid w:val="005F6F7C"/>
    <w:rsid w:val="00602EA5"/>
    <w:rsid w:val="0060436D"/>
    <w:rsid w:val="00605A67"/>
    <w:rsid w:val="00606660"/>
    <w:rsid w:val="00607F82"/>
    <w:rsid w:val="00624059"/>
    <w:rsid w:val="006251DF"/>
    <w:rsid w:val="0062586A"/>
    <w:rsid w:val="00637968"/>
    <w:rsid w:val="0066226E"/>
    <w:rsid w:val="00664819"/>
    <w:rsid w:val="00667171"/>
    <w:rsid w:val="00667C47"/>
    <w:rsid w:val="00670427"/>
    <w:rsid w:val="0068051F"/>
    <w:rsid w:val="0068185B"/>
    <w:rsid w:val="00685DC9"/>
    <w:rsid w:val="006914C4"/>
    <w:rsid w:val="00696D09"/>
    <w:rsid w:val="006A08AF"/>
    <w:rsid w:val="006A2E24"/>
    <w:rsid w:val="006B1FE7"/>
    <w:rsid w:val="006C59F2"/>
    <w:rsid w:val="006C752E"/>
    <w:rsid w:val="006D2F1B"/>
    <w:rsid w:val="006D519B"/>
    <w:rsid w:val="006E77DD"/>
    <w:rsid w:val="007117C7"/>
    <w:rsid w:val="00711FA2"/>
    <w:rsid w:val="00714544"/>
    <w:rsid w:val="007225DC"/>
    <w:rsid w:val="00730D67"/>
    <w:rsid w:val="00732688"/>
    <w:rsid w:val="007419DC"/>
    <w:rsid w:val="00753ACF"/>
    <w:rsid w:val="0075502D"/>
    <w:rsid w:val="00761A47"/>
    <w:rsid w:val="0077222B"/>
    <w:rsid w:val="00774871"/>
    <w:rsid w:val="00774D54"/>
    <w:rsid w:val="00776170"/>
    <w:rsid w:val="00780024"/>
    <w:rsid w:val="00782FAF"/>
    <w:rsid w:val="007919DE"/>
    <w:rsid w:val="0079582C"/>
    <w:rsid w:val="007A2AC2"/>
    <w:rsid w:val="007A4703"/>
    <w:rsid w:val="007B3379"/>
    <w:rsid w:val="007B440F"/>
    <w:rsid w:val="007B76D0"/>
    <w:rsid w:val="007C1EE2"/>
    <w:rsid w:val="007D0AF0"/>
    <w:rsid w:val="007D4D45"/>
    <w:rsid w:val="007D52DA"/>
    <w:rsid w:val="007D6E9A"/>
    <w:rsid w:val="007E2328"/>
    <w:rsid w:val="007E504B"/>
    <w:rsid w:val="007E7212"/>
    <w:rsid w:val="007F575A"/>
    <w:rsid w:val="008040F3"/>
    <w:rsid w:val="0080681A"/>
    <w:rsid w:val="00810F42"/>
    <w:rsid w:val="00811DAC"/>
    <w:rsid w:val="00832A36"/>
    <w:rsid w:val="00842ECF"/>
    <w:rsid w:val="00843571"/>
    <w:rsid w:val="00852311"/>
    <w:rsid w:val="00852432"/>
    <w:rsid w:val="0085494D"/>
    <w:rsid w:val="008615CE"/>
    <w:rsid w:val="00875426"/>
    <w:rsid w:val="00881972"/>
    <w:rsid w:val="00884543"/>
    <w:rsid w:val="008851FC"/>
    <w:rsid w:val="00886EF2"/>
    <w:rsid w:val="0089054E"/>
    <w:rsid w:val="008A19E6"/>
    <w:rsid w:val="008A3FAE"/>
    <w:rsid w:val="008A6E4D"/>
    <w:rsid w:val="008A793D"/>
    <w:rsid w:val="008B0017"/>
    <w:rsid w:val="008B2E02"/>
    <w:rsid w:val="008B6C3B"/>
    <w:rsid w:val="008C436D"/>
    <w:rsid w:val="008C4EDE"/>
    <w:rsid w:val="008C6F7E"/>
    <w:rsid w:val="008D3342"/>
    <w:rsid w:val="008D4BB7"/>
    <w:rsid w:val="008E3652"/>
    <w:rsid w:val="008E5680"/>
    <w:rsid w:val="008F6D58"/>
    <w:rsid w:val="00900487"/>
    <w:rsid w:val="0090633C"/>
    <w:rsid w:val="00917B09"/>
    <w:rsid w:val="00933715"/>
    <w:rsid w:val="0093492C"/>
    <w:rsid w:val="00937D15"/>
    <w:rsid w:val="009435FC"/>
    <w:rsid w:val="00945AE2"/>
    <w:rsid w:val="0095282C"/>
    <w:rsid w:val="00955EA2"/>
    <w:rsid w:val="00957043"/>
    <w:rsid w:val="009669C6"/>
    <w:rsid w:val="00967151"/>
    <w:rsid w:val="00972E3A"/>
    <w:rsid w:val="00975F09"/>
    <w:rsid w:val="00985CD3"/>
    <w:rsid w:val="0098678D"/>
    <w:rsid w:val="00993340"/>
    <w:rsid w:val="009943D6"/>
    <w:rsid w:val="00994EE9"/>
    <w:rsid w:val="009A27B9"/>
    <w:rsid w:val="009B0D13"/>
    <w:rsid w:val="009B5C59"/>
    <w:rsid w:val="009B652B"/>
    <w:rsid w:val="009C34F4"/>
    <w:rsid w:val="009D2F86"/>
    <w:rsid w:val="009D5D4C"/>
    <w:rsid w:val="009E5B7E"/>
    <w:rsid w:val="009F23C4"/>
    <w:rsid w:val="00A07C41"/>
    <w:rsid w:val="00A1106F"/>
    <w:rsid w:val="00A15102"/>
    <w:rsid w:val="00A266EE"/>
    <w:rsid w:val="00A27EC1"/>
    <w:rsid w:val="00A34CAF"/>
    <w:rsid w:val="00A363B6"/>
    <w:rsid w:val="00A46BF5"/>
    <w:rsid w:val="00A47E93"/>
    <w:rsid w:val="00A5555A"/>
    <w:rsid w:val="00A61749"/>
    <w:rsid w:val="00A65AA3"/>
    <w:rsid w:val="00A67B67"/>
    <w:rsid w:val="00A716AB"/>
    <w:rsid w:val="00A740A4"/>
    <w:rsid w:val="00A74D26"/>
    <w:rsid w:val="00A8291D"/>
    <w:rsid w:val="00A83D07"/>
    <w:rsid w:val="00A94B19"/>
    <w:rsid w:val="00AA0E7B"/>
    <w:rsid w:val="00AB4BB3"/>
    <w:rsid w:val="00AD07A8"/>
    <w:rsid w:val="00AD315C"/>
    <w:rsid w:val="00AE1711"/>
    <w:rsid w:val="00AF0048"/>
    <w:rsid w:val="00AF2529"/>
    <w:rsid w:val="00AF2D47"/>
    <w:rsid w:val="00B02286"/>
    <w:rsid w:val="00B146E2"/>
    <w:rsid w:val="00B22E69"/>
    <w:rsid w:val="00B22E8F"/>
    <w:rsid w:val="00B23787"/>
    <w:rsid w:val="00B3276B"/>
    <w:rsid w:val="00B4059D"/>
    <w:rsid w:val="00B419D4"/>
    <w:rsid w:val="00B42050"/>
    <w:rsid w:val="00B43EF6"/>
    <w:rsid w:val="00B4508B"/>
    <w:rsid w:val="00B51A25"/>
    <w:rsid w:val="00B55D38"/>
    <w:rsid w:val="00B61BBA"/>
    <w:rsid w:val="00B849EE"/>
    <w:rsid w:val="00B84D02"/>
    <w:rsid w:val="00B90DC9"/>
    <w:rsid w:val="00B93226"/>
    <w:rsid w:val="00B93814"/>
    <w:rsid w:val="00B97602"/>
    <w:rsid w:val="00BA2940"/>
    <w:rsid w:val="00BA654E"/>
    <w:rsid w:val="00BB0147"/>
    <w:rsid w:val="00BD6081"/>
    <w:rsid w:val="00BF026B"/>
    <w:rsid w:val="00C013BD"/>
    <w:rsid w:val="00C067AA"/>
    <w:rsid w:val="00C07A43"/>
    <w:rsid w:val="00C16E53"/>
    <w:rsid w:val="00C211AA"/>
    <w:rsid w:val="00C27DF7"/>
    <w:rsid w:val="00C34ED6"/>
    <w:rsid w:val="00C431B4"/>
    <w:rsid w:val="00C63E15"/>
    <w:rsid w:val="00C705F9"/>
    <w:rsid w:val="00C816C9"/>
    <w:rsid w:val="00C85CEE"/>
    <w:rsid w:val="00C86C59"/>
    <w:rsid w:val="00C91C5A"/>
    <w:rsid w:val="00CA0509"/>
    <w:rsid w:val="00CA52BC"/>
    <w:rsid w:val="00CB7484"/>
    <w:rsid w:val="00CC08CA"/>
    <w:rsid w:val="00CC32BD"/>
    <w:rsid w:val="00CC4FCA"/>
    <w:rsid w:val="00CC610F"/>
    <w:rsid w:val="00CC7D22"/>
    <w:rsid w:val="00CD6D9A"/>
    <w:rsid w:val="00CF5F45"/>
    <w:rsid w:val="00D00E92"/>
    <w:rsid w:val="00D0170D"/>
    <w:rsid w:val="00D04373"/>
    <w:rsid w:val="00D055EC"/>
    <w:rsid w:val="00D22760"/>
    <w:rsid w:val="00D44728"/>
    <w:rsid w:val="00D44E22"/>
    <w:rsid w:val="00D506F1"/>
    <w:rsid w:val="00D562FF"/>
    <w:rsid w:val="00D678FC"/>
    <w:rsid w:val="00D701D4"/>
    <w:rsid w:val="00D7362A"/>
    <w:rsid w:val="00D80BCD"/>
    <w:rsid w:val="00DB5C78"/>
    <w:rsid w:val="00DB7F25"/>
    <w:rsid w:val="00DC5C7B"/>
    <w:rsid w:val="00DD195C"/>
    <w:rsid w:val="00DE1AC7"/>
    <w:rsid w:val="00DE7749"/>
    <w:rsid w:val="00DF0686"/>
    <w:rsid w:val="00DF181F"/>
    <w:rsid w:val="00DF56C9"/>
    <w:rsid w:val="00E01504"/>
    <w:rsid w:val="00E03928"/>
    <w:rsid w:val="00E121C9"/>
    <w:rsid w:val="00E12E1C"/>
    <w:rsid w:val="00E1374B"/>
    <w:rsid w:val="00E2211C"/>
    <w:rsid w:val="00E26A0F"/>
    <w:rsid w:val="00E277B5"/>
    <w:rsid w:val="00E27D58"/>
    <w:rsid w:val="00E30318"/>
    <w:rsid w:val="00E32708"/>
    <w:rsid w:val="00E34198"/>
    <w:rsid w:val="00E46D8E"/>
    <w:rsid w:val="00E47026"/>
    <w:rsid w:val="00E52DE0"/>
    <w:rsid w:val="00E53962"/>
    <w:rsid w:val="00E55233"/>
    <w:rsid w:val="00E556B1"/>
    <w:rsid w:val="00E652D9"/>
    <w:rsid w:val="00E67C2C"/>
    <w:rsid w:val="00E8362E"/>
    <w:rsid w:val="00EA5418"/>
    <w:rsid w:val="00EB2B47"/>
    <w:rsid w:val="00EE24FD"/>
    <w:rsid w:val="00EE2603"/>
    <w:rsid w:val="00EE265A"/>
    <w:rsid w:val="00EE46FB"/>
    <w:rsid w:val="00EE483E"/>
    <w:rsid w:val="00EF0643"/>
    <w:rsid w:val="00EF1D7C"/>
    <w:rsid w:val="00EF4795"/>
    <w:rsid w:val="00EF52FB"/>
    <w:rsid w:val="00EF55C4"/>
    <w:rsid w:val="00EF6025"/>
    <w:rsid w:val="00F07FD3"/>
    <w:rsid w:val="00F17C0D"/>
    <w:rsid w:val="00F22462"/>
    <w:rsid w:val="00F52B8F"/>
    <w:rsid w:val="00F56B27"/>
    <w:rsid w:val="00F66537"/>
    <w:rsid w:val="00F755D0"/>
    <w:rsid w:val="00F76380"/>
    <w:rsid w:val="00F77E9D"/>
    <w:rsid w:val="00F812B0"/>
    <w:rsid w:val="00F84230"/>
    <w:rsid w:val="00F8657A"/>
    <w:rsid w:val="00FB1010"/>
    <w:rsid w:val="00FB1C70"/>
    <w:rsid w:val="00FB4304"/>
    <w:rsid w:val="00FB46AB"/>
    <w:rsid w:val="00FD279C"/>
    <w:rsid w:val="00FD5A63"/>
    <w:rsid w:val="00FE1E94"/>
    <w:rsid w:val="00FE6FE1"/>
    <w:rsid w:val="00FF5D06"/>
    <w:rsid w:val="00FF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04A1-F468-4436-B9D2-3E855252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2059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Finanzas2</cp:lastModifiedBy>
  <cp:revision>2</cp:revision>
  <cp:lastPrinted>2019-01-10T04:15:00Z</cp:lastPrinted>
  <dcterms:created xsi:type="dcterms:W3CDTF">2019-01-10T18:41:00Z</dcterms:created>
  <dcterms:modified xsi:type="dcterms:W3CDTF">2019-01-10T18:41:00Z</dcterms:modified>
</cp:coreProperties>
</file>