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EA5418" w:rsidRPr="005101FF" w:rsidRDefault="008C6AF3" w:rsidP="00372F40">
      <w:pPr>
        <w:jc w:val="center"/>
      </w:pPr>
      <w:r w:rsidRPr="005101FF">
        <w:object w:dxaOrig="23407" w:dyaOrig="1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15pt;height:428.6pt" o:ole="">
            <v:imagedata r:id="rId8" o:title=""/>
          </v:shape>
          <o:OLEObject Type="Embed" ProgID="Excel.Sheet.12" ShapeID="_x0000_i1025" DrawAspect="Content" ObjectID="_1608015623" r:id="rId9"/>
        </w:object>
      </w:r>
    </w:p>
    <w:p w:rsidR="00EA5418" w:rsidRPr="005101FF" w:rsidRDefault="00637980" w:rsidP="008706D6">
      <w:r>
        <w:rPr>
          <w:noProof/>
        </w:rPr>
        <w:lastRenderedPageBreak/>
        <w:object w:dxaOrig="1440" w:dyaOrig="1440">
          <v:shape id="_x0000_s1097" type="#_x0000_t75" style="position:absolute;margin-left:-6.2pt;margin-top:14.95pt;width:702.75pt;height:384.7pt;z-index:251668480;mso-position-horizontal-relative:text;mso-position-vertical-relative:text">
            <v:imagedata r:id="rId10" o:title=""/>
            <w10:wrap type="square" side="right"/>
          </v:shape>
          <o:OLEObject Type="Embed" ProgID="Excel.Sheet.12" ShapeID="_x0000_s1097" DrawAspect="Content" ObjectID="_1608015627" r:id="rId11"/>
        </w:object>
      </w:r>
      <w:r w:rsidR="008706D6" w:rsidRPr="005101FF">
        <w:br w:type="textWrapping" w:clear="all"/>
      </w:r>
    </w:p>
    <w:bookmarkStart w:id="1" w:name="_MON_1470806992"/>
    <w:bookmarkEnd w:id="1"/>
    <w:p w:rsidR="00CD72D3" w:rsidRDefault="00637980" w:rsidP="00EB2401">
      <w:pPr>
        <w:tabs>
          <w:tab w:val="right" w:pos="284"/>
          <w:tab w:val="left" w:pos="13325"/>
        </w:tabs>
        <w:jc w:val="center"/>
      </w:pPr>
      <w:r w:rsidRPr="005101FF">
        <w:object w:dxaOrig="17228" w:dyaOrig="15252">
          <v:shape id="_x0000_i1038" type="#_x0000_t75" style="width:671.1pt;height:417.75pt" o:ole="">
            <v:imagedata r:id="rId12" o:title="" cropleft="277f" cropright="555f"/>
          </v:shape>
          <o:OLEObject Type="Embed" ProgID="Excel.Sheet.12" ShapeID="_x0000_i1038" DrawAspect="Content" ObjectID="_1608015624" r:id="rId13"/>
        </w:object>
      </w:r>
    </w:p>
    <w:p w:rsidR="00372F40" w:rsidRPr="00CD72D3" w:rsidRDefault="00CD72D3" w:rsidP="00CD72D3">
      <w:pPr>
        <w:tabs>
          <w:tab w:val="left" w:pos="11821"/>
        </w:tabs>
      </w:pPr>
      <w:r>
        <w:tab/>
      </w:r>
    </w:p>
    <w:p w:rsidR="00372F40" w:rsidRPr="005101FF" w:rsidRDefault="00637980" w:rsidP="00EB2401">
      <w:pPr>
        <w:ind w:left="567" w:hanging="567"/>
        <w:jc w:val="center"/>
      </w:pPr>
      <w:r>
        <w:rPr>
          <w:noProof/>
        </w:rPr>
        <w:lastRenderedPageBreak/>
        <w:object w:dxaOrig="1440" w:dyaOrig="1440">
          <v:shape id="_x0000_s1104" type="#_x0000_t75" style="position:absolute;left:0;text-align:left;margin-left:6.45pt;margin-top:0;width:677.4pt;height:359.4pt;z-index:251674624;mso-position-horizontal-relative:text;mso-position-vertical-relative:text">
            <v:imagedata r:id="rId14" o:title=""/>
            <w10:wrap type="square" side="right"/>
          </v:shape>
          <o:OLEObject Type="Embed" ProgID="Excel.Sheet.12" ShapeID="_x0000_s1104" DrawAspect="Content" ObjectID="_1608015628" r:id="rId15"/>
        </w:object>
      </w:r>
      <w:r w:rsidR="00CD72D3">
        <w:br w:type="textWrapping" w:clear="all"/>
      </w:r>
      <w:bookmarkStart w:id="2" w:name="_MON_1470809138"/>
      <w:bookmarkEnd w:id="2"/>
      <w:r w:rsidR="00F74711" w:rsidRPr="005101FF">
        <w:object w:dxaOrig="17713" w:dyaOrig="12099">
          <v:shape id="_x0000_i1029" type="#_x0000_t75" style="width:611.3pt;height:427.9pt" o:ole="">
            <v:imagedata r:id="rId16" o:title=""/>
          </v:shape>
          <o:OLEObject Type="Embed" ProgID="Excel.Sheet.12" ShapeID="_x0000_i1029" DrawAspect="Content" ObjectID="_1608015625" r:id="rId17"/>
        </w:object>
      </w:r>
    </w:p>
    <w:p w:rsidR="00A958C7" w:rsidRPr="005101FF" w:rsidRDefault="00A958C7" w:rsidP="00522632">
      <w:pPr>
        <w:jc w:val="center"/>
      </w:pPr>
    </w:p>
    <w:p w:rsidR="00F74711" w:rsidRDefault="00637980" w:rsidP="002A70B3">
      <w:pPr>
        <w:tabs>
          <w:tab w:val="left" w:pos="2430"/>
        </w:tabs>
        <w:rPr>
          <w:rFonts w:ascii="Arial" w:hAnsi="Arial" w:cs="Arial"/>
          <w:sz w:val="16"/>
          <w:szCs w:val="18"/>
        </w:rPr>
      </w:pPr>
      <w:r>
        <w:rPr>
          <w:rFonts w:ascii="Arial" w:hAnsi="Arial" w:cs="Arial"/>
          <w:noProof/>
          <w:sz w:val="16"/>
          <w:szCs w:val="18"/>
        </w:rPr>
        <w:lastRenderedPageBreak/>
        <w:object w:dxaOrig="1440" w:dyaOrig="1440">
          <v:shape id="_x0000_s1098" type="#_x0000_t75" style="position:absolute;margin-left:-16.55pt;margin-top:12.55pt;width:722.85pt;height:329.3pt;z-index:251670528;mso-position-horizontal-relative:text;mso-position-vertical-relative:text">
            <v:imagedata r:id="rId18" o:title=""/>
            <w10:wrap type="square" side="right"/>
          </v:shape>
          <o:OLEObject Type="Embed" ProgID="Excel.Sheet.12" ShapeID="_x0000_s1098" DrawAspect="Content" ObjectID="_1608015629" r:id="rId19"/>
        </w:object>
      </w:r>
    </w:p>
    <w:p w:rsidR="00372F40" w:rsidRPr="007611EB" w:rsidRDefault="007611EB" w:rsidP="002A70B3">
      <w:pPr>
        <w:tabs>
          <w:tab w:val="left" w:pos="2430"/>
        </w:tabs>
        <w:rPr>
          <w:rFonts w:ascii="Arial" w:hAnsi="Arial" w:cs="Arial"/>
          <w:sz w:val="18"/>
          <w:szCs w:val="18"/>
        </w:rPr>
      </w:pPr>
      <w:r w:rsidRPr="007611EB">
        <w:rPr>
          <w:rFonts w:ascii="Arial" w:hAnsi="Arial" w:cs="Arial"/>
          <w:sz w:val="16"/>
          <w:szCs w:val="18"/>
        </w:rPr>
        <w:t>Bajo protesta de decir verdad declaramos que los Estados Financieros y sus Notas son razonablemente correctos y responsabilidad del emisor.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w:t>
            </w:r>
          </w:p>
        </w:tc>
      </w:tr>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Mtra. Irma González Benítez</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Directora General</w:t>
            </w:r>
          </w:p>
        </w:tc>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Lic. Mario Gabriel Sánchez Carbajal</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 Administrativo</w:t>
            </w:r>
          </w:p>
        </w:tc>
      </w:tr>
    </w:tbl>
    <w:p w:rsidR="007611EB" w:rsidRPr="005101FF" w:rsidRDefault="007611EB" w:rsidP="002A70B3">
      <w:pPr>
        <w:tabs>
          <w:tab w:val="left" w:pos="2430"/>
        </w:tabs>
      </w:pPr>
    </w:p>
    <w:bookmarkStart w:id="3" w:name="_MON_1470810366"/>
    <w:bookmarkEnd w:id="3"/>
    <w:p w:rsidR="00E32708" w:rsidRPr="005101FF" w:rsidRDefault="00F74711" w:rsidP="00E32708">
      <w:pPr>
        <w:tabs>
          <w:tab w:val="left" w:pos="2430"/>
        </w:tabs>
        <w:jc w:val="center"/>
      </w:pPr>
      <w:r w:rsidRPr="005101FF">
        <w:object w:dxaOrig="25775" w:dyaOrig="16598">
          <v:shape id="_x0000_i1031" type="#_x0000_t75" style="width:706.4pt;height:453.75pt" o:ole="">
            <v:imagedata r:id="rId20" o:title=""/>
          </v:shape>
          <o:OLEObject Type="Embed" ProgID="Excel.Sheet.12" ShapeID="_x0000_i1031" DrawAspect="Content" ObjectID="_1608015626" r:id="rId21"/>
        </w:object>
      </w:r>
    </w:p>
    <w:p w:rsidR="00372F40" w:rsidRPr="005101FF" w:rsidRDefault="00372F40"/>
    <w:p w:rsidR="00C84EC1" w:rsidRDefault="00C84EC1"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2E455C" w:rsidP="0079582C">
      <w:pPr>
        <w:jc w:val="center"/>
        <w:rPr>
          <w:rFonts w:ascii="Soberana Sans Light" w:hAnsi="Soberana Sans Light"/>
        </w:rPr>
      </w:pPr>
      <w:r w:rsidRPr="005101FF">
        <w:rPr>
          <w:rFonts w:ascii="Soberana Sans Light" w:hAnsi="Soberana Sans Light"/>
        </w:rPr>
        <w:t>201</w:t>
      </w:r>
      <w:r w:rsidR="00042FA4">
        <w:rPr>
          <w:rFonts w:ascii="Soberana Sans Light" w:hAnsi="Soberana Sans Light"/>
        </w:rPr>
        <w:t>8</w:t>
      </w:r>
    </w:p>
    <w:p w:rsidR="00540418" w:rsidRPr="005101FF" w:rsidRDefault="00540418">
      <w:pPr>
        <w:rPr>
          <w:rFonts w:ascii="Soberana Sans Light" w:hAnsi="Soberana Sans Light"/>
        </w:rPr>
      </w:pPr>
    </w:p>
    <w:p w:rsidR="0079582C" w:rsidRPr="005101FF" w:rsidRDefault="00E71557" w:rsidP="00E71557">
      <w:pPr>
        <w:pStyle w:val="Prrafodelista"/>
        <w:rPr>
          <w:rFonts w:ascii="Soberana Sans Light" w:hAnsi="Soberana Sans Light"/>
        </w:rPr>
      </w:pPr>
      <w:r w:rsidRPr="000B0B9F">
        <w:rPr>
          <w:rFonts w:ascii="Soberana Sans Light" w:hAnsi="Soberana Sans Light"/>
        </w:rPr>
        <w:t>Para el Ejercicio Fiscal 201</w:t>
      </w:r>
      <w:r w:rsidR="00575928" w:rsidRPr="000B0B9F">
        <w:rPr>
          <w:rFonts w:ascii="Soberana Sans Light" w:hAnsi="Soberana Sans Light"/>
        </w:rPr>
        <w:t>8</w:t>
      </w:r>
      <w:r w:rsidRPr="000B0B9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6842"/>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7E1E3D" w:rsidP="00E71557">
            <w:pPr>
              <w:pStyle w:val="Prrafodelista"/>
              <w:ind w:left="0"/>
              <w:jc w:val="center"/>
              <w:rPr>
                <w:rFonts w:ascii="Soberana Sans Light" w:hAnsi="Soberana Sans Light"/>
              </w:rPr>
            </w:pPr>
            <w:r w:rsidRPr="005101FF">
              <w:rPr>
                <w:rFonts w:ascii="Soberana Sans Light" w:hAnsi="Soberana Sans Light"/>
              </w:rPr>
              <w:t>Mtra. Irma González Benítez</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Directora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79582C" w:rsidRPr="005101FF" w:rsidRDefault="0079582C"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sidR="00F74711">
        <w:rPr>
          <w:rFonts w:ascii="Soberana Sans Light" w:hAnsi="Soberana Sans Light"/>
          <w:sz w:val="22"/>
          <w:szCs w:val="22"/>
          <w:lang w:val="es-MX"/>
        </w:rPr>
        <w:t>3’637</w:t>
      </w:r>
      <w:r w:rsidR="009A46CB">
        <w:rPr>
          <w:rFonts w:ascii="Soberana Sans Light" w:hAnsi="Soberana Sans Light"/>
          <w:sz w:val="22"/>
          <w:szCs w:val="22"/>
          <w:lang w:val="es-MX"/>
        </w:rPr>
        <w:t>,</w:t>
      </w:r>
      <w:r w:rsidR="00F74711">
        <w:rPr>
          <w:rFonts w:ascii="Soberana Sans Light" w:hAnsi="Soberana Sans Light"/>
          <w:sz w:val="22"/>
          <w:szCs w:val="22"/>
          <w:lang w:val="es-MX"/>
        </w:rPr>
        <w:t>568</w:t>
      </w:r>
      <w:r w:rsidRPr="005101FF">
        <w:rPr>
          <w:rFonts w:ascii="Soberana Sans Light" w:hAnsi="Soberana Sans Light"/>
          <w:sz w:val="22"/>
          <w:szCs w:val="22"/>
          <w:lang w:val="es-MX"/>
        </w:rPr>
        <w:t xml:space="preserve">, mismos que presentan una variación del </w:t>
      </w:r>
      <w:r w:rsidR="00F74711">
        <w:rPr>
          <w:rFonts w:ascii="Soberana Sans Light" w:hAnsi="Soberana Sans Light"/>
          <w:sz w:val="22"/>
          <w:szCs w:val="22"/>
          <w:lang w:val="es-MX"/>
        </w:rPr>
        <w:t>-45</w:t>
      </w:r>
      <w:r w:rsidRPr="005101FF">
        <w:rPr>
          <w:rFonts w:ascii="Soberana Sans Light" w:hAnsi="Soberana Sans Light"/>
          <w:sz w:val="22"/>
          <w:szCs w:val="22"/>
          <w:lang w:val="es-MX"/>
        </w:rPr>
        <w:t>% con respecto al ejercicio 201</w:t>
      </w:r>
      <w:r w:rsidR="00575928">
        <w:rPr>
          <w:rFonts w:ascii="Soberana Sans Light" w:hAnsi="Soberana Sans Light"/>
          <w:sz w:val="22"/>
          <w:szCs w:val="22"/>
          <w:lang w:val="es-MX"/>
        </w:rPr>
        <w:t>7</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r w:rsidR="00036B47" w:rsidRPr="005101FF">
        <w:rPr>
          <w:rFonts w:ascii="Soberana Sans Light" w:hAnsi="Soberana Sans Light"/>
          <w:sz w:val="22"/>
          <w:szCs w:val="22"/>
          <w:lang w:val="es-MX"/>
        </w:rPr>
        <w:t>.</w:t>
      </w:r>
    </w:p>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rsidTr="00CC1779">
        <w:tc>
          <w:tcPr>
            <w:tcW w:w="3119" w:type="dxa"/>
            <w:vMerge w:val="restart"/>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543F4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543F49" w:rsidRPr="005101FF" w:rsidRDefault="00E37A6C"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rsidTr="00CC1779">
        <w:tc>
          <w:tcPr>
            <w:tcW w:w="3119"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rsidTr="00C9473B">
        <w:tc>
          <w:tcPr>
            <w:tcW w:w="3119" w:type="dxa"/>
          </w:tcPr>
          <w:p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vAlign w:val="center"/>
          </w:tcPr>
          <w:p w:rsidR="009A46CB" w:rsidRDefault="00575928" w:rsidP="00DE219E">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74711">
              <w:rPr>
                <w:rFonts w:ascii="Soberana Sans Light" w:hAnsi="Soberana Sans Light"/>
              </w:rPr>
              <w:t>3’637,568</w:t>
            </w:r>
          </w:p>
        </w:tc>
        <w:tc>
          <w:tcPr>
            <w:tcW w:w="2020" w:type="dxa"/>
            <w:vAlign w:val="center"/>
          </w:tcPr>
          <w:p w:rsidR="009A46CB" w:rsidRDefault="009A46CB" w:rsidP="009A46CB">
            <w:pPr>
              <w:jc w:val="right"/>
              <w:rPr>
                <w:rFonts w:ascii="Soberana Sans Light" w:hAnsi="Soberana Sans Light"/>
                <w:color w:val="000000"/>
                <w:sz w:val="20"/>
                <w:szCs w:val="20"/>
              </w:rPr>
            </w:pPr>
            <w:r>
              <w:rPr>
                <w:rFonts w:ascii="Soberana Sans Light" w:hAnsi="Soberana Sans Light"/>
                <w:color w:val="000000"/>
                <w:sz w:val="20"/>
                <w:szCs w:val="20"/>
              </w:rPr>
              <w:t>$</w:t>
            </w:r>
            <w:r w:rsidR="00573596">
              <w:rPr>
                <w:rFonts w:ascii="Soberana Sans Light" w:hAnsi="Soberana Sans Light"/>
                <w:color w:val="000000"/>
                <w:sz w:val="20"/>
                <w:szCs w:val="20"/>
              </w:rPr>
              <w:t>6,653,998</w:t>
            </w:r>
          </w:p>
        </w:tc>
        <w:tc>
          <w:tcPr>
            <w:tcW w:w="2268" w:type="dxa"/>
            <w:vAlign w:val="center"/>
          </w:tcPr>
          <w:p w:rsidR="009A46CB" w:rsidRDefault="00F74711" w:rsidP="00F74711">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Pr>
                <w:rFonts w:ascii="Soberana Sans Light" w:hAnsi="Soberana Sans Light"/>
                <w:color w:val="000000"/>
                <w:sz w:val="20"/>
                <w:szCs w:val="20"/>
              </w:rPr>
              <w:t>3</w:t>
            </w:r>
            <w:r w:rsidR="00DE219E">
              <w:rPr>
                <w:rFonts w:ascii="Soberana Sans Light" w:hAnsi="Soberana Sans Light"/>
                <w:color w:val="000000"/>
                <w:sz w:val="20"/>
                <w:szCs w:val="20"/>
              </w:rPr>
              <w:t>’</w:t>
            </w:r>
            <w:r>
              <w:rPr>
                <w:rFonts w:ascii="Soberana Sans Light" w:hAnsi="Soberana Sans Light"/>
                <w:color w:val="000000"/>
                <w:sz w:val="20"/>
                <w:szCs w:val="20"/>
              </w:rPr>
              <w:t>016</w:t>
            </w:r>
            <w:r w:rsidR="00575928">
              <w:rPr>
                <w:rFonts w:ascii="Soberana Sans Light" w:hAnsi="Soberana Sans Light"/>
                <w:color w:val="000000"/>
                <w:sz w:val="20"/>
                <w:szCs w:val="20"/>
              </w:rPr>
              <w:t>,</w:t>
            </w:r>
            <w:r>
              <w:rPr>
                <w:rFonts w:ascii="Soberana Sans Light" w:hAnsi="Soberana Sans Light"/>
                <w:color w:val="000000"/>
                <w:sz w:val="20"/>
                <w:szCs w:val="20"/>
              </w:rPr>
              <w:t>430</w:t>
            </w:r>
          </w:p>
        </w:tc>
        <w:tc>
          <w:tcPr>
            <w:tcW w:w="1985" w:type="dxa"/>
            <w:vAlign w:val="center"/>
          </w:tcPr>
          <w:p w:rsidR="009A46CB" w:rsidRDefault="00F74711" w:rsidP="00F74711">
            <w:pPr>
              <w:jc w:val="center"/>
              <w:rPr>
                <w:rFonts w:ascii="Soberana Sans Light" w:hAnsi="Soberana Sans Light"/>
                <w:color w:val="000000"/>
                <w:sz w:val="20"/>
                <w:szCs w:val="20"/>
              </w:rPr>
            </w:pPr>
            <w:r>
              <w:rPr>
                <w:rFonts w:ascii="Soberana Sans Light" w:hAnsi="Soberana Sans Light"/>
                <w:color w:val="000000"/>
                <w:sz w:val="20"/>
                <w:szCs w:val="20"/>
              </w:rPr>
              <w:t>-45</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ab/>
        <w:t>Derechos a recibir Efectivo y Equivalentes y Bienes o Servicios a Recibir</w:t>
      </w:r>
    </w:p>
    <w:p w:rsidR="00D138C9" w:rsidRPr="005101FF" w:rsidRDefault="00F14126" w:rsidP="00F14126">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monto de </w:t>
      </w:r>
      <w:r w:rsidRPr="00575928">
        <w:rPr>
          <w:rFonts w:ascii="Soberana Sans Light" w:hAnsi="Soberana Sans Light"/>
          <w:sz w:val="22"/>
          <w:szCs w:val="22"/>
          <w:lang w:val="es-MX"/>
        </w:rPr>
        <w:t xml:space="preserve">$ </w:t>
      </w:r>
      <w:r w:rsidR="00DE219E">
        <w:rPr>
          <w:rFonts w:ascii="Soberana Sans Light" w:hAnsi="Soberana Sans Light"/>
          <w:sz w:val="22"/>
          <w:szCs w:val="22"/>
          <w:lang w:val="es-MX"/>
        </w:rPr>
        <w:t>50</w:t>
      </w:r>
      <w:r w:rsidR="00155CBC">
        <w:rPr>
          <w:rFonts w:ascii="Soberana Sans Light" w:hAnsi="Soberana Sans Light"/>
          <w:sz w:val="22"/>
          <w:szCs w:val="22"/>
          <w:lang w:val="es-MX"/>
        </w:rPr>
        <w:t>0</w:t>
      </w:r>
      <w:r w:rsidR="00DE219E">
        <w:rPr>
          <w:rFonts w:ascii="Soberana Sans Light" w:hAnsi="Soberana Sans Light"/>
          <w:sz w:val="22"/>
          <w:szCs w:val="22"/>
          <w:lang w:val="es-MX"/>
        </w:rPr>
        <w:t>,</w:t>
      </w:r>
      <w:r w:rsidR="00155CBC">
        <w:rPr>
          <w:rFonts w:ascii="Soberana Sans Light" w:hAnsi="Soberana Sans Light"/>
          <w:sz w:val="22"/>
          <w:szCs w:val="22"/>
          <w:lang w:val="es-MX"/>
        </w:rPr>
        <w:t>847</w:t>
      </w:r>
      <w:r w:rsidRPr="005101FF">
        <w:rPr>
          <w:rFonts w:ascii="Soberana Sans Light" w:hAnsi="Soberana Sans Light"/>
          <w:sz w:val="22"/>
          <w:szCs w:val="22"/>
          <w:lang w:val="es-MX"/>
        </w:rPr>
        <w:t xml:space="preserve"> que se tiene al cierre del período corresponde al subsidio al empleo</w:t>
      </w:r>
      <w:r w:rsidR="00DE219E">
        <w:rPr>
          <w:rFonts w:ascii="Soberana Sans Light" w:hAnsi="Soberana Sans Light"/>
          <w:sz w:val="22"/>
          <w:szCs w:val="22"/>
          <w:lang w:val="es-MX"/>
        </w:rPr>
        <w:t>,</w:t>
      </w:r>
      <w:r>
        <w:rPr>
          <w:rFonts w:ascii="Soberana Sans Light" w:hAnsi="Soberana Sans Light"/>
          <w:sz w:val="22"/>
          <w:szCs w:val="22"/>
          <w:lang w:val="es-MX"/>
        </w:rPr>
        <w:t xml:space="preserve"> deudores diversos</w:t>
      </w:r>
      <w:r w:rsidR="00DE219E">
        <w:rPr>
          <w:rFonts w:ascii="Soberana Sans Light" w:hAnsi="Soberana Sans Light"/>
          <w:sz w:val="22"/>
          <w:szCs w:val="22"/>
          <w:lang w:val="es-MX"/>
        </w:rPr>
        <w:t xml:space="preserve"> y cuentas por cobrar a corto plazo.</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rsidTr="00CC1779">
        <w:tc>
          <w:tcPr>
            <w:tcW w:w="3119" w:type="dxa"/>
            <w:vMerge w:val="restart"/>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D138C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D138C9"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rsidTr="00CC1779">
        <w:tc>
          <w:tcPr>
            <w:tcW w:w="3119"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D0781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vAlign w:val="center"/>
          </w:tcPr>
          <w:p w:rsidR="00F14126" w:rsidRDefault="00F14126" w:rsidP="00155CBC">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DE219E">
              <w:rPr>
                <w:rFonts w:ascii="Soberana Sans Light" w:hAnsi="Soberana Sans Light"/>
                <w:color w:val="000000"/>
                <w:sz w:val="20"/>
                <w:szCs w:val="20"/>
              </w:rPr>
              <w:t>50</w:t>
            </w:r>
            <w:r w:rsidR="00155CBC">
              <w:rPr>
                <w:rFonts w:ascii="Soberana Sans Light" w:hAnsi="Soberana Sans Light"/>
                <w:color w:val="000000"/>
                <w:sz w:val="20"/>
                <w:szCs w:val="20"/>
              </w:rPr>
              <w:t>0</w:t>
            </w:r>
            <w:r w:rsidR="00575928">
              <w:rPr>
                <w:rFonts w:ascii="Soberana Sans Light" w:hAnsi="Soberana Sans Light"/>
                <w:color w:val="000000"/>
                <w:sz w:val="20"/>
                <w:szCs w:val="20"/>
              </w:rPr>
              <w:t>,</w:t>
            </w:r>
            <w:r w:rsidR="00155CBC">
              <w:rPr>
                <w:rFonts w:ascii="Soberana Sans Light" w:hAnsi="Soberana Sans Light"/>
                <w:color w:val="000000"/>
                <w:sz w:val="20"/>
                <w:szCs w:val="20"/>
              </w:rPr>
              <w:t>847</w:t>
            </w:r>
          </w:p>
        </w:tc>
        <w:tc>
          <w:tcPr>
            <w:tcW w:w="2020" w:type="dxa"/>
            <w:vAlign w:val="center"/>
          </w:tcPr>
          <w:p w:rsidR="00F14126" w:rsidRDefault="00F14126" w:rsidP="00573596">
            <w:pPr>
              <w:jc w:val="right"/>
              <w:rPr>
                <w:rFonts w:ascii="Soberana Sans Light" w:hAnsi="Soberana Sans Light"/>
                <w:color w:val="000000"/>
                <w:sz w:val="20"/>
                <w:szCs w:val="20"/>
              </w:rPr>
            </w:pPr>
            <w:r>
              <w:rPr>
                <w:rFonts w:ascii="Soberana Sans Light" w:hAnsi="Soberana Sans Light"/>
                <w:color w:val="000000"/>
                <w:sz w:val="20"/>
                <w:szCs w:val="20"/>
              </w:rPr>
              <w:t>$</w:t>
            </w:r>
            <w:r w:rsidR="00573596">
              <w:rPr>
                <w:rFonts w:ascii="Soberana Sans Light" w:hAnsi="Soberana Sans Light"/>
                <w:color w:val="000000"/>
                <w:sz w:val="20"/>
                <w:szCs w:val="20"/>
              </w:rPr>
              <w:t xml:space="preserve"> 598</w:t>
            </w:r>
          </w:p>
        </w:tc>
        <w:tc>
          <w:tcPr>
            <w:tcW w:w="2268" w:type="dxa"/>
            <w:vAlign w:val="center"/>
          </w:tcPr>
          <w:p w:rsidR="00F14126" w:rsidRDefault="00575928" w:rsidP="00155CBC">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DE219E">
              <w:rPr>
                <w:rFonts w:ascii="Soberana Sans Light" w:hAnsi="Soberana Sans Light"/>
                <w:color w:val="000000"/>
                <w:sz w:val="20"/>
                <w:szCs w:val="20"/>
              </w:rPr>
              <w:t>500</w:t>
            </w:r>
            <w:r w:rsidR="00C63DFD">
              <w:rPr>
                <w:rFonts w:ascii="Soberana Sans Light" w:hAnsi="Soberana Sans Light"/>
                <w:color w:val="000000"/>
                <w:sz w:val="20"/>
                <w:szCs w:val="20"/>
              </w:rPr>
              <w:t>,</w:t>
            </w:r>
            <w:r w:rsidR="00155CBC">
              <w:rPr>
                <w:rFonts w:ascii="Soberana Sans Light" w:hAnsi="Soberana Sans Light"/>
                <w:color w:val="000000"/>
                <w:sz w:val="20"/>
                <w:szCs w:val="20"/>
              </w:rPr>
              <w:t>249</w:t>
            </w:r>
          </w:p>
        </w:tc>
        <w:tc>
          <w:tcPr>
            <w:tcW w:w="1985" w:type="dxa"/>
            <w:vAlign w:val="center"/>
          </w:tcPr>
          <w:p w:rsidR="00F14126" w:rsidRDefault="00DE219E" w:rsidP="00F14126">
            <w:pPr>
              <w:jc w:val="center"/>
              <w:rPr>
                <w:rFonts w:ascii="Soberana Sans Light" w:hAnsi="Soberana Sans Light"/>
                <w:color w:val="000000"/>
                <w:sz w:val="20"/>
                <w:szCs w:val="20"/>
              </w:rPr>
            </w:pPr>
            <w:r>
              <w:rPr>
                <w:rFonts w:ascii="Soberana Sans Light" w:hAnsi="Soberana Sans Light"/>
                <w:color w:val="000000"/>
                <w:sz w:val="20"/>
                <w:szCs w:val="20"/>
              </w:rPr>
              <w:t>837</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155CBC">
        <w:rPr>
          <w:rFonts w:ascii="Soberana Sans Light" w:hAnsi="Soberana Sans Light"/>
          <w:color w:val="000000"/>
          <w:sz w:val="20"/>
          <w:szCs w:val="20"/>
        </w:rPr>
        <w:t>322</w:t>
      </w:r>
      <w:r w:rsidR="009A46CB">
        <w:rPr>
          <w:rFonts w:ascii="Soberana Sans Light" w:hAnsi="Soberana Sans Light"/>
          <w:color w:val="000000"/>
          <w:sz w:val="20"/>
          <w:szCs w:val="20"/>
        </w:rPr>
        <w:t>,</w:t>
      </w:r>
      <w:r w:rsidR="00155CBC">
        <w:rPr>
          <w:rFonts w:ascii="Soberana Sans Light" w:hAnsi="Soberana Sans Light"/>
          <w:color w:val="000000"/>
          <w:sz w:val="20"/>
          <w:szCs w:val="20"/>
        </w:rPr>
        <w:t>121</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rsidTr="00CC1779">
        <w:tc>
          <w:tcPr>
            <w:tcW w:w="3119" w:type="dxa"/>
            <w:vMerge w:val="restart"/>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CD2472"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CD2472" w:rsidRPr="005101FF" w:rsidRDefault="00CD2472" w:rsidP="00E37A6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rsidTr="00CC1779">
        <w:tc>
          <w:tcPr>
            <w:tcW w:w="3119"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rsidTr="007D51E3">
        <w:trPr>
          <w:trHeight w:val="80"/>
        </w:trPr>
        <w:tc>
          <w:tcPr>
            <w:tcW w:w="3119" w:type="dxa"/>
          </w:tcPr>
          <w:p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rsidR="00573596" w:rsidRDefault="00573596" w:rsidP="00155CBC">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155CBC">
              <w:rPr>
                <w:rFonts w:ascii="Soberana Sans Light" w:hAnsi="Soberana Sans Light"/>
                <w:color w:val="000000"/>
                <w:sz w:val="20"/>
                <w:szCs w:val="20"/>
              </w:rPr>
              <w:t>32</w:t>
            </w:r>
            <w:r w:rsidR="00DE219E">
              <w:rPr>
                <w:rFonts w:ascii="Soberana Sans Light" w:hAnsi="Soberana Sans Light"/>
                <w:color w:val="000000"/>
                <w:sz w:val="20"/>
                <w:szCs w:val="20"/>
              </w:rPr>
              <w:t>2</w:t>
            </w:r>
            <w:r w:rsidR="00575928">
              <w:rPr>
                <w:rFonts w:ascii="Soberana Sans Light" w:hAnsi="Soberana Sans Light"/>
                <w:color w:val="000000"/>
                <w:sz w:val="20"/>
                <w:szCs w:val="20"/>
              </w:rPr>
              <w:t>,</w:t>
            </w:r>
            <w:r w:rsidR="00155CBC">
              <w:rPr>
                <w:rFonts w:ascii="Soberana Sans Light" w:hAnsi="Soberana Sans Light"/>
                <w:color w:val="000000"/>
                <w:sz w:val="20"/>
                <w:szCs w:val="20"/>
              </w:rPr>
              <w:t>121</w:t>
            </w:r>
            <w:r>
              <w:rPr>
                <w:rFonts w:ascii="Soberana Sans Light" w:hAnsi="Soberana Sans Light"/>
                <w:color w:val="000000"/>
                <w:sz w:val="20"/>
                <w:szCs w:val="20"/>
              </w:rPr>
              <w:t xml:space="preserve"> </w:t>
            </w:r>
          </w:p>
        </w:tc>
        <w:tc>
          <w:tcPr>
            <w:tcW w:w="2020" w:type="dxa"/>
            <w:vAlign w:val="center"/>
          </w:tcPr>
          <w:p w:rsidR="00573596" w:rsidRDefault="00573596" w:rsidP="00573596">
            <w:pPr>
              <w:jc w:val="right"/>
              <w:rPr>
                <w:rFonts w:ascii="Soberana Sans Light" w:hAnsi="Soberana Sans Light"/>
                <w:color w:val="000000"/>
                <w:sz w:val="20"/>
                <w:szCs w:val="20"/>
              </w:rPr>
            </w:pPr>
            <w:r>
              <w:rPr>
                <w:rFonts w:ascii="Soberana Sans Light" w:hAnsi="Soberana Sans Light"/>
                <w:color w:val="000000"/>
                <w:sz w:val="20"/>
                <w:szCs w:val="20"/>
              </w:rPr>
              <w:t>$ 31’433,654</w:t>
            </w:r>
          </w:p>
        </w:tc>
        <w:tc>
          <w:tcPr>
            <w:tcW w:w="2268" w:type="dxa"/>
            <w:vAlign w:val="center"/>
          </w:tcPr>
          <w:p w:rsidR="00573596" w:rsidRDefault="00575928" w:rsidP="00155CBC">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155CBC">
              <w:rPr>
                <w:rFonts w:ascii="Soberana Sans Light" w:hAnsi="Soberana Sans Light"/>
                <w:color w:val="000000"/>
                <w:sz w:val="20"/>
                <w:szCs w:val="20"/>
              </w:rPr>
              <w:t>888</w:t>
            </w:r>
            <w:r w:rsidR="00DE219E">
              <w:rPr>
                <w:rFonts w:ascii="Soberana Sans Light" w:hAnsi="Soberana Sans Light"/>
                <w:color w:val="000000"/>
                <w:sz w:val="20"/>
                <w:szCs w:val="20"/>
              </w:rPr>
              <w:t>,</w:t>
            </w:r>
            <w:r w:rsidR="00155CBC">
              <w:rPr>
                <w:rFonts w:ascii="Soberana Sans Light" w:hAnsi="Soberana Sans Light"/>
                <w:color w:val="000000"/>
                <w:sz w:val="20"/>
                <w:szCs w:val="20"/>
              </w:rPr>
              <w:t>467</w:t>
            </w:r>
          </w:p>
        </w:tc>
        <w:tc>
          <w:tcPr>
            <w:tcW w:w="1985" w:type="dxa"/>
            <w:vAlign w:val="center"/>
          </w:tcPr>
          <w:p w:rsidR="00573596" w:rsidRDefault="00155CBC" w:rsidP="00573596">
            <w:pPr>
              <w:jc w:val="center"/>
              <w:rPr>
                <w:rFonts w:ascii="Soberana Sans Light" w:hAnsi="Soberana Sans Light"/>
                <w:color w:val="000000"/>
                <w:sz w:val="20"/>
                <w:szCs w:val="20"/>
              </w:rPr>
            </w:pPr>
            <w:r>
              <w:rPr>
                <w:rFonts w:ascii="Soberana Sans Light" w:hAnsi="Soberana Sans Light"/>
                <w:color w:val="000000"/>
                <w:sz w:val="20"/>
                <w:szCs w:val="20"/>
              </w:rPr>
              <w:t>3</w:t>
            </w:r>
            <w:r w:rsidR="00575928">
              <w:rPr>
                <w:rFonts w:ascii="Soberana Sans Light" w:hAnsi="Soberana Sans Light"/>
                <w:color w:val="000000"/>
                <w:sz w:val="20"/>
                <w:szCs w:val="20"/>
              </w:rPr>
              <w:t>%</w:t>
            </w:r>
          </w:p>
        </w:tc>
      </w:tr>
    </w:tbl>
    <w:p w:rsidR="00FC04D1" w:rsidRPr="005101FF" w:rsidRDefault="00FC04D1"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rsidR="00234D56" w:rsidRPr="005101FF" w:rsidRDefault="00E37A6C" w:rsidP="00274DE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$ 6’468,727</w:t>
            </w:r>
          </w:p>
        </w:tc>
        <w:tc>
          <w:tcPr>
            <w:tcW w:w="2268" w:type="dxa"/>
          </w:tcPr>
          <w:p w:rsidR="00234D56" w:rsidRPr="005101FF" w:rsidRDefault="00234D56" w:rsidP="00575928">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575928">
              <w:rPr>
                <w:rFonts w:ascii="Soberana Sans Light" w:hAnsi="Soberana Sans Light"/>
                <w:sz w:val="20"/>
                <w:szCs w:val="22"/>
                <w:lang w:val="es-MX"/>
              </w:rPr>
              <w:t>1</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811EC2" w:rsidRDefault="00811EC2"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De igual manera existe un saldo por la cantidad de $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rsidTr="00573596">
        <w:tc>
          <w:tcPr>
            <w:tcW w:w="3119" w:type="dxa"/>
            <w:vMerge w:val="restart"/>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9C2BD0"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1907"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366" w:type="dxa"/>
            <w:gridSpan w:val="2"/>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rsidTr="00573596">
        <w:tc>
          <w:tcPr>
            <w:tcW w:w="3119"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73596">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F14126" w:rsidRPr="005101FF" w:rsidRDefault="00F14126" w:rsidP="00155CB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p>
        </w:tc>
        <w:tc>
          <w:tcPr>
            <w:tcW w:w="1907"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573596">
              <w:rPr>
                <w:rFonts w:ascii="Soberana Sans Light" w:hAnsi="Soberana Sans Light"/>
                <w:sz w:val="20"/>
                <w:szCs w:val="22"/>
                <w:lang w:val="es-MX"/>
              </w:rPr>
              <w:t>561</w:t>
            </w:r>
            <w:r w:rsidR="00573596" w:rsidRPr="005101FF">
              <w:rPr>
                <w:rFonts w:ascii="Soberana Sans Light" w:hAnsi="Soberana Sans Light"/>
                <w:sz w:val="20"/>
                <w:szCs w:val="22"/>
                <w:lang w:val="es-MX"/>
              </w:rPr>
              <w:t>,</w:t>
            </w:r>
            <w:r w:rsidR="00573596">
              <w:rPr>
                <w:rFonts w:ascii="Soberana Sans Light" w:hAnsi="Soberana Sans Light"/>
                <w:sz w:val="20"/>
                <w:szCs w:val="22"/>
                <w:lang w:val="es-MX"/>
              </w:rPr>
              <w:t>190</w:t>
            </w:r>
          </w:p>
        </w:tc>
        <w:tc>
          <w:tcPr>
            <w:tcW w:w="2381" w:type="dxa"/>
          </w:tcPr>
          <w:p w:rsidR="00F14126" w:rsidRPr="005101FF" w:rsidRDefault="00F14126" w:rsidP="00155CB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155CBC">
              <w:rPr>
                <w:rFonts w:ascii="Soberana Sans Light" w:hAnsi="Soberana Sans Light"/>
                <w:sz w:val="20"/>
                <w:szCs w:val="22"/>
                <w:lang w:val="es-MX"/>
              </w:rPr>
              <w:t>9,301</w:t>
            </w:r>
          </w:p>
        </w:tc>
        <w:tc>
          <w:tcPr>
            <w:tcW w:w="1985" w:type="dxa"/>
          </w:tcPr>
          <w:p w:rsidR="00F14126" w:rsidRPr="005101FF" w:rsidRDefault="00155CBC"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2</w:t>
            </w:r>
            <w:r w:rsidR="00F14126" w:rsidRPr="005101FF">
              <w:rPr>
                <w:rFonts w:ascii="Soberana Sans Light" w:hAnsi="Soberana Sans Light"/>
                <w:sz w:val="20"/>
                <w:szCs w:val="22"/>
                <w:lang w:val="es-MX"/>
              </w:rPr>
              <w:t>%</w:t>
            </w:r>
          </w:p>
        </w:tc>
      </w:tr>
    </w:tbl>
    <w:p w:rsidR="009C2BD0" w:rsidRPr="005101FF" w:rsidRDefault="009C2BD0" w:rsidP="00540418">
      <w:pPr>
        <w:pStyle w:val="ROMANOS"/>
        <w:spacing w:after="0" w:line="240" w:lineRule="exact"/>
        <w:rPr>
          <w:rFonts w:ascii="Soberana Sans Light" w:hAnsi="Soberana Sans Light"/>
          <w:b/>
          <w:sz w:val="22"/>
          <w:szCs w:val="22"/>
          <w:lang w:val="es-MX"/>
        </w:rPr>
      </w:pPr>
    </w:p>
    <w:p w:rsidR="009C2BD0" w:rsidRPr="005101FF" w:rsidRDefault="009C2BD0"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155CBC">
        <w:rPr>
          <w:rFonts w:ascii="Soberana Sans Light" w:hAnsi="Soberana Sans Light"/>
          <w:sz w:val="22"/>
          <w:szCs w:val="22"/>
          <w:lang w:val="es-MX"/>
        </w:rPr>
        <w:t>1’483</w:t>
      </w:r>
      <w:r w:rsidRPr="00DE219E">
        <w:rPr>
          <w:rFonts w:ascii="Soberana Sans Light" w:hAnsi="Soberana Sans Light"/>
          <w:sz w:val="22"/>
          <w:szCs w:val="22"/>
          <w:lang w:val="es-MX"/>
        </w:rPr>
        <w:t>,</w:t>
      </w:r>
      <w:r w:rsidR="00155CBC">
        <w:rPr>
          <w:rFonts w:ascii="Soberana Sans Light" w:hAnsi="Soberana Sans Light"/>
          <w:sz w:val="22"/>
          <w:szCs w:val="22"/>
          <w:lang w:val="es-MX"/>
        </w:rPr>
        <w:t>125</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rsidR="00DE219E" w:rsidRDefault="00DE219E" w:rsidP="00573596">
      <w:pPr>
        <w:pStyle w:val="ROMANOS"/>
        <w:spacing w:after="0" w:line="240" w:lineRule="exact"/>
        <w:ind w:left="284" w:firstLine="0"/>
        <w:rPr>
          <w:rFonts w:ascii="Soberana Sans Light" w:hAnsi="Soberana Sans Light"/>
          <w:sz w:val="22"/>
          <w:szCs w:val="22"/>
          <w:lang w:val="es-MX"/>
        </w:rPr>
      </w:pPr>
    </w:p>
    <w:p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rsidTr="00CC1779">
        <w:tc>
          <w:tcPr>
            <w:tcW w:w="3119" w:type="dxa"/>
            <w:vMerge w:val="restart"/>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1577D2"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rsidTr="00CC1779">
        <w:tc>
          <w:tcPr>
            <w:tcW w:w="3119"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B7ABF">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F14126" w:rsidRPr="005101FF" w:rsidRDefault="00575928" w:rsidP="00DE219E">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155CBC">
              <w:rPr>
                <w:rFonts w:ascii="Soberana Sans Light" w:hAnsi="Soberana Sans Light"/>
                <w:sz w:val="22"/>
                <w:szCs w:val="22"/>
                <w:lang w:val="es-MX"/>
              </w:rPr>
              <w:t>1’483</w:t>
            </w:r>
            <w:r w:rsidR="00155CBC" w:rsidRPr="00DE219E">
              <w:rPr>
                <w:rFonts w:ascii="Soberana Sans Light" w:hAnsi="Soberana Sans Light"/>
                <w:sz w:val="22"/>
                <w:szCs w:val="22"/>
                <w:lang w:val="es-MX"/>
              </w:rPr>
              <w:t>,</w:t>
            </w:r>
            <w:r w:rsidR="00155CBC">
              <w:rPr>
                <w:rFonts w:ascii="Soberana Sans Light" w:hAnsi="Soberana Sans Light"/>
                <w:sz w:val="22"/>
                <w:szCs w:val="22"/>
                <w:lang w:val="es-MX"/>
              </w:rPr>
              <w:t>125</w:t>
            </w:r>
          </w:p>
        </w:tc>
        <w:tc>
          <w:tcPr>
            <w:tcW w:w="2020" w:type="dxa"/>
          </w:tcPr>
          <w:p w:rsidR="00F14126" w:rsidRPr="005101FF" w:rsidRDefault="0057359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1’121,489</w:t>
            </w:r>
          </w:p>
        </w:tc>
        <w:tc>
          <w:tcPr>
            <w:tcW w:w="2268" w:type="dxa"/>
          </w:tcPr>
          <w:p w:rsidR="00F14126" w:rsidRPr="005101FF" w:rsidRDefault="00F14126" w:rsidP="00155CBC">
            <w:pPr>
              <w:pStyle w:val="ROMANOS"/>
              <w:spacing w:after="0" w:line="240" w:lineRule="exact"/>
              <w:ind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575928">
              <w:rPr>
                <w:rFonts w:ascii="Soberana Sans Light" w:hAnsi="Soberana Sans Light"/>
                <w:sz w:val="20"/>
                <w:szCs w:val="22"/>
                <w:lang w:val="es-MX"/>
              </w:rPr>
              <w:t xml:space="preserve"> </w:t>
            </w:r>
            <w:r w:rsidR="00155CBC">
              <w:rPr>
                <w:rFonts w:ascii="Soberana Sans Light" w:hAnsi="Soberana Sans Light"/>
                <w:sz w:val="20"/>
                <w:szCs w:val="22"/>
                <w:lang w:val="es-MX"/>
              </w:rPr>
              <w:t>361</w:t>
            </w:r>
            <w:r w:rsidR="00575928">
              <w:rPr>
                <w:rFonts w:ascii="Soberana Sans Light" w:hAnsi="Soberana Sans Light"/>
                <w:sz w:val="20"/>
                <w:szCs w:val="22"/>
                <w:lang w:val="es-MX"/>
              </w:rPr>
              <w:t>,</w:t>
            </w:r>
            <w:r w:rsidR="00155CBC">
              <w:rPr>
                <w:rFonts w:ascii="Soberana Sans Light" w:hAnsi="Soberana Sans Light"/>
                <w:sz w:val="20"/>
                <w:szCs w:val="22"/>
                <w:lang w:val="es-MX"/>
              </w:rPr>
              <w:t>636</w:t>
            </w:r>
            <w:r w:rsidR="00575928">
              <w:rPr>
                <w:rFonts w:ascii="Soberana Sans Light" w:hAnsi="Soberana Sans Light"/>
                <w:sz w:val="20"/>
                <w:szCs w:val="22"/>
                <w:lang w:val="es-MX"/>
              </w:rPr>
              <w:t xml:space="preserve"> </w:t>
            </w:r>
            <w:r w:rsidRPr="005101FF">
              <w:rPr>
                <w:rFonts w:ascii="Soberana Sans Light" w:hAnsi="Soberana Sans Light"/>
                <w:sz w:val="20"/>
                <w:szCs w:val="22"/>
                <w:lang w:val="es-MX"/>
              </w:rPr>
              <w:t xml:space="preserve"> </w:t>
            </w:r>
          </w:p>
        </w:tc>
        <w:tc>
          <w:tcPr>
            <w:tcW w:w="1985" w:type="dxa"/>
          </w:tcPr>
          <w:p w:rsidR="00F14126" w:rsidRPr="005101FF" w:rsidRDefault="00155CBC" w:rsidP="00155CBC">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32</w:t>
            </w:r>
            <w:r w:rsidR="00575928">
              <w:rPr>
                <w:rFonts w:ascii="Soberana Sans Light" w:hAnsi="Soberana Sans Light"/>
                <w:sz w:val="20"/>
                <w:szCs w:val="22"/>
                <w:lang w:val="es-MX"/>
              </w:rPr>
              <w:t>.</w:t>
            </w:r>
            <w:r w:rsidR="00D43E41">
              <w:rPr>
                <w:rFonts w:ascii="Soberana Sans Light" w:hAnsi="Soberana Sans Light"/>
                <w:sz w:val="20"/>
                <w:szCs w:val="22"/>
                <w:lang w:val="es-MX"/>
              </w:rPr>
              <w:t>00</w:t>
            </w:r>
            <w:r w:rsidR="006A4D44">
              <w:rPr>
                <w:rFonts w:ascii="Soberana Sans Light" w:hAnsi="Soberana Sans Light"/>
                <w:sz w:val="20"/>
                <w:szCs w:val="22"/>
                <w:lang w:val="es-MX"/>
              </w:rPr>
              <w:t>%</w:t>
            </w:r>
          </w:p>
        </w:tc>
      </w:tr>
    </w:tbl>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rsidR="00573596" w:rsidRDefault="00573596" w:rsidP="00F14126">
      <w:pPr>
        <w:pStyle w:val="INCISO"/>
        <w:spacing w:after="0" w:line="240" w:lineRule="exact"/>
        <w:ind w:left="0" w:firstLine="0"/>
        <w:rPr>
          <w:rFonts w:ascii="Soberana Sans Light" w:hAnsi="Soberana Sans Light"/>
          <w:sz w:val="22"/>
          <w:szCs w:val="22"/>
          <w:lang w:val="es-MX"/>
        </w:rPr>
      </w:pPr>
    </w:p>
    <w:p w:rsidR="00F14126" w:rsidRPr="005101FF" w:rsidRDefault="00F14126" w:rsidP="00F14126">
      <w:pPr>
        <w:pStyle w:val="INCISO"/>
        <w:spacing w:after="0" w:line="240" w:lineRule="exact"/>
        <w:ind w:left="0" w:firstLine="0"/>
        <w:rPr>
          <w:rFonts w:ascii="Soberana Sans Light" w:hAnsi="Soberana Sans Light"/>
          <w:b/>
          <w:smallCaps/>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155CBC">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155CBC">
        <w:rPr>
          <w:rFonts w:ascii="Soberana Sans Light" w:hAnsi="Soberana Sans Light"/>
          <w:sz w:val="22"/>
          <w:szCs w:val="22"/>
          <w:lang w:val="es-MX"/>
        </w:rPr>
        <w:t>dici</w:t>
      </w:r>
      <w:r w:rsidR="00E12F7B">
        <w:rPr>
          <w:rFonts w:ascii="Soberana Sans Light" w:hAnsi="Soberana Sans Light"/>
          <w:sz w:val="22"/>
          <w:szCs w:val="22"/>
          <w:lang w:val="es-MX"/>
        </w:rPr>
        <w:t>embre</w:t>
      </w:r>
      <w:r w:rsidRPr="005101FF">
        <w:rPr>
          <w:rFonts w:ascii="Soberana Sans Light" w:hAnsi="Soberana Sans Light"/>
          <w:sz w:val="22"/>
          <w:szCs w:val="22"/>
          <w:lang w:val="es-MX"/>
        </w:rPr>
        <w:t xml:space="preserve"> de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el Colegio obtuvo ingresos por un monto de $ </w:t>
      </w:r>
      <w:r w:rsidR="00155CBC">
        <w:rPr>
          <w:rFonts w:ascii="Soberana Sans Light" w:hAnsi="Soberana Sans Light"/>
          <w:sz w:val="22"/>
          <w:szCs w:val="22"/>
          <w:lang w:val="es-MX"/>
        </w:rPr>
        <w:t>58</w:t>
      </w:r>
      <w:r w:rsidR="008A3818">
        <w:rPr>
          <w:rFonts w:ascii="Soberana Sans Light" w:hAnsi="Soberana Sans Light"/>
          <w:sz w:val="22"/>
          <w:szCs w:val="22"/>
          <w:lang w:val="es-MX"/>
        </w:rPr>
        <w:t>’</w:t>
      </w:r>
      <w:r w:rsidR="00155CBC">
        <w:rPr>
          <w:rFonts w:ascii="Soberana Sans Light" w:hAnsi="Soberana Sans Light"/>
          <w:sz w:val="22"/>
          <w:szCs w:val="22"/>
          <w:lang w:val="es-MX"/>
        </w:rPr>
        <w:t>692</w:t>
      </w:r>
      <w:r w:rsidR="008A3818">
        <w:rPr>
          <w:rFonts w:ascii="Soberana Sans Light" w:hAnsi="Soberana Sans Light"/>
          <w:sz w:val="22"/>
          <w:szCs w:val="22"/>
          <w:lang w:val="es-MX"/>
        </w:rPr>
        <w:t>,</w:t>
      </w:r>
      <w:r w:rsidR="00155CBC">
        <w:rPr>
          <w:rFonts w:ascii="Soberana Sans Light" w:hAnsi="Soberana Sans Light"/>
          <w:sz w:val="22"/>
          <w:szCs w:val="22"/>
          <w:lang w:val="es-MX"/>
        </w:rPr>
        <w:t>221</w:t>
      </w:r>
      <w:r w:rsidRPr="005101FF">
        <w:rPr>
          <w:rFonts w:ascii="Soberana Sans Light" w:hAnsi="Soberana Sans Light"/>
          <w:sz w:val="22"/>
          <w:szCs w:val="22"/>
          <w:lang w:val="es-MX"/>
        </w:rPr>
        <w:t xml:space="preserve">, y efectuó gastos de funcionamiento por un total de $ </w:t>
      </w:r>
      <w:r w:rsidR="00155CBC">
        <w:rPr>
          <w:rFonts w:ascii="Soberana Sans Light" w:hAnsi="Soberana Sans Light"/>
          <w:sz w:val="22"/>
          <w:szCs w:val="22"/>
          <w:lang w:val="es-MX"/>
        </w:rPr>
        <w:t>56</w:t>
      </w:r>
      <w:r w:rsidR="008A3818">
        <w:rPr>
          <w:rFonts w:ascii="Soberana Sans Light" w:hAnsi="Soberana Sans Light"/>
          <w:sz w:val="22"/>
          <w:szCs w:val="22"/>
          <w:lang w:val="es-MX"/>
        </w:rPr>
        <w:t>’</w:t>
      </w:r>
      <w:r w:rsidR="00155CBC">
        <w:rPr>
          <w:rFonts w:ascii="Soberana Sans Light" w:hAnsi="Soberana Sans Light"/>
          <w:sz w:val="22"/>
          <w:szCs w:val="22"/>
          <w:lang w:val="es-MX"/>
        </w:rPr>
        <w:t>291</w:t>
      </w:r>
      <w:r w:rsidR="008A3818">
        <w:rPr>
          <w:rFonts w:ascii="Soberana Sans Light" w:hAnsi="Soberana Sans Light"/>
          <w:sz w:val="22"/>
          <w:szCs w:val="22"/>
          <w:lang w:val="es-MX"/>
        </w:rPr>
        <w:t>,</w:t>
      </w:r>
      <w:r w:rsidR="00155CBC">
        <w:rPr>
          <w:rFonts w:ascii="Soberana Sans Light" w:hAnsi="Soberana Sans Light"/>
          <w:sz w:val="22"/>
          <w:szCs w:val="22"/>
          <w:lang w:val="es-MX"/>
        </w:rPr>
        <w:t>061</w:t>
      </w:r>
      <w:r w:rsidRPr="005101FF">
        <w:rPr>
          <w:rFonts w:ascii="Soberana Sans Light" w:hAnsi="Soberana Sans Light"/>
          <w:sz w:val="22"/>
          <w:szCs w:val="22"/>
          <w:lang w:val="es-MX"/>
        </w:rPr>
        <w:t xml:space="preserve">, resultando un ahorro por $ </w:t>
      </w:r>
      <w:r w:rsidR="00155CBC">
        <w:rPr>
          <w:rFonts w:ascii="Soberana Sans Light" w:hAnsi="Soberana Sans Light"/>
          <w:sz w:val="22"/>
          <w:szCs w:val="22"/>
          <w:lang w:val="es-MX"/>
        </w:rPr>
        <w:t>2</w:t>
      </w:r>
      <w:r w:rsidR="008A3818">
        <w:rPr>
          <w:rFonts w:ascii="Soberana Sans Light" w:hAnsi="Soberana Sans Light"/>
          <w:sz w:val="22"/>
          <w:szCs w:val="22"/>
          <w:lang w:val="es-MX"/>
        </w:rPr>
        <w:t>’</w:t>
      </w:r>
      <w:r w:rsidR="00155CBC">
        <w:rPr>
          <w:rFonts w:ascii="Soberana Sans Light" w:hAnsi="Soberana Sans Light"/>
          <w:sz w:val="22"/>
          <w:szCs w:val="22"/>
          <w:lang w:val="es-MX"/>
        </w:rPr>
        <w:t>401</w:t>
      </w:r>
      <w:r w:rsidR="008A3818">
        <w:rPr>
          <w:rFonts w:ascii="Soberana Sans Light" w:hAnsi="Soberana Sans Light"/>
          <w:sz w:val="22"/>
          <w:szCs w:val="22"/>
          <w:lang w:val="es-MX"/>
        </w:rPr>
        <w:t>,</w:t>
      </w:r>
      <w:r w:rsidR="00155CBC">
        <w:rPr>
          <w:rFonts w:ascii="Soberana Sans Light" w:hAnsi="Soberana Sans Light"/>
          <w:sz w:val="22"/>
          <w:szCs w:val="22"/>
          <w:lang w:val="es-MX"/>
        </w:rPr>
        <w:t>160</w:t>
      </w:r>
      <w:r w:rsidRPr="005101FF">
        <w:rPr>
          <w:rFonts w:ascii="Soberana Sans Light" w:hAnsi="Soberana Sans Light"/>
          <w:sz w:val="22"/>
          <w:szCs w:val="22"/>
          <w:lang w:val="es-MX"/>
        </w:rPr>
        <w:t xml:space="preserve">, cabe mencionar que el Colegio no efectúa inversión física y financiera. </w:t>
      </w:r>
    </w:p>
    <w:p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BE35AC" w:rsidRPr="00BE35AC">
        <w:rPr>
          <w:rFonts w:ascii="Soberana Sans Light" w:hAnsi="Soberana Sans Light"/>
          <w:sz w:val="22"/>
          <w:szCs w:val="22"/>
          <w:lang w:val="es-MX"/>
        </w:rPr>
        <w:t>1</w:t>
      </w:r>
      <w:r w:rsidR="00155CBC">
        <w:rPr>
          <w:rFonts w:ascii="Soberana Sans Light" w:hAnsi="Soberana Sans Light"/>
          <w:sz w:val="22"/>
          <w:szCs w:val="22"/>
          <w:lang w:val="es-MX"/>
        </w:rPr>
        <w:t>6</w:t>
      </w:r>
      <w:r w:rsidR="008A3818" w:rsidRPr="00BE35AC">
        <w:rPr>
          <w:rFonts w:ascii="Soberana Sans Light" w:hAnsi="Soberana Sans Light"/>
          <w:sz w:val="22"/>
          <w:szCs w:val="22"/>
          <w:lang w:val="es-MX"/>
        </w:rPr>
        <w:t>,</w:t>
      </w:r>
      <w:r w:rsidR="00155CBC">
        <w:rPr>
          <w:rFonts w:ascii="Soberana Sans Light" w:hAnsi="Soberana Sans Light"/>
          <w:sz w:val="22"/>
          <w:szCs w:val="22"/>
          <w:lang w:val="es-MX"/>
        </w:rPr>
        <w:t>961</w:t>
      </w:r>
      <w:r w:rsidRPr="00BE35AC">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63359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F14126" w:rsidRPr="005101FF" w:rsidRDefault="00F14126" w:rsidP="003A39F5">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155CBC" w:rsidRPr="00BE35AC">
              <w:rPr>
                <w:rFonts w:ascii="Soberana Sans Light" w:hAnsi="Soberana Sans Light"/>
                <w:sz w:val="22"/>
                <w:szCs w:val="22"/>
                <w:lang w:val="es-MX"/>
              </w:rPr>
              <w:t>1</w:t>
            </w:r>
            <w:r w:rsidR="00155CBC">
              <w:rPr>
                <w:rFonts w:ascii="Soberana Sans Light" w:hAnsi="Soberana Sans Light"/>
                <w:sz w:val="22"/>
                <w:szCs w:val="22"/>
                <w:lang w:val="es-MX"/>
              </w:rPr>
              <w:t>6</w:t>
            </w:r>
            <w:r w:rsidR="00155CBC" w:rsidRPr="00BE35AC">
              <w:rPr>
                <w:rFonts w:ascii="Soberana Sans Light" w:hAnsi="Soberana Sans Light"/>
                <w:sz w:val="22"/>
                <w:szCs w:val="22"/>
                <w:lang w:val="es-MX"/>
              </w:rPr>
              <w:t>,</w:t>
            </w:r>
            <w:r w:rsidR="00155CBC">
              <w:rPr>
                <w:rFonts w:ascii="Soberana Sans Light" w:hAnsi="Soberana Sans Light"/>
                <w:sz w:val="22"/>
                <w:szCs w:val="22"/>
                <w:lang w:val="es-MX"/>
              </w:rPr>
              <w:t>961</w:t>
            </w:r>
          </w:p>
        </w:tc>
        <w:tc>
          <w:tcPr>
            <w:tcW w:w="2020" w:type="dxa"/>
          </w:tcPr>
          <w:p w:rsidR="00F14126" w:rsidRPr="005101FF" w:rsidRDefault="0057359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24</w:t>
            </w:r>
            <w:r w:rsidRPr="005101FF">
              <w:rPr>
                <w:rFonts w:ascii="Soberana Sans Light" w:hAnsi="Soberana Sans Light"/>
                <w:sz w:val="20"/>
                <w:szCs w:val="22"/>
                <w:lang w:val="es-MX"/>
              </w:rPr>
              <w:t>,</w:t>
            </w:r>
            <w:r>
              <w:rPr>
                <w:rFonts w:ascii="Soberana Sans Light" w:hAnsi="Soberana Sans Light"/>
                <w:sz w:val="20"/>
                <w:szCs w:val="22"/>
                <w:lang w:val="es-MX"/>
              </w:rPr>
              <w:t>925</w:t>
            </w:r>
          </w:p>
        </w:tc>
        <w:tc>
          <w:tcPr>
            <w:tcW w:w="2268" w:type="dxa"/>
          </w:tcPr>
          <w:p w:rsidR="00F14126" w:rsidRPr="005101FF" w:rsidRDefault="00F14126" w:rsidP="00155CBC">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155CBC">
              <w:rPr>
                <w:rFonts w:ascii="Soberana Sans Light" w:hAnsi="Soberana Sans Light"/>
                <w:sz w:val="20"/>
                <w:szCs w:val="22"/>
                <w:lang w:val="es-MX"/>
              </w:rPr>
              <w:t>7</w:t>
            </w:r>
            <w:r w:rsidR="008A3818">
              <w:rPr>
                <w:rFonts w:ascii="Soberana Sans Light" w:hAnsi="Soberana Sans Light"/>
                <w:sz w:val="20"/>
                <w:szCs w:val="22"/>
                <w:lang w:val="es-MX"/>
              </w:rPr>
              <w:t>,</w:t>
            </w:r>
            <w:r w:rsidR="00155CBC">
              <w:rPr>
                <w:rFonts w:ascii="Soberana Sans Light" w:hAnsi="Soberana Sans Light"/>
                <w:sz w:val="20"/>
                <w:szCs w:val="22"/>
                <w:lang w:val="es-MX"/>
              </w:rPr>
              <w:t>964</w:t>
            </w:r>
            <w:r w:rsidRPr="005101FF">
              <w:rPr>
                <w:rFonts w:ascii="Soberana Sans Light" w:hAnsi="Soberana Sans Light"/>
                <w:sz w:val="20"/>
                <w:szCs w:val="22"/>
                <w:lang w:val="es-MX"/>
              </w:rPr>
              <w:t xml:space="preserve"> </w:t>
            </w:r>
          </w:p>
        </w:tc>
        <w:tc>
          <w:tcPr>
            <w:tcW w:w="1985" w:type="dxa"/>
          </w:tcPr>
          <w:p w:rsidR="00F14126" w:rsidRPr="005101FF" w:rsidRDefault="00155CBC" w:rsidP="008A3818">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32</w:t>
            </w:r>
            <w:r w:rsidR="006A4D44">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155CBC">
        <w:rPr>
          <w:rFonts w:ascii="Soberana Sans Light" w:hAnsi="Soberana Sans Light"/>
          <w:sz w:val="22"/>
          <w:szCs w:val="22"/>
          <w:lang w:val="es-MX"/>
        </w:rPr>
        <w:t>1</w:t>
      </w:r>
      <w:r w:rsidR="007213DA" w:rsidRPr="005101FF">
        <w:rPr>
          <w:rFonts w:ascii="Soberana Sans Light" w:hAnsi="Soberana Sans Light"/>
          <w:sz w:val="22"/>
          <w:szCs w:val="22"/>
          <w:lang w:val="es-MX"/>
        </w:rPr>
        <w:t xml:space="preserve"> de </w:t>
      </w:r>
      <w:r w:rsidR="00155CBC">
        <w:rPr>
          <w:rFonts w:ascii="Soberana Sans Light" w:hAnsi="Soberana Sans Light"/>
          <w:sz w:val="22"/>
          <w:szCs w:val="22"/>
          <w:lang w:val="es-MX"/>
        </w:rPr>
        <w:t>dic</w:t>
      </w:r>
      <w:r w:rsidR="008E39D2">
        <w:rPr>
          <w:rFonts w:ascii="Soberana Sans Light" w:hAnsi="Soberana Sans Light"/>
          <w:sz w:val="22"/>
          <w:szCs w:val="22"/>
          <w:lang w:val="es-MX"/>
        </w:rPr>
        <w:t>iembre</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155CBC">
        <w:rPr>
          <w:rFonts w:ascii="Soberana Sans Light" w:hAnsi="Soberana Sans Light"/>
          <w:sz w:val="22"/>
          <w:szCs w:val="22"/>
          <w:lang w:val="es-MX"/>
        </w:rPr>
        <w:t>15</w:t>
      </w:r>
      <w:r w:rsidR="001840E0" w:rsidRPr="008A3818">
        <w:rPr>
          <w:rFonts w:ascii="Soberana Sans Light" w:hAnsi="Soberana Sans Light"/>
          <w:sz w:val="22"/>
          <w:szCs w:val="22"/>
          <w:lang w:val="es-MX"/>
        </w:rPr>
        <w:t>’</w:t>
      </w:r>
      <w:r w:rsidR="00155CBC">
        <w:rPr>
          <w:rFonts w:ascii="Soberana Sans Light" w:hAnsi="Soberana Sans Light"/>
          <w:sz w:val="22"/>
          <w:szCs w:val="22"/>
          <w:lang w:val="es-MX"/>
        </w:rPr>
        <w:t>899</w:t>
      </w:r>
      <w:r w:rsidRPr="008A3818">
        <w:rPr>
          <w:rFonts w:ascii="Soberana Sans Light" w:hAnsi="Soberana Sans Light"/>
          <w:sz w:val="22"/>
          <w:szCs w:val="22"/>
          <w:lang w:val="es-MX"/>
        </w:rPr>
        <w:t>,</w:t>
      </w:r>
      <w:r w:rsidR="00155CBC">
        <w:rPr>
          <w:rFonts w:ascii="Soberana Sans Light" w:hAnsi="Soberana Sans Light"/>
          <w:sz w:val="22"/>
          <w:szCs w:val="22"/>
          <w:lang w:val="es-MX"/>
        </w:rPr>
        <w:t>591</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3B3E24" w:rsidRPr="005101FF" w:rsidTr="008A3818">
        <w:tc>
          <w:tcPr>
            <w:tcW w:w="3119" w:type="dxa"/>
            <w:vMerge w:val="restart"/>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3B3E24" w:rsidRPr="005101FF" w:rsidRDefault="00573596"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1907" w:type="dxa"/>
            <w:vMerge w:val="restart"/>
            <w:shd w:val="clear" w:color="auto" w:fill="632423" w:themeFill="accent2" w:themeFillShade="80"/>
          </w:tcPr>
          <w:p w:rsidR="003B3E24" w:rsidRPr="005101FF" w:rsidRDefault="00573596"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366" w:type="dxa"/>
            <w:gridSpan w:val="2"/>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rsidTr="008A3818">
        <w:tc>
          <w:tcPr>
            <w:tcW w:w="3119"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rsidTr="008A3818">
        <w:trPr>
          <w:trHeight w:val="80"/>
        </w:trPr>
        <w:tc>
          <w:tcPr>
            <w:tcW w:w="3119" w:type="dxa"/>
          </w:tcPr>
          <w:p w:rsidR="00D47A5A" w:rsidRPr="005101FF" w:rsidRDefault="00D47A5A" w:rsidP="00D47A5A">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Participaciones Estatales</w:t>
            </w:r>
          </w:p>
        </w:tc>
        <w:tc>
          <w:tcPr>
            <w:tcW w:w="1665" w:type="dxa"/>
            <w:vAlign w:val="center"/>
          </w:tcPr>
          <w:p w:rsidR="00D47A5A" w:rsidRDefault="009A46CB" w:rsidP="00155CBC">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 xml:space="preserve"> </w:t>
            </w:r>
            <w:r w:rsidR="008E39D2">
              <w:rPr>
                <w:rFonts w:ascii="Soberana Sans Light" w:hAnsi="Soberana Sans Light"/>
                <w:color w:val="000000"/>
                <w:sz w:val="20"/>
                <w:szCs w:val="20"/>
              </w:rPr>
              <w:t>1</w:t>
            </w:r>
            <w:r w:rsidR="00155CBC">
              <w:rPr>
                <w:rFonts w:ascii="Soberana Sans Light" w:hAnsi="Soberana Sans Light"/>
                <w:color w:val="000000"/>
                <w:sz w:val="20"/>
                <w:szCs w:val="20"/>
              </w:rPr>
              <w:t>5</w:t>
            </w:r>
            <w:r w:rsidR="008A3818">
              <w:rPr>
                <w:rFonts w:ascii="Soberana Sans Light" w:hAnsi="Soberana Sans Light"/>
                <w:color w:val="000000"/>
                <w:sz w:val="20"/>
                <w:szCs w:val="20"/>
              </w:rPr>
              <w:t>’</w:t>
            </w:r>
            <w:r w:rsidR="00155CBC">
              <w:rPr>
                <w:rFonts w:ascii="Soberana Sans Light" w:hAnsi="Soberana Sans Light"/>
                <w:color w:val="000000"/>
                <w:sz w:val="20"/>
                <w:szCs w:val="20"/>
              </w:rPr>
              <w:t>899</w:t>
            </w:r>
            <w:r w:rsidR="008A3818">
              <w:rPr>
                <w:rFonts w:ascii="Soberana Sans Light" w:hAnsi="Soberana Sans Light"/>
                <w:color w:val="000000"/>
                <w:sz w:val="20"/>
                <w:szCs w:val="20"/>
              </w:rPr>
              <w:t>,</w:t>
            </w:r>
            <w:r w:rsidR="00155CBC">
              <w:rPr>
                <w:rFonts w:ascii="Soberana Sans Light" w:hAnsi="Soberana Sans Light"/>
                <w:color w:val="000000"/>
                <w:sz w:val="20"/>
                <w:szCs w:val="20"/>
              </w:rPr>
              <w:t>591</w:t>
            </w:r>
          </w:p>
        </w:tc>
        <w:tc>
          <w:tcPr>
            <w:tcW w:w="1907" w:type="dxa"/>
            <w:vAlign w:val="center"/>
          </w:tcPr>
          <w:p w:rsidR="00D47A5A" w:rsidRDefault="00573596" w:rsidP="00D47A5A">
            <w:pPr>
              <w:jc w:val="right"/>
              <w:rPr>
                <w:rFonts w:ascii="Soberana Sans Light" w:hAnsi="Soberana Sans Light"/>
                <w:color w:val="000000"/>
                <w:sz w:val="20"/>
                <w:szCs w:val="20"/>
              </w:rPr>
            </w:pPr>
            <w:r>
              <w:rPr>
                <w:rFonts w:ascii="Soberana Sans Light" w:hAnsi="Soberana Sans Light"/>
                <w:color w:val="000000"/>
                <w:sz w:val="20"/>
                <w:szCs w:val="20"/>
              </w:rPr>
              <w:t>$15’198,356</w:t>
            </w:r>
          </w:p>
        </w:tc>
        <w:tc>
          <w:tcPr>
            <w:tcW w:w="2381" w:type="dxa"/>
            <w:vAlign w:val="center"/>
          </w:tcPr>
          <w:p w:rsidR="00D47A5A" w:rsidRPr="008A3818" w:rsidRDefault="009A46CB" w:rsidP="00155CBC">
            <w:pPr>
              <w:pStyle w:val="Prrafodelista"/>
              <w:jc w:val="center"/>
              <w:rPr>
                <w:rFonts w:ascii="Soberana Sans Light" w:hAnsi="Soberana Sans Light"/>
                <w:color w:val="000000"/>
                <w:sz w:val="20"/>
                <w:szCs w:val="20"/>
              </w:rPr>
            </w:pPr>
            <w:r w:rsidRPr="008A3818">
              <w:rPr>
                <w:rFonts w:ascii="Soberana Sans Light" w:hAnsi="Soberana Sans Light"/>
                <w:color w:val="000000"/>
                <w:sz w:val="20"/>
                <w:szCs w:val="20"/>
              </w:rPr>
              <w:t>$</w:t>
            </w:r>
            <w:r w:rsidR="008E39D2">
              <w:rPr>
                <w:rFonts w:ascii="Soberana Sans Light" w:hAnsi="Soberana Sans Light"/>
                <w:color w:val="000000"/>
                <w:sz w:val="20"/>
                <w:szCs w:val="20"/>
              </w:rPr>
              <w:t xml:space="preserve"> </w:t>
            </w:r>
            <w:r w:rsidR="00155CBC">
              <w:rPr>
                <w:rFonts w:ascii="Soberana Sans Light" w:hAnsi="Soberana Sans Light"/>
                <w:color w:val="000000"/>
                <w:sz w:val="20"/>
                <w:szCs w:val="20"/>
              </w:rPr>
              <w:t>701</w:t>
            </w:r>
            <w:r w:rsidR="008A3818" w:rsidRPr="008A3818">
              <w:rPr>
                <w:rFonts w:ascii="Soberana Sans Light" w:hAnsi="Soberana Sans Light"/>
                <w:color w:val="000000"/>
                <w:sz w:val="20"/>
                <w:szCs w:val="20"/>
              </w:rPr>
              <w:t>,</w:t>
            </w:r>
            <w:r w:rsidR="00155CBC">
              <w:rPr>
                <w:rFonts w:ascii="Soberana Sans Light" w:hAnsi="Soberana Sans Light"/>
                <w:color w:val="000000"/>
                <w:sz w:val="20"/>
                <w:szCs w:val="20"/>
              </w:rPr>
              <w:t>235</w:t>
            </w:r>
          </w:p>
        </w:tc>
        <w:tc>
          <w:tcPr>
            <w:tcW w:w="1985" w:type="dxa"/>
            <w:vAlign w:val="center"/>
          </w:tcPr>
          <w:p w:rsidR="00D47A5A" w:rsidRPr="008A3818" w:rsidRDefault="00155CBC" w:rsidP="00155CBC">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5</w:t>
            </w:r>
            <w:r w:rsidR="00D47A5A" w:rsidRPr="008A3818">
              <w:rPr>
                <w:rFonts w:ascii="Soberana Sans Light" w:hAnsi="Soberana Sans Light"/>
                <w:color w:val="000000"/>
                <w:sz w:val="20"/>
                <w:szCs w:val="20"/>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2C15D7" w:rsidRPr="005101FF"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D47A5A" w:rsidRPr="005101FF" w:rsidRDefault="00573596" w:rsidP="00D47A5A">
      <w:pPr>
        <w:pStyle w:val="ROMANOS"/>
        <w:tabs>
          <w:tab w:val="clear" w:pos="720"/>
        </w:tab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lastRenderedPageBreak/>
        <w:br/>
      </w:r>
      <w:r w:rsidR="00D47A5A" w:rsidRPr="005101FF">
        <w:rPr>
          <w:rFonts w:ascii="Soberana Sans Light" w:hAnsi="Soberana Sans Light"/>
          <w:sz w:val="22"/>
          <w:szCs w:val="22"/>
          <w:lang w:val="es-MX"/>
        </w:rPr>
        <w:t>El Colegio recibe recursos del Fondo de Aportaciones para la Educación Técnica y de Adultos, el saldo al 3</w:t>
      </w:r>
      <w:r w:rsidR="00155CBC">
        <w:rPr>
          <w:rFonts w:ascii="Soberana Sans Light" w:hAnsi="Soberana Sans Light"/>
          <w:sz w:val="22"/>
          <w:szCs w:val="22"/>
          <w:lang w:val="es-MX"/>
        </w:rPr>
        <w:t>1</w:t>
      </w:r>
      <w:r w:rsidR="00892082">
        <w:rPr>
          <w:rFonts w:ascii="Soberana Sans Light" w:hAnsi="Soberana Sans Light"/>
          <w:sz w:val="22"/>
          <w:szCs w:val="22"/>
          <w:lang w:val="es-MX"/>
        </w:rPr>
        <w:t xml:space="preserve"> de </w:t>
      </w:r>
      <w:r w:rsidR="00155CBC">
        <w:rPr>
          <w:rFonts w:ascii="Soberana Sans Light" w:hAnsi="Soberana Sans Light"/>
          <w:sz w:val="22"/>
          <w:szCs w:val="22"/>
          <w:lang w:val="es-MX"/>
        </w:rPr>
        <w:t>dic</w:t>
      </w:r>
      <w:r w:rsidR="008E39D2">
        <w:rPr>
          <w:rFonts w:ascii="Soberana Sans Light" w:hAnsi="Soberana Sans Light"/>
          <w:sz w:val="22"/>
          <w:szCs w:val="22"/>
          <w:lang w:val="es-MX"/>
        </w:rPr>
        <w:t>iembre</w:t>
      </w:r>
      <w:r w:rsidR="00D47A5A" w:rsidRPr="005101FF">
        <w:rPr>
          <w:rFonts w:ascii="Soberana Sans Light" w:hAnsi="Soberana Sans Light"/>
          <w:sz w:val="22"/>
          <w:szCs w:val="22"/>
          <w:lang w:val="es-MX"/>
        </w:rPr>
        <w:t xml:space="preserve"> de 201</w:t>
      </w:r>
      <w:r>
        <w:rPr>
          <w:rFonts w:ascii="Soberana Sans Light" w:hAnsi="Soberana Sans Light"/>
          <w:sz w:val="22"/>
          <w:szCs w:val="22"/>
          <w:lang w:val="es-MX"/>
        </w:rPr>
        <w:t>8</w:t>
      </w:r>
      <w:r w:rsidR="00D47A5A" w:rsidRPr="005101FF">
        <w:rPr>
          <w:rFonts w:ascii="Soberana Sans Light" w:hAnsi="Soberana Sans Light"/>
          <w:sz w:val="22"/>
          <w:szCs w:val="22"/>
          <w:lang w:val="es-MX"/>
        </w:rPr>
        <w:t xml:space="preserve"> asciende a $ </w:t>
      </w:r>
      <w:r w:rsidR="00155CBC">
        <w:rPr>
          <w:rFonts w:ascii="Soberana Sans Light" w:hAnsi="Soberana Sans Light"/>
          <w:sz w:val="22"/>
          <w:szCs w:val="22"/>
          <w:lang w:val="es-MX"/>
        </w:rPr>
        <w:t>42</w:t>
      </w:r>
      <w:r w:rsidR="008A3818">
        <w:rPr>
          <w:rFonts w:ascii="Soberana Sans Light" w:hAnsi="Soberana Sans Light"/>
          <w:sz w:val="22"/>
          <w:szCs w:val="22"/>
          <w:lang w:val="es-MX"/>
        </w:rPr>
        <w:t>’</w:t>
      </w:r>
      <w:r w:rsidR="00155CBC">
        <w:rPr>
          <w:rFonts w:ascii="Soberana Sans Light" w:hAnsi="Soberana Sans Light"/>
          <w:sz w:val="22"/>
          <w:szCs w:val="22"/>
          <w:lang w:val="es-MX"/>
        </w:rPr>
        <w:t>775</w:t>
      </w:r>
      <w:r w:rsidR="008A3818">
        <w:rPr>
          <w:rFonts w:ascii="Soberana Sans Light" w:hAnsi="Soberana Sans Light"/>
          <w:sz w:val="22"/>
          <w:szCs w:val="22"/>
          <w:lang w:val="es-MX"/>
        </w:rPr>
        <w:t>,</w:t>
      </w:r>
      <w:r w:rsidR="00155CBC">
        <w:rPr>
          <w:rFonts w:ascii="Soberana Sans Light" w:hAnsi="Soberana Sans Light"/>
          <w:sz w:val="22"/>
          <w:szCs w:val="22"/>
          <w:lang w:val="es-MX"/>
        </w:rPr>
        <w:t>669</w:t>
      </w:r>
      <w:r w:rsidR="00D47A5A" w:rsidRPr="005101FF">
        <w:rPr>
          <w:rFonts w:ascii="Soberana Sans Light" w:hAnsi="Soberana Sans Light"/>
          <w:sz w:val="22"/>
          <w:szCs w:val="22"/>
          <w:lang w:val="es-MX"/>
        </w:rPr>
        <w:t xml:space="preserve"> y al cierre del ejercicio 201</w:t>
      </w:r>
      <w:r>
        <w:rPr>
          <w:rFonts w:ascii="Soberana Sans Light" w:hAnsi="Soberana Sans Light"/>
          <w:sz w:val="22"/>
          <w:szCs w:val="22"/>
          <w:lang w:val="es-MX"/>
        </w:rPr>
        <w:t>7</w:t>
      </w:r>
      <w:r w:rsidR="00D47A5A" w:rsidRPr="005101FF">
        <w:rPr>
          <w:rFonts w:ascii="Soberana Sans Light" w:hAnsi="Soberana Sans Light"/>
          <w:sz w:val="22"/>
          <w:szCs w:val="22"/>
          <w:lang w:val="es-MX"/>
        </w:rPr>
        <w:t xml:space="preserve"> fue de $ </w:t>
      </w:r>
      <w:r w:rsidRPr="00573596">
        <w:rPr>
          <w:rFonts w:ascii="Soberana Sans Light" w:hAnsi="Soberana Sans Light"/>
          <w:sz w:val="22"/>
          <w:szCs w:val="22"/>
          <w:lang w:val="es-MX"/>
        </w:rPr>
        <w:t>41’995,564</w:t>
      </w:r>
      <w:r w:rsidR="00D47A5A" w:rsidRPr="005101FF">
        <w:rPr>
          <w:rFonts w:ascii="Soberana Sans Light" w:hAnsi="Soberana Sans Light"/>
          <w:sz w:val="22"/>
          <w:szCs w:val="22"/>
          <w:lang w:val="es-MX"/>
        </w:rPr>
        <w:t xml:space="preserve">. </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8A3818" w:rsidTr="00633599">
        <w:trPr>
          <w:trHeight w:val="80"/>
        </w:trPr>
        <w:tc>
          <w:tcPr>
            <w:tcW w:w="3119" w:type="dxa"/>
          </w:tcPr>
          <w:p w:rsidR="006904AB" w:rsidRPr="008A3818" w:rsidRDefault="006904AB" w:rsidP="006904AB">
            <w:pPr>
              <w:pStyle w:val="ROMANOS"/>
              <w:spacing w:after="0" w:line="240" w:lineRule="exact"/>
              <w:ind w:left="0" w:firstLine="0"/>
              <w:rPr>
                <w:rFonts w:ascii="Soberana Sans Light" w:hAnsi="Soberana Sans Light"/>
                <w:sz w:val="20"/>
                <w:szCs w:val="20"/>
                <w:lang w:val="es-MX"/>
              </w:rPr>
            </w:pPr>
            <w:r w:rsidRPr="008A3818">
              <w:rPr>
                <w:rFonts w:ascii="Soberana Sans Light" w:hAnsi="Soberana Sans Light"/>
                <w:sz w:val="20"/>
                <w:szCs w:val="20"/>
                <w:lang w:val="es-MX"/>
              </w:rPr>
              <w:t>Fondos de Aportación Federal</w:t>
            </w:r>
          </w:p>
        </w:tc>
        <w:tc>
          <w:tcPr>
            <w:tcW w:w="1665" w:type="dxa"/>
          </w:tcPr>
          <w:p w:rsidR="006904AB" w:rsidRPr="008A3818" w:rsidRDefault="006904AB" w:rsidP="008E39D2">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w:t>
            </w:r>
            <w:r w:rsidR="008A3818" w:rsidRPr="008A3818">
              <w:rPr>
                <w:rFonts w:ascii="Soberana Sans Light" w:hAnsi="Soberana Sans Light"/>
                <w:sz w:val="20"/>
                <w:szCs w:val="20"/>
                <w:lang w:val="es-MX"/>
              </w:rPr>
              <w:t xml:space="preserve"> </w:t>
            </w:r>
            <w:r w:rsidR="00155CBC" w:rsidRPr="00155CBC">
              <w:rPr>
                <w:rFonts w:ascii="Soberana Sans Light" w:hAnsi="Soberana Sans Light"/>
                <w:sz w:val="20"/>
                <w:szCs w:val="20"/>
                <w:lang w:val="es-MX"/>
              </w:rPr>
              <w:t>42’775,669</w:t>
            </w:r>
          </w:p>
        </w:tc>
        <w:tc>
          <w:tcPr>
            <w:tcW w:w="2020" w:type="dxa"/>
          </w:tcPr>
          <w:p w:rsidR="006904AB" w:rsidRPr="008A3818" w:rsidRDefault="00573596" w:rsidP="006904AB">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$ 41’995,564</w:t>
            </w:r>
          </w:p>
        </w:tc>
        <w:tc>
          <w:tcPr>
            <w:tcW w:w="2268" w:type="dxa"/>
          </w:tcPr>
          <w:p w:rsidR="006904AB" w:rsidRPr="008A3818" w:rsidRDefault="006904AB" w:rsidP="00155CBC">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w:t>
            </w:r>
            <w:r w:rsidR="008E39D2">
              <w:rPr>
                <w:rFonts w:ascii="Soberana Sans Light" w:hAnsi="Soberana Sans Light"/>
                <w:sz w:val="20"/>
                <w:szCs w:val="20"/>
                <w:lang w:val="es-MX"/>
              </w:rPr>
              <w:t>7</w:t>
            </w:r>
            <w:r w:rsidR="00155CBC">
              <w:rPr>
                <w:rFonts w:ascii="Soberana Sans Light" w:hAnsi="Soberana Sans Light"/>
                <w:sz w:val="20"/>
                <w:szCs w:val="20"/>
                <w:lang w:val="es-MX"/>
              </w:rPr>
              <w:t>80</w:t>
            </w:r>
            <w:r w:rsidR="008A3818">
              <w:rPr>
                <w:rFonts w:ascii="Soberana Sans Light" w:hAnsi="Soberana Sans Light"/>
                <w:sz w:val="20"/>
                <w:szCs w:val="20"/>
                <w:lang w:val="es-MX"/>
              </w:rPr>
              <w:t>,</w:t>
            </w:r>
            <w:r w:rsidR="00155CBC">
              <w:rPr>
                <w:rFonts w:ascii="Soberana Sans Light" w:hAnsi="Soberana Sans Light"/>
                <w:sz w:val="20"/>
                <w:szCs w:val="20"/>
                <w:lang w:val="es-MX"/>
              </w:rPr>
              <w:t>105</w:t>
            </w:r>
            <w:r w:rsidRPr="008A3818">
              <w:rPr>
                <w:rFonts w:ascii="Soberana Sans Light" w:hAnsi="Soberana Sans Light"/>
                <w:sz w:val="20"/>
                <w:szCs w:val="20"/>
                <w:lang w:val="es-MX"/>
              </w:rPr>
              <w:t xml:space="preserve">  </w:t>
            </w:r>
          </w:p>
        </w:tc>
        <w:tc>
          <w:tcPr>
            <w:tcW w:w="1985" w:type="dxa"/>
          </w:tcPr>
          <w:p w:rsidR="006904AB" w:rsidRPr="008A3818" w:rsidRDefault="00155CBC" w:rsidP="008E39D2">
            <w:pPr>
              <w:pStyle w:val="ROMANOS"/>
              <w:spacing w:after="0" w:line="240" w:lineRule="exact"/>
              <w:ind w:left="0" w:firstLine="0"/>
              <w:jc w:val="center"/>
              <w:rPr>
                <w:rFonts w:ascii="Soberana Sans Light" w:hAnsi="Soberana Sans Light"/>
                <w:sz w:val="20"/>
                <w:szCs w:val="20"/>
                <w:lang w:val="es-MX"/>
              </w:rPr>
            </w:pPr>
            <w:r>
              <w:rPr>
                <w:rFonts w:ascii="Soberana Sans Light" w:hAnsi="Soberana Sans Light"/>
                <w:sz w:val="20"/>
                <w:szCs w:val="20"/>
                <w:lang w:val="es-MX"/>
              </w:rPr>
              <w:t>2</w:t>
            </w:r>
            <w:r w:rsidR="006A4D44">
              <w:rPr>
                <w:rFonts w:ascii="Soberana Sans Light" w:hAnsi="Soberana Sans Light"/>
                <w:sz w:val="20"/>
                <w:szCs w:val="20"/>
                <w:lang w:val="es-MX"/>
              </w:rPr>
              <w:t>%</w:t>
            </w:r>
          </w:p>
        </w:tc>
      </w:tr>
    </w:tbl>
    <w:p w:rsidR="00B704E9" w:rsidRPr="008A3818" w:rsidRDefault="00B704E9" w:rsidP="00B704E9">
      <w:pPr>
        <w:pStyle w:val="ROMANOS"/>
        <w:spacing w:after="0" w:line="240" w:lineRule="exact"/>
        <w:rPr>
          <w:rFonts w:ascii="Soberana Sans Light" w:hAnsi="Soberana Sans Light"/>
          <w:sz w:val="20"/>
          <w:szCs w:val="20"/>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rsidTr="00CC1779">
        <w:tc>
          <w:tcPr>
            <w:tcW w:w="3119" w:type="dxa"/>
            <w:vMerge w:val="restart"/>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4D7636"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4D7636"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rsidTr="00CC1779">
        <w:tc>
          <w:tcPr>
            <w:tcW w:w="3119"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6904AB" w:rsidRPr="005101FF" w:rsidRDefault="006904AB" w:rsidP="00811EC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11EC2">
              <w:rPr>
                <w:rFonts w:ascii="Soberana Sans Light" w:hAnsi="Soberana Sans Light"/>
                <w:sz w:val="20"/>
                <w:szCs w:val="22"/>
                <w:lang w:val="es-MX"/>
              </w:rPr>
              <w:t>48</w:t>
            </w:r>
            <w:r w:rsidR="008A3818">
              <w:rPr>
                <w:rFonts w:ascii="Soberana Sans Light" w:hAnsi="Soberana Sans Light"/>
                <w:sz w:val="20"/>
                <w:szCs w:val="22"/>
                <w:lang w:val="es-MX"/>
              </w:rPr>
              <w:t>’</w:t>
            </w:r>
            <w:r w:rsidR="00811EC2">
              <w:rPr>
                <w:rFonts w:ascii="Soberana Sans Light" w:hAnsi="Soberana Sans Light"/>
                <w:sz w:val="20"/>
                <w:szCs w:val="22"/>
                <w:lang w:val="es-MX"/>
              </w:rPr>
              <w:t>472</w:t>
            </w:r>
            <w:r w:rsidR="008A3818">
              <w:rPr>
                <w:rFonts w:ascii="Soberana Sans Light" w:hAnsi="Soberana Sans Light"/>
                <w:sz w:val="20"/>
                <w:szCs w:val="22"/>
                <w:lang w:val="es-MX"/>
              </w:rPr>
              <w:t>,</w:t>
            </w:r>
            <w:r w:rsidR="00811EC2">
              <w:rPr>
                <w:rFonts w:ascii="Soberana Sans Light" w:hAnsi="Soberana Sans Light"/>
                <w:sz w:val="20"/>
                <w:szCs w:val="22"/>
                <w:lang w:val="es-MX"/>
              </w:rPr>
              <w:t>672</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44</w:t>
            </w:r>
            <w:r w:rsidRPr="005101FF">
              <w:rPr>
                <w:rFonts w:ascii="Soberana Sans Light" w:hAnsi="Soberana Sans Light"/>
                <w:sz w:val="20"/>
                <w:szCs w:val="22"/>
                <w:lang w:val="es-MX"/>
              </w:rPr>
              <w:t>’</w:t>
            </w:r>
            <w:r>
              <w:rPr>
                <w:rFonts w:ascii="Soberana Sans Light" w:hAnsi="Soberana Sans Light"/>
                <w:sz w:val="20"/>
                <w:szCs w:val="22"/>
                <w:lang w:val="es-MX"/>
              </w:rPr>
              <w:t>671</w:t>
            </w:r>
            <w:r w:rsidRPr="005101FF">
              <w:rPr>
                <w:rFonts w:ascii="Soberana Sans Light" w:hAnsi="Soberana Sans Light"/>
                <w:sz w:val="20"/>
                <w:szCs w:val="22"/>
                <w:lang w:val="es-MX"/>
              </w:rPr>
              <w:t>,</w:t>
            </w:r>
            <w:r>
              <w:rPr>
                <w:rFonts w:ascii="Soberana Sans Light" w:hAnsi="Soberana Sans Light"/>
                <w:sz w:val="20"/>
                <w:szCs w:val="22"/>
                <w:lang w:val="es-MX"/>
              </w:rPr>
              <w:t>507</w:t>
            </w:r>
          </w:p>
        </w:tc>
        <w:tc>
          <w:tcPr>
            <w:tcW w:w="2268" w:type="dxa"/>
          </w:tcPr>
          <w:p w:rsidR="006904AB" w:rsidRPr="005101FF" w:rsidRDefault="006904AB" w:rsidP="00811EC2">
            <w:pPr>
              <w:jc w:val="right"/>
              <w:rPr>
                <w:rFonts w:ascii="Soberana Sans Light" w:hAnsi="Soberana Sans Light"/>
                <w:sz w:val="20"/>
                <w:szCs w:val="20"/>
              </w:rPr>
            </w:pPr>
            <w:r w:rsidRPr="005101FF">
              <w:rPr>
                <w:rFonts w:ascii="Soberana Sans Light" w:hAnsi="Soberana Sans Light"/>
                <w:sz w:val="20"/>
                <w:szCs w:val="20"/>
              </w:rPr>
              <w:t>$</w:t>
            </w:r>
            <w:r w:rsidR="00811EC2">
              <w:rPr>
                <w:rFonts w:ascii="Soberana Sans Light" w:hAnsi="Soberana Sans Light"/>
                <w:sz w:val="20"/>
                <w:szCs w:val="20"/>
              </w:rPr>
              <w:t>3</w:t>
            </w:r>
            <w:r w:rsidR="00892082">
              <w:rPr>
                <w:rFonts w:ascii="Soberana Sans Light" w:hAnsi="Soberana Sans Light"/>
                <w:sz w:val="20"/>
                <w:szCs w:val="20"/>
              </w:rPr>
              <w:t>’</w:t>
            </w:r>
            <w:r w:rsidR="00811EC2">
              <w:rPr>
                <w:rFonts w:ascii="Soberana Sans Light" w:hAnsi="Soberana Sans Light"/>
                <w:sz w:val="20"/>
                <w:szCs w:val="20"/>
              </w:rPr>
              <w:t>801</w:t>
            </w:r>
            <w:r w:rsidR="00892082">
              <w:rPr>
                <w:rFonts w:ascii="Soberana Sans Light" w:hAnsi="Soberana Sans Light"/>
                <w:sz w:val="20"/>
                <w:szCs w:val="20"/>
              </w:rPr>
              <w:t>,</w:t>
            </w:r>
            <w:r w:rsidR="00811EC2">
              <w:rPr>
                <w:rFonts w:ascii="Soberana Sans Light" w:hAnsi="Soberana Sans Light"/>
                <w:sz w:val="20"/>
                <w:szCs w:val="20"/>
              </w:rPr>
              <w:t>165</w:t>
            </w:r>
            <w:r w:rsidRPr="005101FF">
              <w:rPr>
                <w:rFonts w:ascii="Soberana Sans Light" w:hAnsi="Soberana Sans Light"/>
                <w:sz w:val="20"/>
                <w:szCs w:val="20"/>
              </w:rPr>
              <w:t xml:space="preserve"> </w:t>
            </w:r>
            <w:r w:rsidRPr="005101FF">
              <w:rPr>
                <w:rFonts w:ascii="Soberana Sans Light" w:hAnsi="Soberana Sans Light"/>
                <w:sz w:val="20"/>
              </w:rPr>
              <w:t xml:space="preserve"> </w:t>
            </w:r>
          </w:p>
        </w:tc>
        <w:tc>
          <w:tcPr>
            <w:tcW w:w="1985" w:type="dxa"/>
          </w:tcPr>
          <w:p w:rsidR="006904AB" w:rsidRPr="005101FF" w:rsidRDefault="006904AB" w:rsidP="00811EC2">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573596">
              <w:rPr>
                <w:rFonts w:ascii="Soberana Sans Light" w:hAnsi="Soberana Sans Light"/>
                <w:sz w:val="20"/>
                <w:szCs w:val="22"/>
                <w:lang w:val="es-MX"/>
              </w:rPr>
              <w:t xml:space="preserve">   </w:t>
            </w:r>
            <w:r w:rsidR="00811EC2">
              <w:rPr>
                <w:rFonts w:ascii="Soberana Sans Light" w:hAnsi="Soberana Sans Light"/>
                <w:sz w:val="20"/>
                <w:szCs w:val="22"/>
                <w:lang w:val="es-MX"/>
              </w:rPr>
              <w:t>9</w:t>
            </w:r>
            <w:r w:rsidR="006A4D44">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6904AB" w:rsidRPr="005101FF" w:rsidRDefault="006904AB" w:rsidP="00811EC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E39D2">
              <w:rPr>
                <w:rFonts w:ascii="Soberana Sans Light" w:hAnsi="Soberana Sans Light"/>
                <w:sz w:val="20"/>
                <w:szCs w:val="22"/>
                <w:lang w:val="es-MX"/>
              </w:rPr>
              <w:t xml:space="preserve"> </w:t>
            </w:r>
            <w:r w:rsidR="00811EC2">
              <w:rPr>
                <w:rFonts w:ascii="Soberana Sans Light" w:hAnsi="Soberana Sans Light"/>
                <w:sz w:val="20"/>
                <w:szCs w:val="22"/>
                <w:lang w:val="es-MX"/>
              </w:rPr>
              <w:t>2</w:t>
            </w:r>
            <w:r w:rsidR="008E39D2">
              <w:rPr>
                <w:rFonts w:ascii="Soberana Sans Light" w:hAnsi="Soberana Sans Light"/>
                <w:sz w:val="20"/>
                <w:szCs w:val="22"/>
                <w:lang w:val="es-MX"/>
              </w:rPr>
              <w:t>’</w:t>
            </w:r>
            <w:r w:rsidR="00811EC2">
              <w:rPr>
                <w:rFonts w:ascii="Soberana Sans Light" w:hAnsi="Soberana Sans Light"/>
                <w:sz w:val="20"/>
                <w:szCs w:val="22"/>
                <w:lang w:val="es-MX"/>
              </w:rPr>
              <w:t>197</w:t>
            </w:r>
            <w:r w:rsidR="008A3818">
              <w:rPr>
                <w:rFonts w:ascii="Soberana Sans Light" w:hAnsi="Soberana Sans Light"/>
                <w:sz w:val="20"/>
                <w:szCs w:val="22"/>
                <w:lang w:val="es-MX"/>
              </w:rPr>
              <w:t>,</w:t>
            </w:r>
            <w:r w:rsidR="00811EC2">
              <w:rPr>
                <w:rFonts w:ascii="Soberana Sans Light" w:hAnsi="Soberana Sans Light"/>
                <w:sz w:val="20"/>
                <w:szCs w:val="22"/>
                <w:lang w:val="es-MX"/>
              </w:rPr>
              <w:t>229</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1’874,949</w:t>
            </w:r>
          </w:p>
        </w:tc>
        <w:tc>
          <w:tcPr>
            <w:tcW w:w="2268" w:type="dxa"/>
          </w:tcPr>
          <w:p w:rsidR="006904AB" w:rsidRPr="005101FF" w:rsidRDefault="006904AB" w:rsidP="00811EC2">
            <w:pPr>
              <w:jc w:val="right"/>
              <w:rPr>
                <w:rFonts w:ascii="Soberana Sans Light" w:hAnsi="Soberana Sans Light"/>
                <w:sz w:val="20"/>
                <w:szCs w:val="20"/>
              </w:rPr>
            </w:pPr>
            <w:r w:rsidRPr="005101FF">
              <w:rPr>
                <w:rFonts w:ascii="Soberana Sans Light" w:hAnsi="Soberana Sans Light"/>
                <w:sz w:val="20"/>
                <w:szCs w:val="20"/>
              </w:rPr>
              <w:t>$</w:t>
            </w:r>
            <w:r w:rsidR="00801E30">
              <w:rPr>
                <w:rFonts w:ascii="Soberana Sans Light" w:hAnsi="Soberana Sans Light"/>
                <w:sz w:val="20"/>
                <w:szCs w:val="20"/>
              </w:rPr>
              <w:t xml:space="preserve"> 3</w:t>
            </w:r>
            <w:r w:rsidR="00811EC2">
              <w:rPr>
                <w:rFonts w:ascii="Soberana Sans Light" w:hAnsi="Soberana Sans Light"/>
                <w:sz w:val="20"/>
                <w:szCs w:val="20"/>
              </w:rPr>
              <w:t>22</w:t>
            </w:r>
            <w:r w:rsidR="008A3818">
              <w:rPr>
                <w:rFonts w:ascii="Soberana Sans Light" w:hAnsi="Soberana Sans Light"/>
                <w:sz w:val="20"/>
                <w:szCs w:val="20"/>
              </w:rPr>
              <w:t>,</w:t>
            </w:r>
            <w:r w:rsidR="00811EC2">
              <w:rPr>
                <w:rFonts w:ascii="Soberana Sans Light" w:hAnsi="Soberana Sans Light"/>
                <w:sz w:val="20"/>
                <w:szCs w:val="20"/>
              </w:rPr>
              <w:t>280</w:t>
            </w:r>
            <w:r w:rsidRPr="005101FF">
              <w:rPr>
                <w:rFonts w:ascii="Soberana Sans Light" w:hAnsi="Soberana Sans Light"/>
                <w:sz w:val="20"/>
              </w:rPr>
              <w:t xml:space="preserve"> </w:t>
            </w:r>
          </w:p>
        </w:tc>
        <w:tc>
          <w:tcPr>
            <w:tcW w:w="1985" w:type="dxa"/>
          </w:tcPr>
          <w:p w:rsidR="006904AB" w:rsidRPr="005101FF" w:rsidRDefault="00801E30" w:rsidP="00811EC2">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w:t>
            </w:r>
            <w:r w:rsidR="00811EC2">
              <w:rPr>
                <w:rFonts w:ascii="Soberana Sans Light" w:hAnsi="Soberana Sans Light"/>
                <w:sz w:val="20"/>
                <w:szCs w:val="22"/>
                <w:lang w:val="es-MX"/>
              </w:rPr>
              <w:t>7</w:t>
            </w:r>
            <w:r w:rsidR="00892082">
              <w:rPr>
                <w:rFonts w:ascii="Soberana Sans Light" w:hAnsi="Soberana Sans Light"/>
                <w:sz w:val="20"/>
                <w:szCs w:val="22"/>
                <w:lang w:val="es-MX"/>
              </w:rPr>
              <w:t>%</w:t>
            </w:r>
          </w:p>
        </w:tc>
      </w:tr>
    </w:tbl>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Pr="005101FF" w:rsidRDefault="00A40920"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lastRenderedPageBreak/>
              <w:t>Concepto</w:t>
            </w:r>
          </w:p>
        </w:tc>
        <w:tc>
          <w:tcPr>
            <w:tcW w:w="1665" w:type="dxa"/>
            <w:vMerge w:val="restart"/>
            <w:shd w:val="clear" w:color="auto" w:fill="632423" w:themeFill="accent2" w:themeFillShade="80"/>
          </w:tcPr>
          <w:p w:rsidR="007B0055"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6904AB" w:rsidRPr="005101FF" w:rsidRDefault="006904AB" w:rsidP="00811EC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811EC2">
              <w:rPr>
                <w:rFonts w:ascii="Soberana Sans Light" w:hAnsi="Soberana Sans Light"/>
                <w:sz w:val="20"/>
                <w:szCs w:val="22"/>
                <w:lang w:val="es-MX"/>
              </w:rPr>
              <w:t>5</w:t>
            </w:r>
            <w:r w:rsidR="00892082">
              <w:rPr>
                <w:rFonts w:ascii="Soberana Sans Light" w:hAnsi="Soberana Sans Light"/>
                <w:sz w:val="20"/>
                <w:szCs w:val="22"/>
                <w:lang w:val="es-MX"/>
              </w:rPr>
              <w:t>’</w:t>
            </w:r>
            <w:r w:rsidR="00811EC2">
              <w:rPr>
                <w:rFonts w:ascii="Soberana Sans Light" w:hAnsi="Soberana Sans Light"/>
                <w:sz w:val="20"/>
                <w:szCs w:val="22"/>
                <w:lang w:val="es-MX"/>
              </w:rPr>
              <w:t>621</w:t>
            </w:r>
            <w:r w:rsidR="008A3818">
              <w:rPr>
                <w:rFonts w:ascii="Soberana Sans Light" w:hAnsi="Soberana Sans Light"/>
                <w:sz w:val="20"/>
                <w:szCs w:val="22"/>
                <w:lang w:val="es-MX"/>
              </w:rPr>
              <w:t>,</w:t>
            </w:r>
            <w:r w:rsidR="00811EC2">
              <w:rPr>
                <w:rFonts w:ascii="Soberana Sans Light" w:hAnsi="Soberana Sans Light"/>
                <w:sz w:val="20"/>
                <w:szCs w:val="22"/>
                <w:lang w:val="es-MX"/>
              </w:rPr>
              <w:t>160</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5’307</w:t>
            </w:r>
            <w:r w:rsidRPr="005101FF">
              <w:rPr>
                <w:rFonts w:ascii="Soberana Sans Light" w:hAnsi="Soberana Sans Light"/>
                <w:sz w:val="20"/>
                <w:szCs w:val="22"/>
                <w:lang w:val="es-MX"/>
              </w:rPr>
              <w:t>,</w:t>
            </w:r>
            <w:r>
              <w:rPr>
                <w:rFonts w:ascii="Soberana Sans Light" w:hAnsi="Soberana Sans Light"/>
                <w:sz w:val="20"/>
                <w:szCs w:val="22"/>
                <w:lang w:val="es-MX"/>
              </w:rPr>
              <w:t>520</w:t>
            </w:r>
          </w:p>
        </w:tc>
        <w:tc>
          <w:tcPr>
            <w:tcW w:w="2268" w:type="dxa"/>
          </w:tcPr>
          <w:p w:rsidR="006904AB" w:rsidRPr="005101FF" w:rsidRDefault="00801E30" w:rsidP="00811EC2">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6904AB"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811EC2">
              <w:rPr>
                <w:rFonts w:ascii="Soberana Sans Light" w:hAnsi="Soberana Sans Light"/>
                <w:sz w:val="20"/>
                <w:szCs w:val="22"/>
                <w:lang w:val="es-MX"/>
              </w:rPr>
              <w:t>313,640</w:t>
            </w:r>
            <w:r w:rsidR="006904AB" w:rsidRPr="005101FF">
              <w:rPr>
                <w:rFonts w:ascii="Soberana Sans Light" w:hAnsi="Soberana Sans Light"/>
                <w:sz w:val="20"/>
                <w:szCs w:val="22"/>
                <w:lang w:val="es-MX"/>
              </w:rPr>
              <w:t xml:space="preserve"> </w:t>
            </w:r>
          </w:p>
        </w:tc>
        <w:tc>
          <w:tcPr>
            <w:tcW w:w="1985" w:type="dxa"/>
          </w:tcPr>
          <w:p w:rsidR="006904AB" w:rsidRPr="005101FF" w:rsidRDefault="00811EC2" w:rsidP="00801E30">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6</w:t>
            </w:r>
            <w:r w:rsidR="006A4D44">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540418" w:rsidRPr="005101FF"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6904AB" w:rsidRDefault="006904AB" w:rsidP="006904AB">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811EC2">
        <w:rPr>
          <w:rFonts w:ascii="Soberana Sans Light" w:hAnsi="Soberana Sans Light"/>
          <w:sz w:val="22"/>
          <w:szCs w:val="22"/>
          <w:lang w:val="es-MX"/>
        </w:rPr>
        <w:t>2</w:t>
      </w:r>
      <w:r w:rsidRPr="00AC705B">
        <w:rPr>
          <w:rFonts w:ascii="Soberana Sans Light" w:hAnsi="Soberana Sans Light"/>
          <w:sz w:val="22"/>
          <w:szCs w:val="22"/>
          <w:lang w:val="es-MX"/>
        </w:rPr>
        <w:t>’</w:t>
      </w:r>
      <w:r w:rsidR="00811EC2">
        <w:rPr>
          <w:rFonts w:ascii="Soberana Sans Light" w:hAnsi="Soberana Sans Light"/>
          <w:sz w:val="22"/>
          <w:szCs w:val="22"/>
          <w:lang w:val="es-MX"/>
        </w:rPr>
        <w:t>016</w:t>
      </w:r>
      <w:r w:rsidRPr="00AC705B">
        <w:rPr>
          <w:rFonts w:ascii="Soberana Sans Light" w:hAnsi="Soberana Sans Light"/>
          <w:sz w:val="22"/>
          <w:szCs w:val="22"/>
          <w:lang w:val="es-MX"/>
        </w:rPr>
        <w:t>,</w:t>
      </w:r>
      <w:r w:rsidR="00811EC2">
        <w:rPr>
          <w:rFonts w:ascii="Soberana Sans Light" w:hAnsi="Soberana Sans Light"/>
          <w:sz w:val="22"/>
          <w:szCs w:val="22"/>
          <w:lang w:val="es-MX"/>
        </w:rPr>
        <w:t>628</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rsidTr="00CC1779">
        <w:tc>
          <w:tcPr>
            <w:tcW w:w="2977" w:type="dxa"/>
            <w:vMerge w:val="restart"/>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4E644E" w:rsidRPr="005101FF" w:rsidRDefault="00573596" w:rsidP="00CC2E28">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4E644E" w:rsidRPr="005101FF" w:rsidRDefault="004E644E" w:rsidP="0088367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rsidTr="00CC1779">
        <w:tc>
          <w:tcPr>
            <w:tcW w:w="297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D07819">
        <w:trPr>
          <w:trHeight w:val="80"/>
        </w:trPr>
        <w:tc>
          <w:tcPr>
            <w:tcW w:w="2977" w:type="dxa"/>
          </w:tcPr>
          <w:p w:rsidR="006904AB" w:rsidRPr="005101FF" w:rsidRDefault="006904AB" w:rsidP="006904A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rsidR="006904AB" w:rsidRDefault="006904AB" w:rsidP="00811EC2">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4</w:t>
            </w:r>
            <w:r w:rsidR="00811EC2">
              <w:rPr>
                <w:rFonts w:ascii="Soberana Sans Light" w:hAnsi="Soberana Sans Light"/>
                <w:color w:val="000000"/>
                <w:sz w:val="20"/>
                <w:szCs w:val="20"/>
              </w:rPr>
              <w:t>2</w:t>
            </w:r>
            <w:r w:rsidR="008A3818">
              <w:rPr>
                <w:rFonts w:ascii="Soberana Sans Light" w:hAnsi="Soberana Sans Light"/>
                <w:color w:val="000000"/>
                <w:sz w:val="20"/>
                <w:szCs w:val="20"/>
              </w:rPr>
              <w:t>’</w:t>
            </w:r>
            <w:r w:rsidR="00811EC2">
              <w:rPr>
                <w:rFonts w:ascii="Soberana Sans Light" w:hAnsi="Soberana Sans Light"/>
                <w:color w:val="000000"/>
                <w:sz w:val="20"/>
                <w:szCs w:val="20"/>
              </w:rPr>
              <w:t>016</w:t>
            </w:r>
            <w:r w:rsidR="008A3818">
              <w:rPr>
                <w:rFonts w:ascii="Soberana Sans Light" w:hAnsi="Soberana Sans Light"/>
                <w:color w:val="000000"/>
                <w:sz w:val="20"/>
                <w:szCs w:val="20"/>
              </w:rPr>
              <w:t>,</w:t>
            </w:r>
            <w:r w:rsidR="00811EC2">
              <w:rPr>
                <w:rFonts w:ascii="Soberana Sans Light" w:hAnsi="Soberana Sans Light"/>
                <w:color w:val="000000"/>
                <w:sz w:val="20"/>
                <w:szCs w:val="20"/>
              </w:rPr>
              <w:t>628</w:t>
            </w:r>
          </w:p>
        </w:tc>
        <w:tc>
          <w:tcPr>
            <w:tcW w:w="2020" w:type="dxa"/>
            <w:vAlign w:val="center"/>
          </w:tcPr>
          <w:p w:rsidR="006904AB" w:rsidRDefault="00573596" w:rsidP="008A3818">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43,996,677</w:t>
            </w:r>
          </w:p>
        </w:tc>
        <w:tc>
          <w:tcPr>
            <w:tcW w:w="2268" w:type="dxa"/>
            <w:vAlign w:val="center"/>
          </w:tcPr>
          <w:p w:rsidR="006904AB" w:rsidRPr="006904AB" w:rsidRDefault="0074010B" w:rsidP="0074010B">
            <w:pPr>
              <w:jc w:val="right"/>
              <w:rPr>
                <w:rFonts w:ascii="Soberana Sans Light" w:hAnsi="Soberana Sans Light"/>
                <w:sz w:val="20"/>
                <w:szCs w:val="20"/>
              </w:rPr>
            </w:pPr>
            <w:r>
              <w:rPr>
                <w:rFonts w:ascii="Soberana Sans Light" w:hAnsi="Soberana Sans Light"/>
                <w:sz w:val="20"/>
                <w:szCs w:val="20"/>
              </w:rPr>
              <w:t>-</w:t>
            </w:r>
            <w:r w:rsidR="006904AB" w:rsidRPr="006904AB">
              <w:rPr>
                <w:rFonts w:ascii="Soberana Sans Light" w:hAnsi="Soberana Sans Light"/>
                <w:sz w:val="20"/>
                <w:szCs w:val="20"/>
              </w:rPr>
              <w:t>$</w:t>
            </w:r>
            <w:r w:rsidR="008A3818">
              <w:rPr>
                <w:rFonts w:ascii="Soberana Sans Light" w:hAnsi="Soberana Sans Light"/>
                <w:sz w:val="20"/>
                <w:szCs w:val="20"/>
              </w:rPr>
              <w:t xml:space="preserve"> </w:t>
            </w:r>
            <w:r>
              <w:rPr>
                <w:rFonts w:ascii="Soberana Sans Light" w:hAnsi="Soberana Sans Light"/>
                <w:sz w:val="20"/>
                <w:szCs w:val="20"/>
              </w:rPr>
              <w:t>1</w:t>
            </w:r>
            <w:r w:rsidR="00892082">
              <w:rPr>
                <w:rFonts w:ascii="Soberana Sans Light" w:hAnsi="Soberana Sans Light"/>
                <w:sz w:val="20"/>
                <w:szCs w:val="20"/>
              </w:rPr>
              <w:t>’</w:t>
            </w:r>
            <w:r>
              <w:rPr>
                <w:rFonts w:ascii="Soberana Sans Light" w:hAnsi="Soberana Sans Light"/>
                <w:sz w:val="20"/>
                <w:szCs w:val="20"/>
              </w:rPr>
              <w:t>980</w:t>
            </w:r>
            <w:r w:rsidR="008A3818">
              <w:rPr>
                <w:rFonts w:ascii="Soberana Sans Light" w:hAnsi="Soberana Sans Light"/>
                <w:sz w:val="20"/>
                <w:szCs w:val="20"/>
              </w:rPr>
              <w:t>,</w:t>
            </w:r>
            <w:r>
              <w:rPr>
                <w:rFonts w:ascii="Soberana Sans Light" w:hAnsi="Soberana Sans Light"/>
                <w:sz w:val="20"/>
                <w:szCs w:val="20"/>
              </w:rPr>
              <w:t>051</w:t>
            </w:r>
          </w:p>
        </w:tc>
        <w:tc>
          <w:tcPr>
            <w:tcW w:w="1985" w:type="dxa"/>
            <w:vAlign w:val="center"/>
          </w:tcPr>
          <w:p w:rsidR="006904AB" w:rsidRDefault="0074010B" w:rsidP="0074010B">
            <w:pPr>
              <w:jc w:val="center"/>
              <w:rPr>
                <w:rFonts w:ascii="Soberana Sans Light" w:hAnsi="Soberana Sans Light"/>
                <w:color w:val="000000"/>
                <w:sz w:val="20"/>
                <w:szCs w:val="20"/>
              </w:rPr>
            </w:pPr>
            <w:r>
              <w:rPr>
                <w:rFonts w:ascii="Soberana Sans Light" w:hAnsi="Soberana Sans Light"/>
                <w:color w:val="000000"/>
                <w:sz w:val="20"/>
                <w:szCs w:val="20"/>
              </w:rPr>
              <w:t>-5</w:t>
            </w:r>
            <w:r w:rsidR="006904AB">
              <w:rPr>
                <w:rFonts w:ascii="Soberana Sans Light" w:hAnsi="Soberana Sans Light"/>
                <w:color w:val="000000"/>
                <w:sz w:val="20"/>
                <w:szCs w:val="20"/>
              </w:rPr>
              <w:t>%</w:t>
            </w:r>
          </w:p>
        </w:tc>
      </w:tr>
    </w:tbl>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2A033C" w:rsidRDefault="002A033C" w:rsidP="004E644E">
      <w:pPr>
        <w:pStyle w:val="INCISO"/>
        <w:spacing w:after="0" w:line="240" w:lineRule="exact"/>
        <w:ind w:left="360" w:hanging="76"/>
        <w:rPr>
          <w:rFonts w:ascii="Soberana Sans Light" w:hAnsi="Soberana Sans Light"/>
          <w:b/>
          <w:smallCaps/>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rsidR="002A033C" w:rsidRDefault="002A033C"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74010B">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74010B">
        <w:rPr>
          <w:rFonts w:ascii="Soberana Sans Light" w:hAnsi="Soberana Sans Light"/>
          <w:sz w:val="22"/>
          <w:szCs w:val="22"/>
          <w:lang w:val="es-MX"/>
        </w:rPr>
        <w:t>diciembre</w:t>
      </w:r>
      <w:r w:rsidR="00601822">
        <w:rPr>
          <w:rFonts w:ascii="Soberana Sans Light" w:hAnsi="Soberana Sans Light"/>
          <w:sz w:val="22"/>
          <w:szCs w:val="22"/>
          <w:lang w:val="es-MX"/>
        </w:rPr>
        <w:t xml:space="preserve"> de 2018</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601822"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2018</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7</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6E655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6E655A" w:rsidRPr="005101FF" w:rsidRDefault="0074010B" w:rsidP="0074010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w:t>
            </w:r>
            <w:r w:rsidR="006A4D44">
              <w:rPr>
                <w:rFonts w:ascii="Soberana Sans Light" w:hAnsi="Soberana Sans Light"/>
                <w:sz w:val="22"/>
                <w:szCs w:val="22"/>
                <w:lang w:val="es-MX"/>
              </w:rPr>
              <w:t>’</w:t>
            </w:r>
            <w:r>
              <w:rPr>
                <w:rFonts w:ascii="Soberana Sans Light" w:hAnsi="Soberana Sans Light"/>
                <w:sz w:val="22"/>
                <w:szCs w:val="22"/>
                <w:lang w:val="es-MX"/>
              </w:rPr>
              <w:t>637</w:t>
            </w:r>
            <w:r w:rsidR="006A4D44">
              <w:rPr>
                <w:rFonts w:ascii="Soberana Sans Light" w:hAnsi="Soberana Sans Light"/>
                <w:sz w:val="22"/>
                <w:szCs w:val="22"/>
                <w:lang w:val="es-MX"/>
              </w:rPr>
              <w:t>,</w:t>
            </w:r>
            <w:r>
              <w:rPr>
                <w:rFonts w:ascii="Soberana Sans Light" w:hAnsi="Soberana Sans Light"/>
                <w:sz w:val="22"/>
                <w:szCs w:val="22"/>
                <w:lang w:val="es-MX"/>
              </w:rPr>
              <w:t>568</w:t>
            </w:r>
          </w:p>
        </w:tc>
        <w:tc>
          <w:tcPr>
            <w:tcW w:w="1418" w:type="dxa"/>
            <w:tcBorders>
              <w:top w:val="single" w:sz="6" w:space="0" w:color="auto"/>
              <w:left w:val="single" w:sz="6" w:space="0" w:color="auto"/>
              <w:bottom w:val="single" w:sz="6" w:space="0" w:color="auto"/>
              <w:right w:val="single" w:sz="6" w:space="0" w:color="auto"/>
            </w:tcBorders>
          </w:tcPr>
          <w:p w:rsidR="006E655A" w:rsidRPr="005101FF" w:rsidRDefault="00601822" w:rsidP="006E655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6’653,998</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74010B" w:rsidP="0074010B">
            <w:pPr>
              <w:pStyle w:val="Texto"/>
              <w:spacing w:after="0" w:line="240" w:lineRule="exact"/>
              <w:ind w:firstLine="0"/>
              <w:jc w:val="center"/>
              <w:rPr>
                <w:rFonts w:ascii="Calibri" w:hAnsi="Calibri"/>
                <w:sz w:val="22"/>
                <w:szCs w:val="22"/>
                <w:lang w:val="es-MX"/>
              </w:rPr>
            </w:pPr>
            <w:r>
              <w:rPr>
                <w:rFonts w:ascii="Calibri" w:hAnsi="Calibri"/>
                <w:sz w:val="22"/>
                <w:szCs w:val="22"/>
                <w:lang w:val="es-MX"/>
              </w:rPr>
              <w:t>-3</w:t>
            </w:r>
            <w:r w:rsidR="00801E30">
              <w:rPr>
                <w:rFonts w:ascii="Calibri" w:hAnsi="Calibri"/>
                <w:sz w:val="22"/>
                <w:szCs w:val="22"/>
                <w:lang w:val="es-MX"/>
              </w:rPr>
              <w:t>’</w:t>
            </w:r>
            <w:r>
              <w:rPr>
                <w:rFonts w:ascii="Calibri" w:hAnsi="Calibri"/>
                <w:sz w:val="22"/>
                <w:szCs w:val="22"/>
                <w:lang w:val="es-MX"/>
              </w:rPr>
              <w:t>016</w:t>
            </w:r>
            <w:r w:rsidR="00801E30">
              <w:rPr>
                <w:rFonts w:ascii="Calibri" w:hAnsi="Calibri"/>
                <w:sz w:val="22"/>
                <w:szCs w:val="22"/>
                <w:lang w:val="es-MX"/>
              </w:rPr>
              <w:t>,</w:t>
            </w:r>
            <w:r>
              <w:rPr>
                <w:rFonts w:ascii="Calibri" w:hAnsi="Calibri"/>
                <w:sz w:val="22"/>
                <w:szCs w:val="22"/>
                <w:lang w:val="es-MX"/>
              </w:rPr>
              <w:t>430</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74010B" w:rsidP="0074010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-45</w:t>
            </w:r>
            <w:r w:rsidR="006E655A"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74010B"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74010B" w:rsidRPr="005101FF" w:rsidRDefault="0074010B" w:rsidP="0074010B">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lastRenderedPageBreak/>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74010B" w:rsidRPr="005101FF" w:rsidRDefault="0074010B" w:rsidP="0074010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3’637,568</w:t>
            </w:r>
          </w:p>
        </w:tc>
        <w:tc>
          <w:tcPr>
            <w:tcW w:w="1418" w:type="dxa"/>
            <w:tcBorders>
              <w:top w:val="single" w:sz="6" w:space="0" w:color="auto"/>
              <w:left w:val="single" w:sz="6" w:space="0" w:color="auto"/>
              <w:bottom w:val="single" w:sz="6" w:space="0" w:color="auto"/>
              <w:right w:val="single" w:sz="6" w:space="0" w:color="auto"/>
            </w:tcBorders>
          </w:tcPr>
          <w:p w:rsidR="0074010B" w:rsidRPr="005101FF" w:rsidRDefault="0074010B" w:rsidP="0074010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6’653,998</w:t>
            </w:r>
          </w:p>
        </w:tc>
        <w:tc>
          <w:tcPr>
            <w:tcW w:w="1559" w:type="dxa"/>
            <w:tcBorders>
              <w:top w:val="single" w:sz="6" w:space="0" w:color="auto"/>
              <w:left w:val="single" w:sz="6" w:space="0" w:color="auto"/>
              <w:bottom w:val="single" w:sz="6" w:space="0" w:color="auto"/>
              <w:right w:val="single" w:sz="6" w:space="0" w:color="auto"/>
            </w:tcBorders>
          </w:tcPr>
          <w:p w:rsidR="0074010B" w:rsidRPr="005101FF" w:rsidRDefault="0074010B" w:rsidP="0074010B">
            <w:pPr>
              <w:pStyle w:val="Texto"/>
              <w:spacing w:after="0" w:line="240" w:lineRule="exact"/>
              <w:ind w:firstLine="0"/>
              <w:jc w:val="center"/>
              <w:rPr>
                <w:rFonts w:ascii="Calibri" w:hAnsi="Calibri"/>
                <w:sz w:val="22"/>
                <w:szCs w:val="22"/>
                <w:lang w:val="es-MX"/>
              </w:rPr>
            </w:pPr>
            <w:r>
              <w:rPr>
                <w:rFonts w:ascii="Calibri" w:hAnsi="Calibri"/>
                <w:sz w:val="22"/>
                <w:szCs w:val="22"/>
                <w:lang w:val="es-MX"/>
              </w:rPr>
              <w:t>-3’016,430</w:t>
            </w:r>
          </w:p>
        </w:tc>
        <w:tc>
          <w:tcPr>
            <w:tcW w:w="1559" w:type="dxa"/>
            <w:tcBorders>
              <w:top w:val="single" w:sz="6" w:space="0" w:color="auto"/>
              <w:left w:val="single" w:sz="6" w:space="0" w:color="auto"/>
              <w:bottom w:val="single" w:sz="6" w:space="0" w:color="auto"/>
              <w:right w:val="single" w:sz="6" w:space="0" w:color="auto"/>
            </w:tcBorders>
          </w:tcPr>
          <w:p w:rsidR="0074010B" w:rsidRPr="005101FF" w:rsidRDefault="0074010B" w:rsidP="0074010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-45</w:t>
            </w:r>
            <w:r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rsidR="00716EC2" w:rsidRPr="005101FF" w:rsidRDefault="00716EC2"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604D58" w:rsidP="00601822">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8</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7</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6E655A"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6E655A" w:rsidRPr="005101FF" w:rsidRDefault="0074010B" w:rsidP="0074010B">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2’401</w:t>
            </w:r>
            <w:r w:rsidR="006A4D44">
              <w:rPr>
                <w:rFonts w:ascii="Soberana Sans Light" w:hAnsi="Soberana Sans Light"/>
                <w:b/>
                <w:sz w:val="22"/>
                <w:szCs w:val="22"/>
                <w:lang w:val="es-MX"/>
              </w:rPr>
              <w:t>,</w:t>
            </w:r>
            <w:r>
              <w:rPr>
                <w:rFonts w:ascii="Soberana Sans Light" w:hAnsi="Soberana Sans Light"/>
                <w:b/>
                <w:sz w:val="22"/>
                <w:szCs w:val="22"/>
                <w:lang w:val="es-MX"/>
              </w:rPr>
              <w:t>160</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601822" w:rsidP="006E655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5,364,769</w:t>
            </w:r>
          </w:p>
        </w:tc>
        <w:tc>
          <w:tcPr>
            <w:tcW w:w="1589" w:type="dxa"/>
            <w:tcBorders>
              <w:top w:val="single" w:sz="6" w:space="0" w:color="auto"/>
              <w:left w:val="single" w:sz="6" w:space="0" w:color="auto"/>
              <w:bottom w:val="single" w:sz="6" w:space="0" w:color="auto"/>
              <w:right w:val="single" w:sz="6" w:space="0" w:color="auto"/>
            </w:tcBorders>
          </w:tcPr>
          <w:p w:rsidR="006E655A" w:rsidRPr="005101FF" w:rsidRDefault="0074010B" w:rsidP="0074010B">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-2’963,609</w:t>
            </w:r>
          </w:p>
        </w:tc>
        <w:tc>
          <w:tcPr>
            <w:tcW w:w="1728" w:type="dxa"/>
            <w:tcBorders>
              <w:top w:val="single" w:sz="6" w:space="0" w:color="auto"/>
              <w:left w:val="single" w:sz="6" w:space="0" w:color="auto"/>
              <w:bottom w:val="single" w:sz="6" w:space="0" w:color="auto"/>
              <w:right w:val="single" w:sz="6" w:space="0" w:color="auto"/>
            </w:tcBorders>
          </w:tcPr>
          <w:p w:rsidR="006E655A" w:rsidRPr="005101FF" w:rsidRDefault="0074010B" w:rsidP="0074010B">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-55</w:t>
            </w:r>
            <w:r w:rsidR="006E655A" w:rsidRPr="005101FF">
              <w:rPr>
                <w:rFonts w:ascii="Soberana Sans Light" w:hAnsi="Soberana Sans Light"/>
                <w:b/>
                <w:sz w:val="22"/>
                <w:szCs w:val="22"/>
                <w:lang w:val="es-MX"/>
              </w:rPr>
              <w:t>%</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064580" w:rsidRPr="005101FF" w:rsidRDefault="0006458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7E1E3D" w:rsidP="00B849EE">
      <w:pPr>
        <w:pStyle w:val="Texto"/>
        <w:spacing w:after="0" w:line="240" w:lineRule="exact"/>
        <w:ind w:firstLine="0"/>
        <w:rPr>
          <w:rFonts w:ascii="Soberana Sans Light" w:hAnsi="Soberana Sans Light"/>
          <w:sz w:val="22"/>
          <w:szCs w:val="22"/>
          <w:lang w:val="es-MX"/>
        </w:rPr>
      </w:pPr>
    </w:p>
    <w:p w:rsidR="00CE6657" w:rsidRPr="005101FF" w:rsidRDefault="00CE6657"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637980" w:rsidP="00B849EE">
      <w:pPr>
        <w:pStyle w:val="Texto"/>
        <w:spacing w:after="0" w:line="240" w:lineRule="exact"/>
        <w:ind w:firstLine="0"/>
        <w:rPr>
          <w:rFonts w:ascii="Soberana Sans Light" w:hAnsi="Soberana Sans Light"/>
          <w:sz w:val="22"/>
          <w:szCs w:val="22"/>
          <w:lang w:val="es-MX"/>
        </w:rPr>
      </w:pPr>
      <w:bookmarkStart w:id="4" w:name="_GoBack"/>
      <w:bookmarkEnd w:id="4"/>
      <w:r>
        <w:rPr>
          <w:rFonts w:ascii="Soberana Sans Light" w:hAnsi="Soberana Sans Light"/>
          <w:noProof/>
          <w:sz w:val="22"/>
          <w:szCs w:val="22"/>
          <w:lang w:val="es-MX" w:eastAsia="es-MX"/>
        </w:rPr>
        <w:lastRenderedPageBreak/>
        <w:object w:dxaOrig="1440" w:dyaOrig="1440">
          <v:shape id="_x0000_s1028" type="#_x0000_t75" style="position:absolute;left:0;text-align:left;margin-left:133.55pt;margin-top:18.65pt;width:542.35pt;height:355.55pt;z-index:251663360;mso-position-horizontal-relative:text;mso-position-vertical-relative:text;mso-width-relative:page;mso-height-relative:page">
            <v:imagedata r:id="rId22" o:title=""/>
            <w10:wrap type="topAndBottom"/>
          </v:shape>
          <o:OLEObject Type="Embed" ProgID="Excel.Sheet.12" ShapeID="_x0000_s1028" DrawAspect="Content" ObjectID="_1608015630" r:id="rId23"/>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E615AD" w:rsidRPr="005101FF" w:rsidRDefault="00637980" w:rsidP="00540418">
      <w:pPr>
        <w:pStyle w:val="Texto"/>
        <w:spacing w:after="0" w:line="240" w:lineRule="exact"/>
        <w:jc w:val="center"/>
        <w:rPr>
          <w:rFonts w:ascii="Soberana Sans Light" w:hAnsi="Soberana Sans Light"/>
          <w:b/>
          <w:smallCaps/>
          <w:sz w:val="22"/>
          <w:szCs w:val="22"/>
          <w:lang w:val="es-MX"/>
        </w:rPr>
      </w:pPr>
      <w:r>
        <w:rPr>
          <w:rFonts w:ascii="Soberana Sans Light" w:hAnsi="Soberana Sans Light"/>
          <w:b/>
          <w:smallCaps/>
          <w:noProof/>
          <w:sz w:val="22"/>
          <w:szCs w:val="22"/>
          <w:lang w:val="es-MX" w:eastAsia="es-MX"/>
        </w:rPr>
        <w:lastRenderedPageBreak/>
        <w:object w:dxaOrig="1440" w:dyaOrig="1440">
          <v:shape id="_x0000_s1110" type="#_x0000_t75" style="position:absolute;left:0;text-align:left;margin-left:90pt;margin-top:16.65pt;width:589.15pt;height:419.5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08015631" r:id="rId25"/>
        </w:object>
      </w:r>
    </w:p>
    <w:p w:rsidR="00E615AD" w:rsidRDefault="00E615AD" w:rsidP="00540418">
      <w:pPr>
        <w:pStyle w:val="Texto"/>
        <w:spacing w:after="0" w:line="240" w:lineRule="exact"/>
        <w:jc w:val="center"/>
        <w:rPr>
          <w:rFonts w:ascii="Soberana Sans Light" w:hAnsi="Soberana Sans Light"/>
          <w:b/>
          <w:smallCaps/>
          <w:sz w:val="22"/>
          <w:szCs w:val="22"/>
          <w:lang w:val="es-MX"/>
        </w:rPr>
      </w:pPr>
    </w:p>
    <w:p w:rsidR="00B740CC" w:rsidRDefault="00B740CC" w:rsidP="00540418">
      <w:pPr>
        <w:pStyle w:val="Texto"/>
        <w:spacing w:after="0" w:line="240" w:lineRule="exact"/>
        <w:jc w:val="center"/>
        <w:rPr>
          <w:rFonts w:ascii="Soberana Sans Light" w:hAnsi="Soberana Sans Light"/>
          <w:b/>
          <w:smallCaps/>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lastRenderedPageBreak/>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rsidR="00540418" w:rsidRPr="005101FF" w:rsidRDefault="00540418" w:rsidP="00540418">
      <w:pPr>
        <w:pStyle w:val="Texto"/>
        <w:spacing w:after="0" w:line="240" w:lineRule="exact"/>
        <w:ind w:left="2160" w:hanging="540"/>
        <w:rPr>
          <w:rFonts w:ascii="Soberana Sans Light" w:hAnsi="Soberana Sans Light"/>
          <w:sz w:val="22"/>
          <w:szCs w:val="22"/>
          <w:lang w:val="es-MX"/>
        </w:rPr>
      </w:pP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Al inicio del ejercicio 201</w:t>
      </w:r>
      <w:r w:rsidR="0090537A">
        <w:rPr>
          <w:rFonts w:ascii="Soberana Sans Light" w:hAnsi="Soberana Sans Light"/>
          <w:sz w:val="22"/>
          <w:szCs w:val="22"/>
          <w:lang w:val="es-MX"/>
        </w:rPr>
        <w:t>8</w:t>
      </w:r>
      <w:r>
        <w:rPr>
          <w:rFonts w:ascii="Soberana Sans Light" w:hAnsi="Soberana Sans Light"/>
          <w:sz w:val="22"/>
          <w:szCs w:val="22"/>
          <w:lang w:val="es-MX"/>
        </w:rPr>
        <w:t>, se aprobó un presupuesto de ingresos de $ 54´</w:t>
      </w:r>
      <w:r w:rsidR="0090537A">
        <w:rPr>
          <w:rFonts w:ascii="Soberana Sans Light" w:hAnsi="Soberana Sans Light"/>
          <w:sz w:val="22"/>
          <w:szCs w:val="22"/>
          <w:lang w:val="es-MX"/>
        </w:rPr>
        <w:t>594</w:t>
      </w:r>
      <w:r>
        <w:rPr>
          <w:rFonts w:ascii="Soberana Sans Light" w:hAnsi="Soberana Sans Light"/>
          <w:sz w:val="22"/>
          <w:szCs w:val="22"/>
          <w:lang w:val="es-MX"/>
        </w:rPr>
        <w:t>,</w:t>
      </w:r>
      <w:r w:rsidR="0090537A">
        <w:rPr>
          <w:rFonts w:ascii="Soberana Sans Light" w:hAnsi="Soberana Sans Light"/>
          <w:sz w:val="22"/>
          <w:szCs w:val="22"/>
          <w:lang w:val="es-MX"/>
        </w:rPr>
        <w:t>679</w:t>
      </w:r>
      <w:r>
        <w:rPr>
          <w:rFonts w:ascii="Soberana Sans Light" w:hAnsi="Soberana Sans Light"/>
          <w:sz w:val="22"/>
          <w:szCs w:val="22"/>
          <w:lang w:val="es-MX"/>
        </w:rPr>
        <w:t>. Los ingresos recaudados durante el período del 1 de enero al 3</w:t>
      </w:r>
      <w:r w:rsidR="0074010B">
        <w:rPr>
          <w:rFonts w:ascii="Soberana Sans Light" w:hAnsi="Soberana Sans Light"/>
          <w:sz w:val="22"/>
          <w:szCs w:val="22"/>
          <w:lang w:val="es-MX"/>
        </w:rPr>
        <w:t>1</w:t>
      </w:r>
      <w:r>
        <w:rPr>
          <w:rFonts w:ascii="Soberana Sans Light" w:hAnsi="Soberana Sans Light"/>
          <w:sz w:val="22"/>
          <w:szCs w:val="22"/>
          <w:lang w:val="es-MX"/>
        </w:rPr>
        <w:t xml:space="preserve"> de </w:t>
      </w:r>
      <w:r w:rsidR="0074010B">
        <w:rPr>
          <w:rFonts w:ascii="Soberana Sans Light" w:hAnsi="Soberana Sans Light"/>
          <w:sz w:val="22"/>
          <w:szCs w:val="22"/>
          <w:lang w:val="es-MX"/>
        </w:rPr>
        <w:t>dic</w:t>
      </w:r>
      <w:r w:rsidR="00D418AC">
        <w:rPr>
          <w:rFonts w:ascii="Soberana Sans Light" w:hAnsi="Soberana Sans Light"/>
          <w:sz w:val="22"/>
          <w:szCs w:val="22"/>
          <w:lang w:val="es-MX"/>
        </w:rPr>
        <w:t>iembre</w:t>
      </w:r>
      <w:r>
        <w:rPr>
          <w:rFonts w:ascii="Soberana Sans Light" w:hAnsi="Soberana Sans Light"/>
          <w:sz w:val="22"/>
          <w:szCs w:val="22"/>
          <w:lang w:val="es-MX"/>
        </w:rPr>
        <w:t xml:space="preserve"> de 201</w:t>
      </w:r>
      <w:r w:rsidR="0090537A">
        <w:rPr>
          <w:rFonts w:ascii="Soberana Sans Light" w:hAnsi="Soberana Sans Light"/>
          <w:sz w:val="22"/>
          <w:szCs w:val="22"/>
          <w:lang w:val="es-MX"/>
        </w:rPr>
        <w:t>8</w:t>
      </w:r>
      <w:r>
        <w:rPr>
          <w:rFonts w:ascii="Soberana Sans Light" w:hAnsi="Soberana Sans Light"/>
          <w:sz w:val="22"/>
          <w:szCs w:val="22"/>
          <w:lang w:val="es-MX"/>
        </w:rPr>
        <w:t>, ascendieron a la cantidad de $</w:t>
      </w:r>
      <w:r w:rsidR="0074010B">
        <w:rPr>
          <w:rFonts w:ascii="Soberana Sans Light" w:hAnsi="Soberana Sans Light"/>
          <w:sz w:val="22"/>
          <w:szCs w:val="22"/>
          <w:lang w:val="es-MX"/>
        </w:rPr>
        <w:t>58</w:t>
      </w:r>
      <w:r>
        <w:rPr>
          <w:rFonts w:ascii="Soberana Sans Light" w:hAnsi="Soberana Sans Light"/>
          <w:sz w:val="22"/>
          <w:szCs w:val="22"/>
          <w:lang w:val="es-MX"/>
        </w:rPr>
        <w:t>’</w:t>
      </w:r>
      <w:r w:rsidR="0074010B">
        <w:rPr>
          <w:rFonts w:ascii="Soberana Sans Light" w:hAnsi="Soberana Sans Light"/>
          <w:sz w:val="22"/>
          <w:szCs w:val="22"/>
          <w:lang w:val="es-MX"/>
        </w:rPr>
        <w:t>692</w:t>
      </w:r>
      <w:r>
        <w:rPr>
          <w:rFonts w:ascii="Soberana Sans Light" w:hAnsi="Soberana Sans Light"/>
          <w:sz w:val="22"/>
          <w:szCs w:val="22"/>
          <w:lang w:val="es-MX"/>
        </w:rPr>
        <w:t>,</w:t>
      </w:r>
      <w:r w:rsidR="0074010B">
        <w:rPr>
          <w:rFonts w:ascii="Soberana Sans Light" w:hAnsi="Soberana Sans Light"/>
          <w:sz w:val="22"/>
          <w:szCs w:val="22"/>
          <w:lang w:val="es-MX"/>
        </w:rPr>
        <w:t>221</w:t>
      </w:r>
      <w:r>
        <w:rPr>
          <w:rFonts w:ascii="Soberana Sans Light" w:hAnsi="Soberana Sans Light"/>
          <w:sz w:val="22"/>
          <w:szCs w:val="22"/>
          <w:lang w:val="es-MX"/>
        </w:rPr>
        <w:t>.</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Éstos se integran por: Ingresos Estatales, cuyo monto asciende a $ </w:t>
      </w:r>
      <w:r w:rsidR="00D418AC">
        <w:rPr>
          <w:rFonts w:ascii="Soberana Sans Light" w:hAnsi="Soberana Sans Light"/>
          <w:sz w:val="22"/>
          <w:szCs w:val="22"/>
          <w:lang w:val="es-MX"/>
        </w:rPr>
        <w:t>1</w:t>
      </w:r>
      <w:r w:rsidR="0074010B">
        <w:rPr>
          <w:rFonts w:ascii="Soberana Sans Light" w:hAnsi="Soberana Sans Light"/>
          <w:sz w:val="22"/>
          <w:szCs w:val="22"/>
          <w:lang w:val="es-MX"/>
        </w:rPr>
        <w:t>5</w:t>
      </w:r>
      <w:r>
        <w:rPr>
          <w:rFonts w:ascii="Soberana Sans Light" w:hAnsi="Soberana Sans Light"/>
          <w:sz w:val="22"/>
          <w:szCs w:val="22"/>
          <w:lang w:val="es-MX"/>
        </w:rPr>
        <w:t>’</w:t>
      </w:r>
      <w:r w:rsidR="0074010B">
        <w:rPr>
          <w:rFonts w:ascii="Soberana Sans Light" w:hAnsi="Soberana Sans Light"/>
          <w:sz w:val="22"/>
          <w:szCs w:val="22"/>
          <w:lang w:val="es-MX"/>
        </w:rPr>
        <w:t>899</w:t>
      </w:r>
      <w:r w:rsidR="00765D3B">
        <w:rPr>
          <w:rFonts w:ascii="Soberana Sans Light" w:hAnsi="Soberana Sans Light"/>
          <w:sz w:val="22"/>
          <w:szCs w:val="22"/>
          <w:lang w:val="es-MX"/>
        </w:rPr>
        <w:t>,</w:t>
      </w:r>
      <w:r w:rsidR="00F87663">
        <w:rPr>
          <w:rFonts w:ascii="Soberana Sans Light" w:hAnsi="Soberana Sans Light"/>
          <w:sz w:val="22"/>
          <w:szCs w:val="22"/>
          <w:lang w:val="es-MX"/>
        </w:rPr>
        <w:t>591</w:t>
      </w:r>
      <w:r>
        <w:rPr>
          <w:rFonts w:ascii="Soberana Sans Light" w:hAnsi="Soberana Sans Light"/>
          <w:sz w:val="22"/>
          <w:szCs w:val="22"/>
          <w:lang w:val="es-MX"/>
        </w:rPr>
        <w:t xml:space="preserve"> que representa un </w:t>
      </w:r>
      <w:r w:rsidR="00F87663">
        <w:rPr>
          <w:rFonts w:ascii="Soberana Sans Light" w:hAnsi="Soberana Sans Light"/>
          <w:sz w:val="22"/>
          <w:szCs w:val="22"/>
          <w:lang w:val="es-MX"/>
        </w:rPr>
        <w:t>27</w:t>
      </w:r>
      <w:r>
        <w:rPr>
          <w:rFonts w:ascii="Soberana Sans Light" w:hAnsi="Soberana Sans Light"/>
          <w:sz w:val="22"/>
          <w:szCs w:val="22"/>
          <w:lang w:val="es-MX"/>
        </w:rPr>
        <w:t>% de la recaudació</w:t>
      </w:r>
      <w:r w:rsidR="0090537A">
        <w:rPr>
          <w:rFonts w:ascii="Soberana Sans Light" w:hAnsi="Soberana Sans Light"/>
          <w:sz w:val="22"/>
          <w:szCs w:val="22"/>
          <w:lang w:val="es-MX"/>
        </w:rPr>
        <w:t>n, Aportaciones Federales por $</w:t>
      </w:r>
      <w:r w:rsidR="00F87663">
        <w:rPr>
          <w:rFonts w:ascii="Soberana Sans Light" w:hAnsi="Soberana Sans Light"/>
          <w:sz w:val="22"/>
          <w:szCs w:val="22"/>
          <w:lang w:val="es-MX"/>
        </w:rPr>
        <w:t>42</w:t>
      </w:r>
      <w:r>
        <w:rPr>
          <w:rFonts w:ascii="Soberana Sans Light" w:hAnsi="Soberana Sans Light"/>
          <w:sz w:val="22"/>
          <w:szCs w:val="22"/>
          <w:lang w:val="es-MX"/>
        </w:rPr>
        <w:t>’</w:t>
      </w:r>
      <w:r w:rsidR="00F87663">
        <w:rPr>
          <w:rFonts w:ascii="Soberana Sans Light" w:hAnsi="Soberana Sans Light"/>
          <w:sz w:val="22"/>
          <w:szCs w:val="22"/>
          <w:lang w:val="es-MX"/>
        </w:rPr>
        <w:t>775</w:t>
      </w:r>
      <w:r>
        <w:rPr>
          <w:rFonts w:ascii="Soberana Sans Light" w:hAnsi="Soberana Sans Light"/>
          <w:sz w:val="22"/>
          <w:szCs w:val="22"/>
          <w:lang w:val="es-MX"/>
        </w:rPr>
        <w:t>,</w:t>
      </w:r>
      <w:r w:rsidR="00F87663">
        <w:rPr>
          <w:rFonts w:ascii="Soberana Sans Light" w:hAnsi="Soberana Sans Light"/>
          <w:sz w:val="22"/>
          <w:szCs w:val="22"/>
          <w:lang w:val="es-MX"/>
        </w:rPr>
        <w:t>669</w:t>
      </w:r>
      <w:r>
        <w:rPr>
          <w:rFonts w:ascii="Soberana Sans Light" w:hAnsi="Soberana Sans Light"/>
          <w:sz w:val="22"/>
          <w:szCs w:val="22"/>
          <w:lang w:val="es-MX"/>
        </w:rPr>
        <w:t xml:space="preserve"> rubro que representa el </w:t>
      </w:r>
      <w:r w:rsidR="00F87663">
        <w:rPr>
          <w:rFonts w:ascii="Soberana Sans Light" w:hAnsi="Soberana Sans Light"/>
          <w:sz w:val="22"/>
          <w:szCs w:val="22"/>
          <w:lang w:val="es-MX"/>
        </w:rPr>
        <w:t>73</w:t>
      </w:r>
      <w:r>
        <w:rPr>
          <w:rFonts w:ascii="Soberana Sans Light" w:hAnsi="Soberana Sans Light"/>
          <w:sz w:val="22"/>
          <w:szCs w:val="22"/>
          <w:lang w:val="es-MX"/>
        </w:rPr>
        <w:t>% del total de los ingresos captados por el Colegio.</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Estado del Ejercicio del Presupuesto, refleja al 3</w:t>
      </w:r>
      <w:r w:rsidR="00F87663">
        <w:rPr>
          <w:rFonts w:ascii="Soberana Sans Light" w:hAnsi="Soberana Sans Light"/>
          <w:sz w:val="22"/>
          <w:szCs w:val="22"/>
          <w:lang w:val="es-MX"/>
        </w:rPr>
        <w:t>1</w:t>
      </w:r>
      <w:r>
        <w:rPr>
          <w:rFonts w:ascii="Soberana Sans Light" w:hAnsi="Soberana Sans Light"/>
          <w:sz w:val="22"/>
          <w:szCs w:val="22"/>
          <w:lang w:val="es-MX"/>
        </w:rPr>
        <w:t xml:space="preserve"> de </w:t>
      </w:r>
      <w:r w:rsidR="00F87663">
        <w:rPr>
          <w:rFonts w:ascii="Soberana Sans Light" w:hAnsi="Soberana Sans Light"/>
          <w:sz w:val="22"/>
          <w:szCs w:val="22"/>
          <w:lang w:val="es-MX"/>
        </w:rPr>
        <w:t>dic</w:t>
      </w:r>
      <w:r w:rsidR="00D418AC">
        <w:rPr>
          <w:rFonts w:ascii="Soberana Sans Light" w:hAnsi="Soberana Sans Light"/>
          <w:sz w:val="22"/>
          <w:szCs w:val="22"/>
          <w:lang w:val="es-MX"/>
        </w:rPr>
        <w:t>iembre</w:t>
      </w:r>
      <w:r>
        <w:rPr>
          <w:rFonts w:ascii="Soberana Sans Light" w:hAnsi="Soberana Sans Light"/>
          <w:sz w:val="22"/>
          <w:szCs w:val="22"/>
          <w:lang w:val="es-MX"/>
        </w:rPr>
        <w:t xml:space="preserve"> de 201</w:t>
      </w:r>
      <w:r w:rsidR="0090537A">
        <w:rPr>
          <w:rFonts w:ascii="Soberana Sans Light" w:hAnsi="Soberana Sans Light"/>
          <w:sz w:val="22"/>
          <w:szCs w:val="22"/>
          <w:lang w:val="es-MX"/>
        </w:rPr>
        <w:t>8</w:t>
      </w:r>
      <w:r>
        <w:rPr>
          <w:rFonts w:ascii="Soberana Sans Light" w:hAnsi="Soberana Sans Light"/>
          <w:sz w:val="22"/>
          <w:szCs w:val="22"/>
          <w:lang w:val="es-MX"/>
        </w:rPr>
        <w:t xml:space="preserve"> un saldo ejercido por $</w:t>
      </w:r>
      <w:r w:rsidR="00F87663">
        <w:rPr>
          <w:rFonts w:ascii="Soberana Sans Light" w:hAnsi="Soberana Sans Light"/>
          <w:sz w:val="22"/>
          <w:szCs w:val="22"/>
          <w:lang w:val="es-MX"/>
        </w:rPr>
        <w:t>57</w:t>
      </w:r>
      <w:r>
        <w:rPr>
          <w:rFonts w:ascii="Soberana Sans Light" w:hAnsi="Soberana Sans Light"/>
          <w:sz w:val="22"/>
          <w:szCs w:val="22"/>
          <w:lang w:val="es-MX"/>
        </w:rPr>
        <w:t>’</w:t>
      </w:r>
      <w:r w:rsidR="00F87663">
        <w:rPr>
          <w:rFonts w:ascii="Soberana Sans Light" w:hAnsi="Soberana Sans Light"/>
          <w:sz w:val="22"/>
          <w:szCs w:val="22"/>
          <w:lang w:val="es-MX"/>
        </w:rPr>
        <w:t>188</w:t>
      </w:r>
      <w:r>
        <w:rPr>
          <w:rFonts w:ascii="Soberana Sans Light" w:hAnsi="Soberana Sans Light"/>
          <w:sz w:val="22"/>
          <w:szCs w:val="22"/>
          <w:lang w:val="es-MX"/>
        </w:rPr>
        <w:t>,</w:t>
      </w:r>
      <w:r w:rsidR="00F87663">
        <w:rPr>
          <w:rFonts w:ascii="Soberana Sans Light" w:hAnsi="Soberana Sans Light"/>
          <w:sz w:val="22"/>
          <w:szCs w:val="22"/>
          <w:lang w:val="es-MX"/>
        </w:rPr>
        <w:t>828</w:t>
      </w:r>
      <w:r>
        <w:rPr>
          <w:rFonts w:ascii="Soberana Sans Light" w:hAnsi="Soberana Sans Light"/>
          <w:sz w:val="22"/>
          <w:szCs w:val="22"/>
          <w:lang w:val="es-MX"/>
        </w:rPr>
        <w:t>, respecto del Presupuesto Aprobado modificado Anual de $ 5</w:t>
      </w:r>
      <w:r w:rsidR="00F87663">
        <w:rPr>
          <w:rFonts w:ascii="Soberana Sans Light" w:hAnsi="Soberana Sans Light"/>
          <w:sz w:val="22"/>
          <w:szCs w:val="22"/>
          <w:lang w:val="es-MX"/>
        </w:rPr>
        <w:t>6</w:t>
      </w:r>
      <w:r>
        <w:rPr>
          <w:rFonts w:ascii="Soberana Sans Light" w:hAnsi="Soberana Sans Light"/>
          <w:sz w:val="22"/>
          <w:szCs w:val="22"/>
          <w:lang w:val="es-MX"/>
        </w:rPr>
        <w:t>’</w:t>
      </w:r>
      <w:r w:rsidR="0090537A">
        <w:rPr>
          <w:rFonts w:ascii="Soberana Sans Light" w:hAnsi="Soberana Sans Light"/>
          <w:sz w:val="22"/>
          <w:szCs w:val="22"/>
          <w:lang w:val="es-MX"/>
        </w:rPr>
        <w:t>594</w:t>
      </w:r>
      <w:r>
        <w:rPr>
          <w:rFonts w:ascii="Soberana Sans Light" w:hAnsi="Soberana Sans Light"/>
          <w:sz w:val="22"/>
          <w:szCs w:val="22"/>
          <w:lang w:val="es-MX"/>
        </w:rPr>
        <w:t>,</w:t>
      </w:r>
      <w:r w:rsidR="0090537A">
        <w:rPr>
          <w:rFonts w:ascii="Soberana Sans Light" w:hAnsi="Soberana Sans Light"/>
          <w:sz w:val="22"/>
          <w:szCs w:val="22"/>
          <w:lang w:val="es-MX"/>
        </w:rPr>
        <w:t>679</w:t>
      </w:r>
      <w:r>
        <w:rPr>
          <w:rFonts w:ascii="Soberana Sans Light" w:hAnsi="Soberana Sans Light"/>
          <w:sz w:val="22"/>
          <w:szCs w:val="22"/>
          <w:lang w:val="es-MX"/>
        </w:rPr>
        <w:t xml:space="preserve">, lo que representa un </w:t>
      </w:r>
      <w:r w:rsidR="00F87663">
        <w:rPr>
          <w:rFonts w:ascii="Soberana Sans Light" w:hAnsi="Soberana Sans Light"/>
          <w:sz w:val="22"/>
          <w:szCs w:val="22"/>
          <w:lang w:val="es-MX"/>
        </w:rPr>
        <w:t>101</w:t>
      </w:r>
      <w:r>
        <w:rPr>
          <w:rFonts w:ascii="Soberana Sans Light" w:hAnsi="Soberana Sans Light"/>
          <w:sz w:val="22"/>
          <w:szCs w:val="22"/>
          <w:lang w:val="es-MX"/>
        </w:rPr>
        <w:t>%.</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C3577E">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presupuesto devengado a l</w:t>
      </w:r>
      <w:r w:rsidR="0090537A">
        <w:rPr>
          <w:rFonts w:ascii="Soberana Sans Light" w:hAnsi="Soberana Sans Light"/>
          <w:sz w:val="22"/>
          <w:szCs w:val="22"/>
          <w:lang w:val="es-MX"/>
        </w:rPr>
        <w:t xml:space="preserve">a fecha que se informa fue de </w:t>
      </w:r>
      <w:r w:rsidR="00D418AC">
        <w:rPr>
          <w:rFonts w:ascii="Soberana Sans Light" w:hAnsi="Soberana Sans Light"/>
          <w:sz w:val="22"/>
          <w:szCs w:val="22"/>
          <w:lang w:val="es-MX"/>
        </w:rPr>
        <w:t>$</w:t>
      </w:r>
      <w:r w:rsidR="00F87663">
        <w:rPr>
          <w:rFonts w:ascii="Soberana Sans Light" w:hAnsi="Soberana Sans Light"/>
          <w:sz w:val="22"/>
          <w:szCs w:val="22"/>
          <w:lang w:val="es-MX"/>
        </w:rPr>
        <w:t>57</w:t>
      </w:r>
      <w:r w:rsidR="00D418AC">
        <w:rPr>
          <w:rFonts w:ascii="Soberana Sans Light" w:hAnsi="Soberana Sans Light"/>
          <w:sz w:val="22"/>
          <w:szCs w:val="22"/>
          <w:lang w:val="es-MX"/>
        </w:rPr>
        <w:t>’</w:t>
      </w:r>
      <w:r w:rsidR="00F87663">
        <w:rPr>
          <w:rFonts w:ascii="Soberana Sans Light" w:hAnsi="Soberana Sans Light"/>
          <w:sz w:val="22"/>
          <w:szCs w:val="22"/>
          <w:lang w:val="es-MX"/>
        </w:rPr>
        <w:t>188</w:t>
      </w:r>
      <w:r w:rsidR="00D418AC">
        <w:rPr>
          <w:rFonts w:ascii="Soberana Sans Light" w:hAnsi="Soberana Sans Light"/>
          <w:sz w:val="22"/>
          <w:szCs w:val="22"/>
          <w:lang w:val="es-MX"/>
        </w:rPr>
        <w:t>,</w:t>
      </w:r>
      <w:r w:rsidR="00F87663">
        <w:rPr>
          <w:rFonts w:ascii="Soberana Sans Light" w:hAnsi="Soberana Sans Light"/>
          <w:sz w:val="22"/>
          <w:szCs w:val="22"/>
          <w:lang w:val="es-MX"/>
        </w:rPr>
        <w:t>828</w:t>
      </w:r>
      <w:r>
        <w:rPr>
          <w:rFonts w:ascii="Soberana Sans Light" w:hAnsi="Soberana Sans Light"/>
          <w:sz w:val="22"/>
          <w:szCs w:val="22"/>
          <w:lang w:val="es-MX"/>
        </w:rPr>
        <w:t>, de los cuales se aplicaron $</w:t>
      </w:r>
      <w:r w:rsidR="00F87663">
        <w:rPr>
          <w:rFonts w:ascii="Soberana Sans Light" w:hAnsi="Soberana Sans Light"/>
          <w:sz w:val="22"/>
          <w:szCs w:val="22"/>
          <w:lang w:val="es-MX"/>
        </w:rPr>
        <w:t>48</w:t>
      </w:r>
      <w:r>
        <w:rPr>
          <w:rFonts w:ascii="Soberana Sans Light" w:hAnsi="Soberana Sans Light"/>
          <w:sz w:val="22"/>
          <w:szCs w:val="22"/>
          <w:lang w:val="es-MX"/>
        </w:rPr>
        <w:t>’</w:t>
      </w:r>
      <w:r w:rsidR="00F87663">
        <w:rPr>
          <w:rFonts w:ascii="Soberana Sans Light" w:hAnsi="Soberana Sans Light"/>
          <w:sz w:val="22"/>
          <w:szCs w:val="22"/>
          <w:lang w:val="es-MX"/>
        </w:rPr>
        <w:t>472</w:t>
      </w:r>
      <w:r>
        <w:rPr>
          <w:rFonts w:ascii="Soberana Sans Light" w:hAnsi="Soberana Sans Light"/>
          <w:sz w:val="22"/>
          <w:szCs w:val="22"/>
          <w:lang w:val="es-MX"/>
        </w:rPr>
        <w:t>,</w:t>
      </w:r>
      <w:r w:rsidR="00F87663">
        <w:rPr>
          <w:rFonts w:ascii="Soberana Sans Light" w:hAnsi="Soberana Sans Light"/>
          <w:sz w:val="22"/>
          <w:szCs w:val="22"/>
          <w:lang w:val="es-MX"/>
        </w:rPr>
        <w:t>672</w:t>
      </w:r>
      <w:r>
        <w:rPr>
          <w:rFonts w:ascii="Soberana Sans Light" w:hAnsi="Soberana Sans Light"/>
          <w:sz w:val="22"/>
          <w:szCs w:val="22"/>
          <w:lang w:val="es-MX"/>
        </w:rPr>
        <w:t xml:space="preserve"> en el capítulo 1000 Servicios Personales, representando el 8</w:t>
      </w:r>
      <w:r w:rsidR="00F87663">
        <w:rPr>
          <w:rFonts w:ascii="Soberana Sans Light" w:hAnsi="Soberana Sans Light"/>
          <w:sz w:val="22"/>
          <w:szCs w:val="22"/>
          <w:lang w:val="es-MX"/>
        </w:rPr>
        <w:t>5</w:t>
      </w:r>
      <w:r>
        <w:rPr>
          <w:rFonts w:ascii="Soberana Sans Light" w:hAnsi="Soberana Sans Light"/>
          <w:sz w:val="22"/>
          <w:szCs w:val="22"/>
          <w:lang w:val="es-MX"/>
        </w:rPr>
        <w:t xml:space="preserve">%, asimismo en el capítulo 2000 Materiales y suministros se destinaron $ </w:t>
      </w:r>
      <w:r w:rsidR="00F87663">
        <w:rPr>
          <w:rFonts w:ascii="Soberana Sans Light" w:hAnsi="Soberana Sans Light"/>
          <w:sz w:val="22"/>
          <w:szCs w:val="22"/>
          <w:lang w:val="es-MX"/>
        </w:rPr>
        <w:t>2</w:t>
      </w:r>
      <w:r w:rsidR="00D418AC">
        <w:rPr>
          <w:rFonts w:ascii="Soberana Sans Light" w:hAnsi="Soberana Sans Light"/>
          <w:sz w:val="22"/>
          <w:szCs w:val="22"/>
          <w:lang w:val="es-MX"/>
        </w:rPr>
        <w:t>’</w:t>
      </w:r>
      <w:r w:rsidR="00F87663">
        <w:rPr>
          <w:rFonts w:ascii="Soberana Sans Light" w:hAnsi="Soberana Sans Light"/>
          <w:sz w:val="22"/>
          <w:szCs w:val="22"/>
          <w:lang w:val="es-MX"/>
        </w:rPr>
        <w:t>197</w:t>
      </w:r>
      <w:r>
        <w:rPr>
          <w:rFonts w:ascii="Soberana Sans Light" w:hAnsi="Soberana Sans Light"/>
          <w:sz w:val="22"/>
          <w:szCs w:val="22"/>
          <w:lang w:val="es-MX"/>
        </w:rPr>
        <w:t>,</w:t>
      </w:r>
      <w:r w:rsidR="00F87663">
        <w:rPr>
          <w:rFonts w:ascii="Soberana Sans Light" w:hAnsi="Soberana Sans Light"/>
          <w:sz w:val="22"/>
          <w:szCs w:val="22"/>
          <w:lang w:val="es-MX"/>
        </w:rPr>
        <w:t>229</w:t>
      </w:r>
      <w:r>
        <w:rPr>
          <w:rFonts w:ascii="Soberana Sans Light" w:hAnsi="Soberana Sans Light"/>
          <w:sz w:val="22"/>
          <w:szCs w:val="22"/>
          <w:lang w:val="es-MX"/>
        </w:rPr>
        <w:t>, que representa el 4% del total de</w:t>
      </w:r>
      <w:r w:rsidR="00F87663">
        <w:rPr>
          <w:rFonts w:ascii="Soberana Sans Light" w:hAnsi="Soberana Sans Light"/>
          <w:sz w:val="22"/>
          <w:szCs w:val="22"/>
          <w:lang w:val="es-MX"/>
        </w:rPr>
        <w:t>v</w:t>
      </w:r>
      <w:r>
        <w:rPr>
          <w:rFonts w:ascii="Soberana Sans Light" w:hAnsi="Soberana Sans Light"/>
          <w:sz w:val="22"/>
          <w:szCs w:val="22"/>
          <w:lang w:val="es-MX"/>
        </w:rPr>
        <w:t xml:space="preserve">engado, además de un importe de $ </w:t>
      </w:r>
      <w:r w:rsidR="00F87663">
        <w:rPr>
          <w:rFonts w:ascii="Soberana Sans Light" w:hAnsi="Soberana Sans Light"/>
          <w:sz w:val="22"/>
          <w:szCs w:val="22"/>
          <w:lang w:val="es-MX"/>
        </w:rPr>
        <w:t>5</w:t>
      </w:r>
      <w:r w:rsidR="00EA2138">
        <w:rPr>
          <w:rFonts w:ascii="Soberana Sans Light" w:hAnsi="Soberana Sans Light"/>
          <w:sz w:val="22"/>
          <w:szCs w:val="22"/>
          <w:lang w:val="es-MX"/>
        </w:rPr>
        <w:t>’</w:t>
      </w:r>
      <w:r w:rsidR="00F87663">
        <w:rPr>
          <w:rFonts w:ascii="Soberana Sans Light" w:hAnsi="Soberana Sans Light"/>
          <w:sz w:val="22"/>
          <w:szCs w:val="22"/>
          <w:lang w:val="es-MX"/>
        </w:rPr>
        <w:t>621</w:t>
      </w:r>
      <w:r>
        <w:rPr>
          <w:rFonts w:ascii="Soberana Sans Light" w:hAnsi="Soberana Sans Light"/>
          <w:sz w:val="22"/>
          <w:szCs w:val="22"/>
          <w:lang w:val="es-MX"/>
        </w:rPr>
        <w:t>,</w:t>
      </w:r>
      <w:r w:rsidR="00F87663">
        <w:rPr>
          <w:rFonts w:ascii="Soberana Sans Light" w:hAnsi="Soberana Sans Light"/>
          <w:sz w:val="22"/>
          <w:szCs w:val="22"/>
          <w:lang w:val="es-MX"/>
        </w:rPr>
        <w:t>160</w:t>
      </w:r>
      <w:r>
        <w:rPr>
          <w:rFonts w:ascii="Soberana Sans Light" w:hAnsi="Soberana Sans Light"/>
          <w:sz w:val="22"/>
          <w:szCs w:val="22"/>
          <w:lang w:val="es-MX"/>
        </w:rPr>
        <w:t xml:space="preserve"> en el capítulo 3000 Servicio</w:t>
      </w:r>
      <w:r w:rsidR="0090537A">
        <w:rPr>
          <w:rFonts w:ascii="Soberana Sans Light" w:hAnsi="Soberana Sans Light"/>
          <w:sz w:val="22"/>
          <w:szCs w:val="22"/>
          <w:lang w:val="es-MX"/>
        </w:rPr>
        <w:t xml:space="preserve">s generales, que constituye un </w:t>
      </w:r>
      <w:r w:rsidR="00F87663">
        <w:rPr>
          <w:rFonts w:ascii="Soberana Sans Light" w:hAnsi="Soberana Sans Light"/>
          <w:sz w:val="22"/>
          <w:szCs w:val="22"/>
          <w:lang w:val="es-MX"/>
        </w:rPr>
        <w:t>10</w:t>
      </w:r>
      <w:r w:rsidR="0090537A">
        <w:rPr>
          <w:rFonts w:ascii="Soberana Sans Light" w:hAnsi="Soberana Sans Light"/>
          <w:sz w:val="22"/>
          <w:szCs w:val="22"/>
          <w:lang w:val="es-MX"/>
        </w:rPr>
        <w:t>%</w:t>
      </w:r>
      <w:r>
        <w:rPr>
          <w:rFonts w:ascii="Soberana Sans Light" w:hAnsi="Soberana Sans Light"/>
          <w:sz w:val="22"/>
          <w:szCs w:val="22"/>
          <w:lang w:val="es-MX"/>
        </w:rPr>
        <w:t xml:space="preserve"> del total.</w:t>
      </w:r>
      <w:r w:rsidR="00EA2138">
        <w:rPr>
          <w:rFonts w:ascii="Soberana Sans Light" w:hAnsi="Soberana Sans Light"/>
          <w:sz w:val="22"/>
          <w:szCs w:val="22"/>
          <w:lang w:val="es-MX"/>
        </w:rPr>
        <w:t xml:space="preserve"> El 1% restante fue aplicado en el capítulo 5000 Bienes Muebles, Inmuebles e Intangibles, por un monto de </w:t>
      </w:r>
      <w:r w:rsidR="00C3577E">
        <w:rPr>
          <w:rFonts w:ascii="Soberana Sans Light" w:hAnsi="Soberana Sans Light"/>
          <w:sz w:val="22"/>
          <w:szCs w:val="22"/>
          <w:lang w:val="es-MX"/>
        </w:rPr>
        <w:t xml:space="preserve">          </w:t>
      </w:r>
      <w:r w:rsidR="00EA2138">
        <w:rPr>
          <w:rFonts w:ascii="Soberana Sans Light" w:hAnsi="Soberana Sans Light"/>
          <w:sz w:val="22"/>
          <w:szCs w:val="22"/>
          <w:lang w:val="es-MX"/>
        </w:rPr>
        <w:t xml:space="preserve">$ </w:t>
      </w:r>
      <w:r w:rsidR="00F87663">
        <w:rPr>
          <w:rFonts w:ascii="Soberana Sans Light" w:hAnsi="Soberana Sans Light"/>
          <w:sz w:val="22"/>
          <w:szCs w:val="22"/>
          <w:lang w:val="es-MX"/>
        </w:rPr>
        <w:t>8</w:t>
      </w:r>
      <w:r w:rsidR="00D418AC">
        <w:rPr>
          <w:rFonts w:ascii="Soberana Sans Light" w:hAnsi="Soberana Sans Light"/>
          <w:sz w:val="22"/>
          <w:szCs w:val="22"/>
          <w:lang w:val="es-MX"/>
        </w:rPr>
        <w:t>9</w:t>
      </w:r>
      <w:r w:rsidR="00F87663">
        <w:rPr>
          <w:rFonts w:ascii="Soberana Sans Light" w:hAnsi="Soberana Sans Light"/>
          <w:sz w:val="22"/>
          <w:szCs w:val="22"/>
          <w:lang w:val="es-MX"/>
        </w:rPr>
        <w:t>7</w:t>
      </w:r>
      <w:r w:rsidR="00EA2138">
        <w:rPr>
          <w:rFonts w:ascii="Soberana Sans Light" w:hAnsi="Soberana Sans Light"/>
          <w:sz w:val="22"/>
          <w:szCs w:val="22"/>
          <w:lang w:val="es-MX"/>
        </w:rPr>
        <w:t>,</w:t>
      </w:r>
      <w:r w:rsidR="00F87663">
        <w:rPr>
          <w:rFonts w:ascii="Soberana Sans Light" w:hAnsi="Soberana Sans Light"/>
          <w:sz w:val="22"/>
          <w:szCs w:val="22"/>
          <w:lang w:val="es-MX"/>
        </w:rPr>
        <w:t>767</w:t>
      </w:r>
      <w:r w:rsidR="00EA2138">
        <w:rPr>
          <w:rFonts w:ascii="Soberana Sans Light" w:hAnsi="Soberana Sans Light"/>
          <w:sz w:val="22"/>
          <w:szCs w:val="22"/>
          <w:lang w:val="es-MX"/>
        </w:rPr>
        <w:t>.</w:t>
      </w:r>
    </w:p>
    <w:p w:rsidR="00BC3256" w:rsidRPr="005101FF" w:rsidRDefault="00BC3256"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w:t>
      </w:r>
      <w:proofErr w:type="spellStart"/>
      <w:r w:rsidRPr="005101FF">
        <w:rPr>
          <w:rFonts w:ascii="Soberana Sans Light" w:eastAsia="Times New Roman" w:hAnsi="Soberana Sans Light" w:cs="Arial"/>
          <w:lang w:eastAsia="es-ES"/>
        </w:rPr>
        <w:t>SNB</w:t>
      </w:r>
      <w:proofErr w:type="spellEnd"/>
      <w:r w:rsidRPr="005101FF">
        <w:rPr>
          <w:rFonts w:ascii="Soberana Sans Light" w:eastAsia="Times New Roman" w:hAnsi="Soberana Sans Light" w:cs="Arial"/>
          <w:lang w:eastAsia="es-ES"/>
        </w:rPr>
        <w:t>)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w:t>
      </w:r>
      <w:proofErr w:type="spellStart"/>
      <w:r w:rsidRPr="005101FF">
        <w:rPr>
          <w:rFonts w:ascii="Soberana Sans Light" w:eastAsia="Times New Roman" w:hAnsi="Soberana Sans Light" w:cs="Arial"/>
          <w:lang w:eastAsia="es-ES"/>
        </w:rPr>
        <w:t>MMFD</w:t>
      </w:r>
      <w:proofErr w:type="spellEnd"/>
      <w:r w:rsidRPr="005101FF">
        <w:rPr>
          <w:rFonts w:ascii="Soberana Sans Light" w:eastAsia="Times New Roman" w:hAnsi="Soberana Sans Light" w:cs="Arial"/>
          <w:lang w:eastAsia="es-ES"/>
        </w:rPr>
        <w:t>)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Amaxac de Guerrero, Santa Apolonia Teacalco y San Jerónimo Zacualpan, así como la Dirección General, misma que se encuentra en la localidad de </w:t>
      </w:r>
      <w:proofErr w:type="spellStart"/>
      <w:r w:rsidRPr="005101FF">
        <w:rPr>
          <w:rFonts w:ascii="Soberana Sans Light" w:hAnsi="Soberana Sans Light"/>
          <w:sz w:val="22"/>
          <w:szCs w:val="22"/>
          <w:lang w:val="es-MX"/>
        </w:rPr>
        <w:t>Ixtulco</w:t>
      </w:r>
      <w:proofErr w:type="spellEnd"/>
      <w:r w:rsidRPr="005101FF">
        <w:rPr>
          <w:rFonts w:ascii="Soberana Sans Light" w:hAnsi="Soberana Sans Light"/>
          <w:sz w:val="22"/>
          <w:szCs w:val="22"/>
          <w:lang w:val="es-MX"/>
        </w:rPr>
        <w:t>,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Amaxac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Amaxac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Amaxac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w:t>
      </w:r>
      <w:proofErr w:type="spellStart"/>
      <w:r w:rsidRPr="005101FF">
        <w:rPr>
          <w:rFonts w:ascii="Soberana Sans Light" w:hAnsi="Soberana Sans Light"/>
          <w:sz w:val="22"/>
          <w:szCs w:val="22"/>
          <w:lang w:val="es-MX"/>
        </w:rPr>
        <w:t>TZACUALPAN</w:t>
      </w:r>
      <w:proofErr w:type="spellEnd"/>
      <w:r w:rsidRPr="005101FF">
        <w:rPr>
          <w:rFonts w:ascii="Soberana Sans Light" w:hAnsi="Soberana Sans Light"/>
          <w:sz w:val="22"/>
          <w:szCs w:val="22"/>
          <w:lang w:val="es-MX"/>
        </w:rPr>
        <w:t>"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xml:space="preserve">, con una extensión territorial de 7,560 </w:t>
      </w:r>
      <w:proofErr w:type="spellStart"/>
      <w:r w:rsidRPr="005101FF">
        <w:rPr>
          <w:rFonts w:ascii="Soberana Sans Light" w:hAnsi="Soberana Sans Light"/>
          <w:sz w:val="22"/>
          <w:szCs w:val="22"/>
          <w:lang w:val="es-MX"/>
        </w:rPr>
        <w:t>Km2</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42624C" w:rsidRPr="005101FF" w:rsidRDefault="0042624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lastRenderedPageBreak/>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 xml:space="preserve">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w:t>
      </w:r>
      <w:proofErr w:type="spellStart"/>
      <w:r w:rsidR="00F23597" w:rsidRPr="005101FF">
        <w:rPr>
          <w:rFonts w:ascii="Soberana Sans Light" w:eastAsiaTheme="minorHAnsi" w:hAnsi="Soberana Sans Light" w:cstheme="minorBidi"/>
          <w:sz w:val="22"/>
          <w:szCs w:val="22"/>
          <w:lang w:val="es-MX" w:eastAsia="en-US"/>
        </w:rPr>
        <w:t>CONAC</w:t>
      </w:r>
      <w:proofErr w:type="spellEnd"/>
      <w:r w:rsidR="00F23597" w:rsidRPr="005101FF">
        <w:rPr>
          <w:rFonts w:ascii="Soberana Sans Light" w:eastAsiaTheme="minorHAnsi" w:hAnsi="Soberana Sans Light" w:cstheme="minorBidi"/>
          <w:sz w:val="22"/>
          <w:szCs w:val="22"/>
          <w:lang w:val="es-MX" w:eastAsia="en-US"/>
        </w:rPr>
        <w:t>.</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w:t>
      </w:r>
      <w:proofErr w:type="spellStart"/>
      <w:r w:rsidRPr="005101FF">
        <w:rPr>
          <w:rFonts w:ascii="Soberana Sans Light" w:hAnsi="Soberana Sans Light"/>
        </w:rPr>
        <w:t>IMCP</w:t>
      </w:r>
      <w:proofErr w:type="spellEnd"/>
      <w:r w:rsidRPr="005101FF">
        <w:rPr>
          <w:rFonts w:ascii="Soberana Sans Light" w:hAnsi="Soberana Sans Light"/>
        </w:rPr>
        <w:t>),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w:t>
      </w:r>
      <w:proofErr w:type="spellStart"/>
      <w:r w:rsidRPr="005101FF">
        <w:rPr>
          <w:rFonts w:ascii="Soberana Sans Light" w:eastAsia="Times New Roman" w:hAnsi="Soberana Sans Light" w:cs="Arial"/>
          <w:lang w:eastAsia="es-ES"/>
        </w:rPr>
        <w:t>PCGA</w:t>
      </w:r>
      <w:proofErr w:type="spellEnd"/>
      <w:r w:rsidRPr="005101FF">
        <w:rPr>
          <w:rFonts w:ascii="Soberana Sans Light" w:eastAsia="Times New Roman" w:hAnsi="Soberana Sans Light" w:cs="Arial"/>
          <w:lang w:eastAsia="es-ES"/>
        </w:rPr>
        <w:t xml:space="preserve">) y circulares emitidos en el pasado por el </w:t>
      </w:r>
      <w:proofErr w:type="spellStart"/>
      <w:r w:rsidRPr="005101FF">
        <w:rPr>
          <w:rFonts w:ascii="Soberana Sans Light" w:eastAsia="Times New Roman" w:hAnsi="Soberana Sans Light" w:cs="Arial"/>
          <w:lang w:eastAsia="es-ES"/>
        </w:rPr>
        <w:t>IMCP</w:t>
      </w:r>
      <w:proofErr w:type="spellEnd"/>
      <w:r w:rsidRPr="005101FF">
        <w:rPr>
          <w:rFonts w:ascii="Soberana Sans Light" w:eastAsia="Times New Roman" w:hAnsi="Soberana Sans Light" w:cs="Arial"/>
          <w:lang w:eastAsia="es-ES"/>
        </w:rPr>
        <w:t xml:space="preserve">, fueron transferidos al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El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decidió renombrar los </w:t>
      </w:r>
      <w:proofErr w:type="spellStart"/>
      <w:r w:rsidRPr="005101FF">
        <w:rPr>
          <w:rFonts w:ascii="Soberana Sans Light" w:eastAsia="Times New Roman" w:hAnsi="Soberana Sans Light" w:cs="Arial"/>
          <w:lang w:eastAsia="es-ES"/>
        </w:rPr>
        <w:t>PCGA</w:t>
      </w:r>
      <w:proofErr w:type="spellEnd"/>
      <w:r w:rsidRPr="005101FF">
        <w:rPr>
          <w:rFonts w:ascii="Soberana Sans Light" w:eastAsia="Times New Roman" w:hAnsi="Soberana Sans Light" w:cs="Arial"/>
          <w:lang w:eastAsia="es-ES"/>
        </w:rPr>
        <w:t xml:space="preserve"> como Normas de Información Financiera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o en su caso, Interpretaciones a las Normas de Información Financiera (</w:t>
      </w:r>
      <w:proofErr w:type="spellStart"/>
      <w:r w:rsidRPr="005101FF">
        <w:rPr>
          <w:rFonts w:ascii="Soberana Sans Light" w:eastAsia="Times New Roman" w:hAnsi="Soberana Sans Light" w:cs="Arial"/>
          <w:lang w:eastAsia="es-ES"/>
        </w:rPr>
        <w:t>INIF</w:t>
      </w:r>
      <w:proofErr w:type="spellEnd"/>
      <w:r w:rsidRPr="005101FF">
        <w:rPr>
          <w:rFonts w:ascii="Soberana Sans Light" w:eastAsia="Times New Roman" w:hAnsi="Soberana Sans Light" w:cs="Arial"/>
          <w:lang w:eastAsia="es-ES"/>
        </w:rPr>
        <w:t xml:space="preserve">). Cuando se haga referencia genérica a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se entiende que éstas comprenden tanto las normas emitidas por la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como a los boletines emitidos por la Comisión de Principios de Contabilidad (</w:t>
      </w:r>
      <w:proofErr w:type="spellStart"/>
      <w:r w:rsidRPr="005101FF">
        <w:rPr>
          <w:rFonts w:ascii="Soberana Sans Light" w:eastAsia="Times New Roman" w:hAnsi="Soberana Sans Light" w:cs="Arial"/>
          <w:lang w:eastAsia="es-ES"/>
        </w:rPr>
        <w:t>CPC</w:t>
      </w:r>
      <w:proofErr w:type="spellEnd"/>
      <w:r w:rsidRPr="005101FF">
        <w:rPr>
          <w:rFonts w:ascii="Soberana Sans Light" w:eastAsia="Times New Roman" w:hAnsi="Soberana Sans Light" w:cs="Arial"/>
          <w:lang w:eastAsia="es-ES"/>
        </w:rPr>
        <w:t xml:space="preserve">) que le fueron transferidas al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Sin embargo, cuando se haga referencia específica a alguno de los documentos que integran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Derivado de lo anterior, la estructura de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1)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y las </w:t>
      </w:r>
      <w:proofErr w:type="spellStart"/>
      <w:r w:rsidRPr="005101FF">
        <w:rPr>
          <w:rFonts w:ascii="Soberana Sans Light" w:eastAsia="Times New Roman" w:hAnsi="Soberana Sans Light" w:cs="Arial"/>
          <w:lang w:eastAsia="es-ES"/>
        </w:rPr>
        <w:t>INIF</w:t>
      </w:r>
      <w:proofErr w:type="spellEnd"/>
      <w:r w:rsidRPr="005101FF">
        <w:rPr>
          <w:rFonts w:ascii="Soberana Sans Light" w:eastAsia="Times New Roman" w:hAnsi="Soberana Sans Light" w:cs="Arial"/>
          <w:lang w:eastAsia="es-ES"/>
        </w:rPr>
        <w:t xml:space="preserve"> emitidas por la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2) Los Boletines emitidos por la </w:t>
      </w:r>
      <w:proofErr w:type="spellStart"/>
      <w:r w:rsidRPr="005101FF">
        <w:rPr>
          <w:rFonts w:ascii="Soberana Sans Light" w:eastAsia="Times New Roman" w:hAnsi="Soberana Sans Light" w:cs="Arial"/>
          <w:lang w:eastAsia="es-ES"/>
        </w:rPr>
        <w:t>CPC</w:t>
      </w:r>
      <w:proofErr w:type="spellEnd"/>
      <w:r w:rsidRPr="005101FF">
        <w:rPr>
          <w:rFonts w:ascii="Soberana Sans Light" w:eastAsia="Times New Roman" w:hAnsi="Soberana Sans Light" w:cs="Arial"/>
          <w:lang w:eastAsia="es-ES"/>
        </w:rPr>
        <w:t xml:space="preserve">, que no han sido modificados, sustituidos o derogados por las nuevas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w:t>
      </w:r>
      <w:proofErr w:type="spellStart"/>
      <w:r w:rsidRPr="005101FF">
        <w:rPr>
          <w:rFonts w:ascii="Soberana Sans Light" w:eastAsia="Times New Roman" w:hAnsi="Soberana Sans Light" w:cs="Arial"/>
          <w:lang w:eastAsia="es-ES"/>
        </w:rPr>
        <w:t>NIIF</w:t>
      </w:r>
      <w:proofErr w:type="spellEnd"/>
      <w:r w:rsidRPr="005101FF">
        <w:rPr>
          <w:rFonts w:ascii="Soberana Sans Light" w:eastAsia="Times New Roman" w:hAnsi="Soberana Sans Light" w:cs="Arial"/>
          <w:lang w:eastAsia="es-ES"/>
        </w:rPr>
        <w:t>)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A-3, incluye, en adición al estado de situación financiera, el estado de cambios a las cuentas patrimoniales y el Estado de Flujo de Efectivo, atendiendo lo establecido en las Normas de Información Financieras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2008) en su Boletín B-2, Apéndices 1 a 65, y Apéndice A-Caso práctico de determinación  del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lastRenderedPageBreak/>
        <w:t xml:space="preserve">La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 xml:space="preserve">La </w:t>
      </w:r>
      <w:proofErr w:type="spellStart"/>
      <w:r w:rsidRPr="005101FF">
        <w:rPr>
          <w:rFonts w:ascii="Soberana Sans Light" w:hAnsi="Soberana Sans Light"/>
          <w:sz w:val="22"/>
          <w:szCs w:val="22"/>
          <w:lang w:val="es-MX"/>
        </w:rPr>
        <w:t>NIF</w:t>
      </w:r>
      <w:proofErr w:type="spellEnd"/>
      <w:r w:rsidRPr="005101FF">
        <w:rPr>
          <w:rFonts w:ascii="Soberana Sans Light" w:hAnsi="Soberana Sans Light"/>
          <w:sz w:val="22"/>
          <w:szCs w:val="22"/>
          <w:lang w:val="es-MX"/>
        </w:rPr>
        <w:t xml:space="preserve">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90537A" w:rsidRPr="005101FF" w:rsidRDefault="0090537A"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Reporte de la Recaudación</w:t>
      </w: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 xml:space="preserve">Transferencias Estatales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Participaciones</w:t>
      </w:r>
      <w:r w:rsidRPr="00E629F3">
        <w:rPr>
          <w:rFonts w:ascii="Soberana Sans Light" w:hAnsi="Soberana Sans Light"/>
          <w:sz w:val="22"/>
          <w:szCs w:val="22"/>
          <w:lang w:val="es-MX"/>
        </w:rPr>
        <w:tab/>
        <w:t xml:space="preserve">$   </w:t>
      </w:r>
      <w:r w:rsidR="001B1D90">
        <w:rPr>
          <w:rFonts w:ascii="Soberana Sans Light" w:hAnsi="Soberana Sans Light"/>
          <w:sz w:val="22"/>
          <w:szCs w:val="22"/>
          <w:lang w:val="es-MX"/>
        </w:rPr>
        <w:t>1</w:t>
      </w:r>
      <w:r w:rsidR="00F87663">
        <w:rPr>
          <w:rFonts w:ascii="Soberana Sans Light" w:hAnsi="Soberana Sans Light"/>
          <w:sz w:val="22"/>
          <w:szCs w:val="22"/>
          <w:lang w:val="es-MX"/>
        </w:rPr>
        <w:t>5</w:t>
      </w:r>
      <w:r w:rsidR="0090537A">
        <w:rPr>
          <w:rFonts w:ascii="Soberana Sans Light" w:hAnsi="Soberana Sans Light"/>
          <w:sz w:val="22"/>
          <w:szCs w:val="22"/>
          <w:lang w:val="es-MX"/>
        </w:rPr>
        <w:t>’</w:t>
      </w:r>
      <w:r w:rsidR="00F87663">
        <w:rPr>
          <w:rFonts w:ascii="Soberana Sans Light" w:hAnsi="Soberana Sans Light"/>
          <w:sz w:val="22"/>
          <w:szCs w:val="22"/>
          <w:lang w:val="es-MX"/>
        </w:rPr>
        <w:t>899</w:t>
      </w:r>
      <w:r w:rsidR="0090537A">
        <w:rPr>
          <w:rFonts w:ascii="Soberana Sans Light" w:hAnsi="Soberana Sans Light"/>
          <w:sz w:val="22"/>
          <w:szCs w:val="22"/>
          <w:lang w:val="es-MX"/>
        </w:rPr>
        <w:t>,</w:t>
      </w:r>
      <w:r w:rsidR="00F87663">
        <w:rPr>
          <w:rFonts w:ascii="Soberana Sans Light" w:hAnsi="Soberana Sans Light"/>
          <w:sz w:val="22"/>
          <w:szCs w:val="22"/>
          <w:lang w:val="es-MX"/>
        </w:rPr>
        <w:t>591</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 Federales</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Ramo XXXIII</w:t>
      </w:r>
      <w:r w:rsidRPr="00E629F3">
        <w:rPr>
          <w:rFonts w:ascii="Soberana Sans Light" w:hAnsi="Soberana Sans Light"/>
          <w:sz w:val="22"/>
          <w:szCs w:val="22"/>
          <w:lang w:val="es-MX"/>
        </w:rPr>
        <w:tab/>
      </w:r>
      <w:r w:rsidR="001B1D90">
        <w:rPr>
          <w:rFonts w:ascii="Soberana Sans Light" w:hAnsi="Soberana Sans Light"/>
          <w:sz w:val="22"/>
          <w:szCs w:val="22"/>
          <w:lang w:val="es-MX"/>
        </w:rPr>
        <w:tab/>
      </w:r>
      <w:r w:rsidRPr="00E629F3">
        <w:rPr>
          <w:rFonts w:ascii="Soberana Sans Light" w:hAnsi="Soberana Sans Light"/>
          <w:sz w:val="22"/>
          <w:szCs w:val="22"/>
          <w:lang w:val="es-MX"/>
        </w:rPr>
        <w:t xml:space="preserve">$   </w:t>
      </w:r>
      <w:r w:rsidR="00F87663">
        <w:rPr>
          <w:rFonts w:ascii="Soberana Sans Light" w:hAnsi="Soberana Sans Light"/>
          <w:sz w:val="22"/>
          <w:szCs w:val="22"/>
          <w:lang w:val="es-MX"/>
        </w:rPr>
        <w:t>42</w:t>
      </w:r>
      <w:r w:rsidR="0090537A">
        <w:rPr>
          <w:rFonts w:ascii="Soberana Sans Light" w:hAnsi="Soberana Sans Light"/>
          <w:sz w:val="22"/>
          <w:szCs w:val="22"/>
          <w:lang w:val="es-MX"/>
        </w:rPr>
        <w:t>’</w:t>
      </w:r>
      <w:r w:rsidR="00F87663">
        <w:rPr>
          <w:rFonts w:ascii="Soberana Sans Light" w:hAnsi="Soberana Sans Light"/>
          <w:sz w:val="22"/>
          <w:szCs w:val="22"/>
          <w:lang w:val="es-MX"/>
        </w:rPr>
        <w:t>775</w:t>
      </w:r>
      <w:r w:rsidR="0090537A">
        <w:rPr>
          <w:rFonts w:ascii="Soberana Sans Light" w:hAnsi="Soberana Sans Light"/>
          <w:sz w:val="22"/>
          <w:szCs w:val="22"/>
          <w:lang w:val="es-MX"/>
        </w:rPr>
        <w:t>,</w:t>
      </w:r>
      <w:r w:rsidR="00F87663">
        <w:rPr>
          <w:rFonts w:ascii="Soberana Sans Light" w:hAnsi="Soberana Sans Light"/>
          <w:sz w:val="22"/>
          <w:szCs w:val="22"/>
          <w:lang w:val="es-MX"/>
        </w:rPr>
        <w:t>669</w:t>
      </w:r>
    </w:p>
    <w:p w:rsidR="00765D3B" w:rsidRDefault="00765D3B" w:rsidP="00E629F3">
      <w:pPr>
        <w:pStyle w:val="Texto"/>
        <w:spacing w:after="0" w:line="240" w:lineRule="exact"/>
        <w:ind w:firstLine="0"/>
        <w:rPr>
          <w:rFonts w:ascii="Soberana Sans Light" w:hAnsi="Soberana Sans Light"/>
          <w:b/>
          <w:sz w:val="22"/>
          <w:szCs w:val="22"/>
          <w:lang w:val="es-MX"/>
        </w:rPr>
      </w:pPr>
    </w:p>
    <w:p w:rsidR="00765D3B" w:rsidRDefault="00765D3B"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637980"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v:shape id="_x0000_s1038" type="#_x0000_t75" style="position:absolute;left:0;text-align:left;margin-left:18.65pt;margin-top:22.75pt;width:656.1pt;height:87.15pt;z-index:251665408;mso-position-horizontal-relative:text;mso-position-vertical-relative:text;mso-width-relative:page;mso-height-relative:page">
            <v:imagedata r:id="rId31" o:title=""/>
            <w10:wrap type="topAndBottom"/>
          </v:shape>
          <o:OLEObject Type="Embed" ProgID="Excel.Sheet.12" ShapeID="_x0000_s1038" DrawAspect="Content" ObjectID="_1608015632" r:id="rId32"/>
        </w:object>
      </w:r>
    </w:p>
    <w:sectPr w:rsidR="00001107" w:rsidRPr="005101FF" w:rsidSect="008E3652">
      <w:headerReference w:type="even" r:id="rId33"/>
      <w:headerReference w:type="default" r:id="rId34"/>
      <w:footerReference w:type="even" r:id="rId35"/>
      <w:footerReference w:type="default" r:id="rId3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C2" w:rsidRDefault="00811EC2" w:rsidP="00EA5418">
      <w:pPr>
        <w:spacing w:after="0" w:line="240" w:lineRule="auto"/>
      </w:pPr>
      <w:r>
        <w:separator/>
      </w:r>
    </w:p>
  </w:endnote>
  <w:endnote w:type="continuationSeparator" w:id="0">
    <w:p w:rsidR="00811EC2" w:rsidRDefault="00811EC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2" w:rsidRPr="0013011C" w:rsidRDefault="00811EC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0B7C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37980" w:rsidRPr="00637980">
          <w:rPr>
            <w:rFonts w:ascii="Soberana Sans Light" w:hAnsi="Soberana Sans Light"/>
            <w:noProof/>
            <w:lang w:val="es-ES"/>
          </w:rPr>
          <w:t>26</w:t>
        </w:r>
        <w:r w:rsidRPr="0013011C">
          <w:rPr>
            <w:rFonts w:ascii="Soberana Sans Light" w:hAnsi="Soberana Sans Light"/>
          </w:rPr>
          <w:fldChar w:fldCharType="end"/>
        </w:r>
      </w:sdtContent>
    </w:sdt>
  </w:p>
  <w:p w:rsidR="00811EC2" w:rsidRDefault="00811E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2" w:rsidRPr="008E3652" w:rsidRDefault="00811EC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1145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37980" w:rsidRPr="00637980">
          <w:rPr>
            <w:rFonts w:ascii="Soberana Sans Light" w:hAnsi="Soberana Sans Light"/>
            <w:noProof/>
            <w:lang w:val="es-ES"/>
          </w:rPr>
          <w:t>27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C2" w:rsidRDefault="00811EC2" w:rsidP="00EA5418">
      <w:pPr>
        <w:spacing w:after="0" w:line="240" w:lineRule="auto"/>
      </w:pPr>
      <w:r>
        <w:separator/>
      </w:r>
    </w:p>
  </w:footnote>
  <w:footnote w:type="continuationSeparator" w:id="0">
    <w:p w:rsidR="00811EC2" w:rsidRDefault="00811EC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2" w:rsidRDefault="00811EC2">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EC2" w:rsidRDefault="00811EC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1EC2" w:rsidRDefault="00811EC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1EC2" w:rsidRPr="00275FC6" w:rsidRDefault="00811EC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EC2" w:rsidRDefault="00811EC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811EC2" w:rsidRDefault="00811EC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11EC2" w:rsidRPr="00275FC6" w:rsidRDefault="00811EC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629F3" w:rsidRDefault="00E629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629F3" w:rsidRDefault="00E629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629F3" w:rsidRPr="00275FC6" w:rsidRDefault="00E629F3"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629F3" w:rsidRDefault="00E629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E629F3" w:rsidRDefault="00E629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629F3" w:rsidRPr="00275FC6" w:rsidRDefault="00E629F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B8DC6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2" w:rsidRPr="0013011C" w:rsidRDefault="00811EC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E1A2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4"/>
  </w:num>
  <w:num w:numId="11">
    <w:abstractNumId w:val="7"/>
  </w:num>
  <w:num w:numId="12">
    <w:abstractNumId w:val="3"/>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262B8"/>
    <w:rsid w:val="00032C51"/>
    <w:rsid w:val="00036B47"/>
    <w:rsid w:val="00036CBB"/>
    <w:rsid w:val="00040466"/>
    <w:rsid w:val="000416B9"/>
    <w:rsid w:val="00042FA4"/>
    <w:rsid w:val="00045A10"/>
    <w:rsid w:val="0005301E"/>
    <w:rsid w:val="00056DA4"/>
    <w:rsid w:val="00064580"/>
    <w:rsid w:val="00066435"/>
    <w:rsid w:val="000752A6"/>
    <w:rsid w:val="0007773E"/>
    <w:rsid w:val="0008596E"/>
    <w:rsid w:val="00090787"/>
    <w:rsid w:val="0009198E"/>
    <w:rsid w:val="00092C89"/>
    <w:rsid w:val="000A0F20"/>
    <w:rsid w:val="000A1F44"/>
    <w:rsid w:val="000A3D50"/>
    <w:rsid w:val="000B0B9F"/>
    <w:rsid w:val="000B4689"/>
    <w:rsid w:val="000B5135"/>
    <w:rsid w:val="000C050E"/>
    <w:rsid w:val="000C6484"/>
    <w:rsid w:val="000D23EE"/>
    <w:rsid w:val="000D3A1D"/>
    <w:rsid w:val="00100A98"/>
    <w:rsid w:val="0010747A"/>
    <w:rsid w:val="00113371"/>
    <w:rsid w:val="0011509C"/>
    <w:rsid w:val="00121271"/>
    <w:rsid w:val="00125C91"/>
    <w:rsid w:val="0013011C"/>
    <w:rsid w:val="001330B3"/>
    <w:rsid w:val="00140419"/>
    <w:rsid w:val="00145193"/>
    <w:rsid w:val="00145E54"/>
    <w:rsid w:val="00150717"/>
    <w:rsid w:val="00155CBC"/>
    <w:rsid w:val="001577D2"/>
    <w:rsid w:val="001654CC"/>
    <w:rsid w:val="00165BB4"/>
    <w:rsid w:val="00166163"/>
    <w:rsid w:val="00173853"/>
    <w:rsid w:val="00175E05"/>
    <w:rsid w:val="001813CB"/>
    <w:rsid w:val="00183E0D"/>
    <w:rsid w:val="001840E0"/>
    <w:rsid w:val="0018632D"/>
    <w:rsid w:val="0018645D"/>
    <w:rsid w:val="00197DCF"/>
    <w:rsid w:val="001A7588"/>
    <w:rsid w:val="001B0686"/>
    <w:rsid w:val="001B1361"/>
    <w:rsid w:val="001B1B72"/>
    <w:rsid w:val="001B1D90"/>
    <w:rsid w:val="001B6054"/>
    <w:rsid w:val="001C456B"/>
    <w:rsid w:val="001C54A1"/>
    <w:rsid w:val="001C6F6E"/>
    <w:rsid w:val="001C6FD8"/>
    <w:rsid w:val="001D0182"/>
    <w:rsid w:val="001D16EC"/>
    <w:rsid w:val="001E0657"/>
    <w:rsid w:val="001E0DB5"/>
    <w:rsid w:val="001E22F4"/>
    <w:rsid w:val="001E2B50"/>
    <w:rsid w:val="001E4B04"/>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1325"/>
    <w:rsid w:val="0028701B"/>
    <w:rsid w:val="0029351F"/>
    <w:rsid w:val="002976F3"/>
    <w:rsid w:val="002A033C"/>
    <w:rsid w:val="002A0E88"/>
    <w:rsid w:val="002A6BDC"/>
    <w:rsid w:val="002A70B3"/>
    <w:rsid w:val="002B10C2"/>
    <w:rsid w:val="002B3EBB"/>
    <w:rsid w:val="002C15D7"/>
    <w:rsid w:val="002C7ECC"/>
    <w:rsid w:val="002D2E8A"/>
    <w:rsid w:val="002E0E73"/>
    <w:rsid w:val="002E278C"/>
    <w:rsid w:val="002E313B"/>
    <w:rsid w:val="002E455C"/>
    <w:rsid w:val="002F0CFD"/>
    <w:rsid w:val="00302A4C"/>
    <w:rsid w:val="00317C10"/>
    <w:rsid w:val="00320EB9"/>
    <w:rsid w:val="00322576"/>
    <w:rsid w:val="00324D3D"/>
    <w:rsid w:val="00332595"/>
    <w:rsid w:val="00336A89"/>
    <w:rsid w:val="0034217D"/>
    <w:rsid w:val="0034387F"/>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303"/>
    <w:rsid w:val="003A39F5"/>
    <w:rsid w:val="003A4433"/>
    <w:rsid w:val="003B1963"/>
    <w:rsid w:val="003B3E24"/>
    <w:rsid w:val="003B5140"/>
    <w:rsid w:val="003C228B"/>
    <w:rsid w:val="003C5CC1"/>
    <w:rsid w:val="003C6674"/>
    <w:rsid w:val="003D29A7"/>
    <w:rsid w:val="003D5DBF"/>
    <w:rsid w:val="003E54E9"/>
    <w:rsid w:val="003E7FD0"/>
    <w:rsid w:val="003F0AA7"/>
    <w:rsid w:val="003F0EA4"/>
    <w:rsid w:val="003F7B2C"/>
    <w:rsid w:val="0040411B"/>
    <w:rsid w:val="004103E7"/>
    <w:rsid w:val="00410C85"/>
    <w:rsid w:val="00417EBB"/>
    <w:rsid w:val="00420410"/>
    <w:rsid w:val="0042624C"/>
    <w:rsid w:val="00426260"/>
    <w:rsid w:val="00426807"/>
    <w:rsid w:val="004311BE"/>
    <w:rsid w:val="0043300E"/>
    <w:rsid w:val="0044253C"/>
    <w:rsid w:val="00444725"/>
    <w:rsid w:val="00446F5C"/>
    <w:rsid w:val="004513B4"/>
    <w:rsid w:val="004516F8"/>
    <w:rsid w:val="00462D71"/>
    <w:rsid w:val="00463B5C"/>
    <w:rsid w:val="004643AD"/>
    <w:rsid w:val="004714CF"/>
    <w:rsid w:val="0047648A"/>
    <w:rsid w:val="00481282"/>
    <w:rsid w:val="00484C0D"/>
    <w:rsid w:val="00496BB5"/>
    <w:rsid w:val="00497D8B"/>
    <w:rsid w:val="004A1C8A"/>
    <w:rsid w:val="004A21A3"/>
    <w:rsid w:val="004A5706"/>
    <w:rsid w:val="004B0E81"/>
    <w:rsid w:val="004B0FE1"/>
    <w:rsid w:val="004B1AB2"/>
    <w:rsid w:val="004B1EF6"/>
    <w:rsid w:val="004C0973"/>
    <w:rsid w:val="004C140B"/>
    <w:rsid w:val="004D06DD"/>
    <w:rsid w:val="004D41B8"/>
    <w:rsid w:val="004D67A9"/>
    <w:rsid w:val="004D7636"/>
    <w:rsid w:val="004E2F50"/>
    <w:rsid w:val="004E644E"/>
    <w:rsid w:val="004F5641"/>
    <w:rsid w:val="004F571F"/>
    <w:rsid w:val="00500694"/>
    <w:rsid w:val="0050147F"/>
    <w:rsid w:val="0050398C"/>
    <w:rsid w:val="005039EA"/>
    <w:rsid w:val="005101FF"/>
    <w:rsid w:val="00511F7F"/>
    <w:rsid w:val="005202DC"/>
    <w:rsid w:val="00522632"/>
    <w:rsid w:val="00522DB2"/>
    <w:rsid w:val="00522EF3"/>
    <w:rsid w:val="005322AF"/>
    <w:rsid w:val="005402F5"/>
    <w:rsid w:val="00540418"/>
    <w:rsid w:val="00542674"/>
    <w:rsid w:val="00543F49"/>
    <w:rsid w:val="00545736"/>
    <w:rsid w:val="00546864"/>
    <w:rsid w:val="0055296A"/>
    <w:rsid w:val="005562F3"/>
    <w:rsid w:val="0056673C"/>
    <w:rsid w:val="00572E71"/>
    <w:rsid w:val="00573596"/>
    <w:rsid w:val="00573756"/>
    <w:rsid w:val="00574266"/>
    <w:rsid w:val="00575928"/>
    <w:rsid w:val="005956A7"/>
    <w:rsid w:val="005A28D7"/>
    <w:rsid w:val="005A4970"/>
    <w:rsid w:val="005A7E93"/>
    <w:rsid w:val="005B26E2"/>
    <w:rsid w:val="005B55BC"/>
    <w:rsid w:val="005B789D"/>
    <w:rsid w:val="005B78F0"/>
    <w:rsid w:val="005B7ABF"/>
    <w:rsid w:val="005C5020"/>
    <w:rsid w:val="005C621F"/>
    <w:rsid w:val="005D3D25"/>
    <w:rsid w:val="005D5525"/>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58"/>
    <w:rsid w:val="006578BD"/>
    <w:rsid w:val="0067239A"/>
    <w:rsid w:val="00680EA3"/>
    <w:rsid w:val="0068190C"/>
    <w:rsid w:val="00685CA6"/>
    <w:rsid w:val="006904AB"/>
    <w:rsid w:val="006945F7"/>
    <w:rsid w:val="006A4D44"/>
    <w:rsid w:val="006A7CD6"/>
    <w:rsid w:val="006B1FE7"/>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6EC2"/>
    <w:rsid w:val="00717613"/>
    <w:rsid w:val="00720631"/>
    <w:rsid w:val="007209F2"/>
    <w:rsid w:val="007213DA"/>
    <w:rsid w:val="00722E42"/>
    <w:rsid w:val="007243AE"/>
    <w:rsid w:val="007277A5"/>
    <w:rsid w:val="0074010B"/>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B0055"/>
    <w:rsid w:val="007B1758"/>
    <w:rsid w:val="007B45A9"/>
    <w:rsid w:val="007B7D8D"/>
    <w:rsid w:val="007C00B7"/>
    <w:rsid w:val="007C049F"/>
    <w:rsid w:val="007C0583"/>
    <w:rsid w:val="007C526C"/>
    <w:rsid w:val="007C7F6A"/>
    <w:rsid w:val="007D0502"/>
    <w:rsid w:val="007D4EDE"/>
    <w:rsid w:val="007D51E3"/>
    <w:rsid w:val="007D6E9A"/>
    <w:rsid w:val="007E099E"/>
    <w:rsid w:val="007E1E3D"/>
    <w:rsid w:val="007E39A5"/>
    <w:rsid w:val="007F0D13"/>
    <w:rsid w:val="007F0EFE"/>
    <w:rsid w:val="00801E30"/>
    <w:rsid w:val="00805B30"/>
    <w:rsid w:val="0080787F"/>
    <w:rsid w:val="00811DAC"/>
    <w:rsid w:val="00811EC2"/>
    <w:rsid w:val="008121EA"/>
    <w:rsid w:val="008138DD"/>
    <w:rsid w:val="008147B7"/>
    <w:rsid w:val="008169D0"/>
    <w:rsid w:val="0082183C"/>
    <w:rsid w:val="0082438A"/>
    <w:rsid w:val="00832CCD"/>
    <w:rsid w:val="008358B8"/>
    <w:rsid w:val="00841F38"/>
    <w:rsid w:val="00851200"/>
    <w:rsid w:val="00854E97"/>
    <w:rsid w:val="008564B4"/>
    <w:rsid w:val="00864F2C"/>
    <w:rsid w:val="0086735B"/>
    <w:rsid w:val="00867FE7"/>
    <w:rsid w:val="008706D6"/>
    <w:rsid w:val="00872FA0"/>
    <w:rsid w:val="00877C36"/>
    <w:rsid w:val="00883679"/>
    <w:rsid w:val="008853B3"/>
    <w:rsid w:val="0089054E"/>
    <w:rsid w:val="008909EA"/>
    <w:rsid w:val="00890F77"/>
    <w:rsid w:val="00892082"/>
    <w:rsid w:val="008966DD"/>
    <w:rsid w:val="008A0EB2"/>
    <w:rsid w:val="008A3818"/>
    <w:rsid w:val="008A6E4D"/>
    <w:rsid w:val="008A793D"/>
    <w:rsid w:val="008B0017"/>
    <w:rsid w:val="008B462D"/>
    <w:rsid w:val="008C0B3F"/>
    <w:rsid w:val="008C481A"/>
    <w:rsid w:val="008C6AF3"/>
    <w:rsid w:val="008E3652"/>
    <w:rsid w:val="008E39D2"/>
    <w:rsid w:val="008E4B34"/>
    <w:rsid w:val="008F06B2"/>
    <w:rsid w:val="008F2C22"/>
    <w:rsid w:val="008F6D58"/>
    <w:rsid w:val="008F7013"/>
    <w:rsid w:val="00900D9D"/>
    <w:rsid w:val="00901582"/>
    <w:rsid w:val="009020F5"/>
    <w:rsid w:val="00904C81"/>
    <w:rsid w:val="0090537A"/>
    <w:rsid w:val="00916ABE"/>
    <w:rsid w:val="00920DD6"/>
    <w:rsid w:val="00922D5C"/>
    <w:rsid w:val="009324D3"/>
    <w:rsid w:val="0093492C"/>
    <w:rsid w:val="0093565A"/>
    <w:rsid w:val="009434FA"/>
    <w:rsid w:val="00957043"/>
    <w:rsid w:val="009628CF"/>
    <w:rsid w:val="009812AC"/>
    <w:rsid w:val="009834C8"/>
    <w:rsid w:val="00987DAA"/>
    <w:rsid w:val="0099201C"/>
    <w:rsid w:val="009943DA"/>
    <w:rsid w:val="009A46CB"/>
    <w:rsid w:val="009B1AD9"/>
    <w:rsid w:val="009B28D1"/>
    <w:rsid w:val="009B2B60"/>
    <w:rsid w:val="009B2CF4"/>
    <w:rsid w:val="009B6412"/>
    <w:rsid w:val="009C12F2"/>
    <w:rsid w:val="009C18C6"/>
    <w:rsid w:val="009C25DB"/>
    <w:rsid w:val="009C2BD0"/>
    <w:rsid w:val="009C52A7"/>
    <w:rsid w:val="009D2667"/>
    <w:rsid w:val="009D5D4C"/>
    <w:rsid w:val="009D6514"/>
    <w:rsid w:val="009D723B"/>
    <w:rsid w:val="009E2097"/>
    <w:rsid w:val="009E3AD5"/>
    <w:rsid w:val="009F23C4"/>
    <w:rsid w:val="00A00540"/>
    <w:rsid w:val="00A00F9A"/>
    <w:rsid w:val="00A058B3"/>
    <w:rsid w:val="00A05B78"/>
    <w:rsid w:val="00A064AC"/>
    <w:rsid w:val="00A07046"/>
    <w:rsid w:val="00A13FA4"/>
    <w:rsid w:val="00A21F8B"/>
    <w:rsid w:val="00A23B42"/>
    <w:rsid w:val="00A334E4"/>
    <w:rsid w:val="00A35FF4"/>
    <w:rsid w:val="00A363B6"/>
    <w:rsid w:val="00A37D30"/>
    <w:rsid w:val="00A40920"/>
    <w:rsid w:val="00A42D04"/>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46E2"/>
    <w:rsid w:val="00B2373F"/>
    <w:rsid w:val="00B27F80"/>
    <w:rsid w:val="00B35013"/>
    <w:rsid w:val="00B40150"/>
    <w:rsid w:val="00B50594"/>
    <w:rsid w:val="00B519B6"/>
    <w:rsid w:val="00B53892"/>
    <w:rsid w:val="00B544AA"/>
    <w:rsid w:val="00B57C78"/>
    <w:rsid w:val="00B656B2"/>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A4"/>
    <w:rsid w:val="00BD22F4"/>
    <w:rsid w:val="00BE35AC"/>
    <w:rsid w:val="00BF0D8C"/>
    <w:rsid w:val="00BF5444"/>
    <w:rsid w:val="00C0036F"/>
    <w:rsid w:val="00C066F4"/>
    <w:rsid w:val="00C105B2"/>
    <w:rsid w:val="00C13CFD"/>
    <w:rsid w:val="00C16E53"/>
    <w:rsid w:val="00C21447"/>
    <w:rsid w:val="00C236CA"/>
    <w:rsid w:val="00C34F6A"/>
    <w:rsid w:val="00C35459"/>
    <w:rsid w:val="00C3577E"/>
    <w:rsid w:val="00C35C89"/>
    <w:rsid w:val="00C401C0"/>
    <w:rsid w:val="00C431B4"/>
    <w:rsid w:val="00C4666F"/>
    <w:rsid w:val="00C506EB"/>
    <w:rsid w:val="00C51CCB"/>
    <w:rsid w:val="00C541AA"/>
    <w:rsid w:val="00C5450F"/>
    <w:rsid w:val="00C63553"/>
    <w:rsid w:val="00C63DFD"/>
    <w:rsid w:val="00C64209"/>
    <w:rsid w:val="00C71EF2"/>
    <w:rsid w:val="00C72D19"/>
    <w:rsid w:val="00C8349D"/>
    <w:rsid w:val="00C84EC1"/>
    <w:rsid w:val="00C86C59"/>
    <w:rsid w:val="00C9155D"/>
    <w:rsid w:val="00C91C5A"/>
    <w:rsid w:val="00C935F0"/>
    <w:rsid w:val="00C9473B"/>
    <w:rsid w:val="00CA0D51"/>
    <w:rsid w:val="00CB0F14"/>
    <w:rsid w:val="00CB5DB7"/>
    <w:rsid w:val="00CC1779"/>
    <w:rsid w:val="00CC19EE"/>
    <w:rsid w:val="00CC23C9"/>
    <w:rsid w:val="00CC2E28"/>
    <w:rsid w:val="00CC39B7"/>
    <w:rsid w:val="00CC4844"/>
    <w:rsid w:val="00CC5C87"/>
    <w:rsid w:val="00CC5E8E"/>
    <w:rsid w:val="00CD2472"/>
    <w:rsid w:val="00CD6D9A"/>
    <w:rsid w:val="00CD72D3"/>
    <w:rsid w:val="00CE45A6"/>
    <w:rsid w:val="00CE533A"/>
    <w:rsid w:val="00CE6657"/>
    <w:rsid w:val="00CF4C9B"/>
    <w:rsid w:val="00D00E92"/>
    <w:rsid w:val="00D055EC"/>
    <w:rsid w:val="00D07819"/>
    <w:rsid w:val="00D138C9"/>
    <w:rsid w:val="00D15776"/>
    <w:rsid w:val="00D24FA5"/>
    <w:rsid w:val="00D31AC6"/>
    <w:rsid w:val="00D33318"/>
    <w:rsid w:val="00D36FAF"/>
    <w:rsid w:val="00D418AC"/>
    <w:rsid w:val="00D43E41"/>
    <w:rsid w:val="00D44061"/>
    <w:rsid w:val="00D44728"/>
    <w:rsid w:val="00D454A2"/>
    <w:rsid w:val="00D47A5A"/>
    <w:rsid w:val="00D53688"/>
    <w:rsid w:val="00D562FF"/>
    <w:rsid w:val="00D62C4D"/>
    <w:rsid w:val="00D723CB"/>
    <w:rsid w:val="00D743CE"/>
    <w:rsid w:val="00D754CA"/>
    <w:rsid w:val="00D85F92"/>
    <w:rsid w:val="00D930C7"/>
    <w:rsid w:val="00D96298"/>
    <w:rsid w:val="00DA71B0"/>
    <w:rsid w:val="00DB05EB"/>
    <w:rsid w:val="00DD0703"/>
    <w:rsid w:val="00DD13AD"/>
    <w:rsid w:val="00DD77D9"/>
    <w:rsid w:val="00DE0D20"/>
    <w:rsid w:val="00DE210D"/>
    <w:rsid w:val="00DE219E"/>
    <w:rsid w:val="00DE3A2C"/>
    <w:rsid w:val="00DF2215"/>
    <w:rsid w:val="00DF56C9"/>
    <w:rsid w:val="00DF7B2E"/>
    <w:rsid w:val="00E12F7B"/>
    <w:rsid w:val="00E138A9"/>
    <w:rsid w:val="00E20B91"/>
    <w:rsid w:val="00E21A53"/>
    <w:rsid w:val="00E30318"/>
    <w:rsid w:val="00E32708"/>
    <w:rsid w:val="00E32CFD"/>
    <w:rsid w:val="00E3598C"/>
    <w:rsid w:val="00E370B0"/>
    <w:rsid w:val="00E37A6C"/>
    <w:rsid w:val="00E40ED6"/>
    <w:rsid w:val="00E420F2"/>
    <w:rsid w:val="00E45962"/>
    <w:rsid w:val="00E45CDE"/>
    <w:rsid w:val="00E5377C"/>
    <w:rsid w:val="00E53D78"/>
    <w:rsid w:val="00E570CA"/>
    <w:rsid w:val="00E615AD"/>
    <w:rsid w:val="00E617DF"/>
    <w:rsid w:val="00E629F3"/>
    <w:rsid w:val="00E67DD8"/>
    <w:rsid w:val="00E71557"/>
    <w:rsid w:val="00E72034"/>
    <w:rsid w:val="00EA1717"/>
    <w:rsid w:val="00EA2138"/>
    <w:rsid w:val="00EA2DEB"/>
    <w:rsid w:val="00EA5418"/>
    <w:rsid w:val="00EB1B36"/>
    <w:rsid w:val="00EB2401"/>
    <w:rsid w:val="00EB4618"/>
    <w:rsid w:val="00EB5D45"/>
    <w:rsid w:val="00ED2BD3"/>
    <w:rsid w:val="00ED2DD3"/>
    <w:rsid w:val="00ED3935"/>
    <w:rsid w:val="00ED3993"/>
    <w:rsid w:val="00ED3B48"/>
    <w:rsid w:val="00ED417F"/>
    <w:rsid w:val="00EE46FB"/>
    <w:rsid w:val="00EE718A"/>
    <w:rsid w:val="00EF7275"/>
    <w:rsid w:val="00F14126"/>
    <w:rsid w:val="00F160C7"/>
    <w:rsid w:val="00F17B07"/>
    <w:rsid w:val="00F17C0D"/>
    <w:rsid w:val="00F20FD0"/>
    <w:rsid w:val="00F215D2"/>
    <w:rsid w:val="00F22CBD"/>
    <w:rsid w:val="00F23597"/>
    <w:rsid w:val="00F26CF6"/>
    <w:rsid w:val="00F3468B"/>
    <w:rsid w:val="00F432F1"/>
    <w:rsid w:val="00F63D66"/>
    <w:rsid w:val="00F650A0"/>
    <w:rsid w:val="00F67FD1"/>
    <w:rsid w:val="00F74711"/>
    <w:rsid w:val="00F755D0"/>
    <w:rsid w:val="00F82C9A"/>
    <w:rsid w:val="00F839A2"/>
    <w:rsid w:val="00F86EC6"/>
    <w:rsid w:val="00F87663"/>
    <w:rsid w:val="00F90994"/>
    <w:rsid w:val="00FA2DC7"/>
    <w:rsid w:val="00FB09CC"/>
    <w:rsid w:val="00FB1010"/>
    <w:rsid w:val="00FB1CE6"/>
    <w:rsid w:val="00FB6CC1"/>
    <w:rsid w:val="00FC04D1"/>
    <w:rsid w:val="00FC3159"/>
    <w:rsid w:val="00FC70EB"/>
    <w:rsid w:val="00FC70F9"/>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diagramData" Target="diagrams/data1.xml"/><Relationship Id="rId21" Type="http://schemas.openxmlformats.org/officeDocument/2006/relationships/package" Target="embeddings/Hoja_de_c_lculo_de_Microsoft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package" Target="embeddings/Hoja_de_c_lculo_de_Microsoft_Excel10.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QuickStyle" Target="diagrams/quickStyle1.xml"/><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984501F2-5CC2-465C-921B-D0FE57007C4F}" type="presOf" srcId="{B4B769FC-80E9-41CD-B223-208239AF5750}" destId="{728C518C-D19E-452E-B585-7948CF851072}" srcOrd="1" destOrd="0" presId="urn:microsoft.com/office/officeart/2005/8/layout/orgChart1"/>
    <dgm:cxn modelId="{E11F8758-F285-4101-A1A7-38047B364BDA}" type="presOf" srcId="{BAC14BD9-7483-4F2C-B5E2-CC1880F3C472}" destId="{AA19D3C5-4283-41FB-9F06-3ACA1331274D}" srcOrd="0" destOrd="0" presId="urn:microsoft.com/office/officeart/2005/8/layout/orgChart1"/>
    <dgm:cxn modelId="{A663381E-ED09-4F83-AB61-0DD0DE33D0A3}" type="presOf" srcId="{C6787001-C664-4DD2-B0F0-F42795167A20}" destId="{1CD81A53-8169-4F57-88AA-2A66B3E7BCBE}" srcOrd="0" destOrd="0" presId="urn:microsoft.com/office/officeart/2005/8/layout/orgChart1"/>
    <dgm:cxn modelId="{0EC4FFE1-298D-47E0-A5E5-C2BA7B891B63}" type="presOf" srcId="{3285B5FA-D45D-40AB-8F68-1A37EF9430A2}" destId="{A9983D0A-DC36-4BBE-871A-25F9B8261118}" srcOrd="0" destOrd="0" presId="urn:microsoft.com/office/officeart/2005/8/layout/orgChart1"/>
    <dgm:cxn modelId="{1DF32429-FDB1-4E10-B316-C18B0858072B}" type="presOf" srcId="{572C9274-F807-407A-8326-F98D97AA05AE}" destId="{7DE863A7-6D75-4F80-B768-9E4F890DBCB9}" srcOrd="1" destOrd="0" presId="urn:microsoft.com/office/officeart/2005/8/layout/orgChart1"/>
    <dgm:cxn modelId="{0B20FFB9-F4CD-4E16-8E56-0218B098CBE1}" type="presOf" srcId="{6D401391-BA5D-4B0A-A9E9-C9F883A5FB04}" destId="{1D71FFA8-BD11-49FB-A3D9-4C76C84D8534}" srcOrd="0" destOrd="0" presId="urn:microsoft.com/office/officeart/2005/8/layout/orgChart1"/>
    <dgm:cxn modelId="{C32898EE-E741-4545-8FAF-BEDC26EB7F6F}" type="presOf" srcId="{572C9274-F807-407A-8326-F98D97AA05AE}" destId="{8E41C4D3-BA15-47FE-BC7F-8F2328695DD8}" srcOrd="0"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DB2C66D3-6C15-43D1-8016-7F1CB49D2C97}" type="presOf" srcId="{B4B769FC-80E9-41CD-B223-208239AF5750}" destId="{9A96F328-2DFE-4832-96D9-8816370E7D4F}" srcOrd="0" destOrd="0" presId="urn:microsoft.com/office/officeart/2005/8/layout/orgChart1"/>
    <dgm:cxn modelId="{7FEEA580-03AF-4AFB-9B19-5044BC6A6C30}" type="presOf" srcId="{6D401391-BA5D-4B0A-A9E9-C9F883A5FB04}" destId="{18231A59-F4CF-435D-8A35-AFAFF478657D}" srcOrd="1"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2BEC5F5-DC09-4226-BB17-9B1068A97F3D}" type="presOf" srcId="{CB5B5FAD-3F26-4305-B789-03995BA6970B}" destId="{AD23476F-14D5-470A-9C77-B5900C9C6C7E}" srcOrd="0" destOrd="0" presId="urn:microsoft.com/office/officeart/2005/8/layout/orgChart1"/>
    <dgm:cxn modelId="{D9119D76-FE38-41B5-99A0-EFDBEC783C83}" type="presOf" srcId="{093BCBBF-3F0D-4435-88C2-8EE8E91C8AF5}" destId="{3902DEAC-21FD-4105-9C19-66CE3BCF3C30}" srcOrd="1" destOrd="0" presId="urn:microsoft.com/office/officeart/2005/8/layout/orgChart1"/>
    <dgm:cxn modelId="{8079CC6C-9E21-41CA-B552-420770CF5A52}" type="presOf" srcId="{BAC14BD9-7483-4F2C-B5E2-CC1880F3C472}" destId="{A4E1274C-7D3D-42D4-9A5D-775E4B78B9B1}" srcOrd="1" destOrd="0" presId="urn:microsoft.com/office/officeart/2005/8/layout/orgChart1"/>
    <dgm:cxn modelId="{599DD44A-2300-4A7F-958B-5E725ABC926D}" type="presOf" srcId="{CB90A38C-59AD-4D4C-ADC5-49CCFBEDEB1B}" destId="{92D05C18-B103-4624-87FB-7A76AF4DE7F2}"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27816AEF-BD86-4AC3-822F-85E35560D2A0}" type="presOf" srcId="{75CD9B7B-9B85-4B3B-974A-9E640814F5C5}" destId="{1A96D9A3-17A9-4634-8306-6C146B0DA767}"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9A6D1E18-0A3B-4BDC-95F7-DE39680FF044}" type="presOf" srcId="{093BCBBF-3F0D-4435-88C2-8EE8E91C8AF5}" destId="{5018B519-9DF7-47BF-9C0B-280FE540FC3B}" srcOrd="0" destOrd="0" presId="urn:microsoft.com/office/officeart/2005/8/layout/orgChart1"/>
    <dgm:cxn modelId="{05EB6D00-572E-4975-85C8-05E332DB40B8}" type="presParOf" srcId="{1A96D9A3-17A9-4634-8306-6C146B0DA767}" destId="{05DE4FEE-44CA-4523-8C5C-463F01F17B40}" srcOrd="0" destOrd="0" presId="urn:microsoft.com/office/officeart/2005/8/layout/orgChart1"/>
    <dgm:cxn modelId="{AF0A54D4-1AAB-4B65-A844-8D332AB945BD}" type="presParOf" srcId="{05DE4FEE-44CA-4523-8C5C-463F01F17B40}" destId="{EF66CF6A-15E5-477C-B351-ABD913386A6C}" srcOrd="0" destOrd="0" presId="urn:microsoft.com/office/officeart/2005/8/layout/orgChart1"/>
    <dgm:cxn modelId="{B39AA344-BCE7-46EB-B9B1-BF33BD78CF2A}" type="presParOf" srcId="{EF66CF6A-15E5-477C-B351-ABD913386A6C}" destId="{1D71FFA8-BD11-49FB-A3D9-4C76C84D8534}" srcOrd="0" destOrd="0" presId="urn:microsoft.com/office/officeart/2005/8/layout/orgChart1"/>
    <dgm:cxn modelId="{3685F787-13A5-4C4C-9F9A-EBD009F35399}" type="presParOf" srcId="{EF66CF6A-15E5-477C-B351-ABD913386A6C}" destId="{18231A59-F4CF-435D-8A35-AFAFF478657D}" srcOrd="1" destOrd="0" presId="urn:microsoft.com/office/officeart/2005/8/layout/orgChart1"/>
    <dgm:cxn modelId="{67B99586-5B51-409A-AB32-1FBD7F6AE930}" type="presParOf" srcId="{05DE4FEE-44CA-4523-8C5C-463F01F17B40}" destId="{C9A483AC-D6B3-4317-867C-9EFE71D456CD}" srcOrd="1" destOrd="0" presId="urn:microsoft.com/office/officeart/2005/8/layout/orgChart1"/>
    <dgm:cxn modelId="{2F71477F-794C-4A7B-A108-3C5AE0094487}" type="presParOf" srcId="{C9A483AC-D6B3-4317-867C-9EFE71D456CD}" destId="{A9983D0A-DC36-4BBE-871A-25F9B8261118}" srcOrd="0" destOrd="0" presId="urn:microsoft.com/office/officeart/2005/8/layout/orgChart1"/>
    <dgm:cxn modelId="{88DB793E-3F60-4C9E-98BE-0C12CB627A8E}" type="presParOf" srcId="{C9A483AC-D6B3-4317-867C-9EFE71D456CD}" destId="{AB8B8198-E401-41B7-970D-3411345245B0}" srcOrd="1" destOrd="0" presId="urn:microsoft.com/office/officeart/2005/8/layout/orgChart1"/>
    <dgm:cxn modelId="{74B57BC1-7014-4155-AAA1-C7F4CAF6BB68}" type="presParOf" srcId="{AB8B8198-E401-41B7-970D-3411345245B0}" destId="{CBF9D820-1AEF-4302-901D-81BA4E9B96B5}" srcOrd="0" destOrd="0" presId="urn:microsoft.com/office/officeart/2005/8/layout/orgChart1"/>
    <dgm:cxn modelId="{38164F0A-B0D1-4964-8A5D-436DE3F243E7}" type="presParOf" srcId="{CBF9D820-1AEF-4302-901D-81BA4E9B96B5}" destId="{AA19D3C5-4283-41FB-9F06-3ACA1331274D}" srcOrd="0" destOrd="0" presId="urn:microsoft.com/office/officeart/2005/8/layout/orgChart1"/>
    <dgm:cxn modelId="{17632A2F-8E1F-4B49-9339-1D902052AEE2}" type="presParOf" srcId="{CBF9D820-1AEF-4302-901D-81BA4E9B96B5}" destId="{A4E1274C-7D3D-42D4-9A5D-775E4B78B9B1}" srcOrd="1" destOrd="0" presId="urn:microsoft.com/office/officeart/2005/8/layout/orgChart1"/>
    <dgm:cxn modelId="{5C9529D7-436C-42EA-BE8C-9F3AA04A7468}" type="presParOf" srcId="{AB8B8198-E401-41B7-970D-3411345245B0}" destId="{98031528-4323-4644-8070-5F79796E3119}" srcOrd="1" destOrd="0" presId="urn:microsoft.com/office/officeart/2005/8/layout/orgChart1"/>
    <dgm:cxn modelId="{CA1E5310-F233-4DCD-93FD-A9614C859764}" type="presParOf" srcId="{AB8B8198-E401-41B7-970D-3411345245B0}" destId="{BD7B993F-9453-434F-819D-9F75D3CA5D5E}" srcOrd="2" destOrd="0" presId="urn:microsoft.com/office/officeart/2005/8/layout/orgChart1"/>
    <dgm:cxn modelId="{FDE1E577-526B-441B-9E6B-4331858BA2B4}" type="presParOf" srcId="{C9A483AC-D6B3-4317-867C-9EFE71D456CD}" destId="{1CD81A53-8169-4F57-88AA-2A66B3E7BCBE}" srcOrd="2" destOrd="0" presId="urn:microsoft.com/office/officeart/2005/8/layout/orgChart1"/>
    <dgm:cxn modelId="{24D84034-5185-4E28-9074-131E57DBCB9C}" type="presParOf" srcId="{C9A483AC-D6B3-4317-867C-9EFE71D456CD}" destId="{A9986C5D-751A-4D22-9FC4-51ED72D59262}" srcOrd="3" destOrd="0" presId="urn:microsoft.com/office/officeart/2005/8/layout/orgChart1"/>
    <dgm:cxn modelId="{E7B0C821-CF8C-4609-80CF-EA3F19F991C4}" type="presParOf" srcId="{A9986C5D-751A-4D22-9FC4-51ED72D59262}" destId="{A9842068-07C5-417B-A4C3-3AC07B94DA46}" srcOrd="0" destOrd="0" presId="urn:microsoft.com/office/officeart/2005/8/layout/orgChart1"/>
    <dgm:cxn modelId="{2F33622C-593D-4A30-8254-9C96355E8FC3}" type="presParOf" srcId="{A9842068-07C5-417B-A4C3-3AC07B94DA46}" destId="{8E41C4D3-BA15-47FE-BC7F-8F2328695DD8}" srcOrd="0" destOrd="0" presId="urn:microsoft.com/office/officeart/2005/8/layout/orgChart1"/>
    <dgm:cxn modelId="{806167E3-27A9-448E-A8E3-BA1FCB88D76E}" type="presParOf" srcId="{A9842068-07C5-417B-A4C3-3AC07B94DA46}" destId="{7DE863A7-6D75-4F80-B768-9E4F890DBCB9}" srcOrd="1" destOrd="0" presId="urn:microsoft.com/office/officeart/2005/8/layout/orgChart1"/>
    <dgm:cxn modelId="{16A05A47-C046-4B09-9E7D-1E1EFE81357D}" type="presParOf" srcId="{A9986C5D-751A-4D22-9FC4-51ED72D59262}" destId="{63F12EAC-2138-4792-A103-F2333D7B4516}" srcOrd="1" destOrd="0" presId="urn:microsoft.com/office/officeart/2005/8/layout/orgChart1"/>
    <dgm:cxn modelId="{48F04339-3EC0-43EE-9B46-EBE7C9E344D5}" type="presParOf" srcId="{A9986C5D-751A-4D22-9FC4-51ED72D59262}" destId="{99352219-7273-4F79-9BAF-A36A4E5641DB}" srcOrd="2" destOrd="0" presId="urn:microsoft.com/office/officeart/2005/8/layout/orgChart1"/>
    <dgm:cxn modelId="{690BE1BC-0413-402A-B319-78D9367490F0}" type="presParOf" srcId="{C9A483AC-D6B3-4317-867C-9EFE71D456CD}" destId="{92D05C18-B103-4624-87FB-7A76AF4DE7F2}" srcOrd="4" destOrd="0" presId="urn:microsoft.com/office/officeart/2005/8/layout/orgChart1"/>
    <dgm:cxn modelId="{8542D01E-7685-4622-8208-A5310C9B9AC8}" type="presParOf" srcId="{C9A483AC-D6B3-4317-867C-9EFE71D456CD}" destId="{E35D4166-CD12-48D3-ADF0-0D6DBD79CE51}" srcOrd="5" destOrd="0" presId="urn:microsoft.com/office/officeart/2005/8/layout/orgChart1"/>
    <dgm:cxn modelId="{8C4F5D2F-97AE-40F6-AE7D-AF308E847871}" type="presParOf" srcId="{E35D4166-CD12-48D3-ADF0-0D6DBD79CE51}" destId="{86183F36-1D42-41A3-86C0-4DEFBE416347}" srcOrd="0" destOrd="0" presId="urn:microsoft.com/office/officeart/2005/8/layout/orgChart1"/>
    <dgm:cxn modelId="{5512270C-31FC-4A23-88AB-3D196335E865}" type="presParOf" srcId="{86183F36-1D42-41A3-86C0-4DEFBE416347}" destId="{9A96F328-2DFE-4832-96D9-8816370E7D4F}" srcOrd="0" destOrd="0" presId="urn:microsoft.com/office/officeart/2005/8/layout/orgChart1"/>
    <dgm:cxn modelId="{25FAE9A9-DCF6-463B-B996-10CE09CA8F5D}" type="presParOf" srcId="{86183F36-1D42-41A3-86C0-4DEFBE416347}" destId="{728C518C-D19E-452E-B585-7948CF851072}" srcOrd="1" destOrd="0" presId="urn:microsoft.com/office/officeart/2005/8/layout/orgChart1"/>
    <dgm:cxn modelId="{7FEDACFB-C852-48F1-A83C-4EA05394961D}" type="presParOf" srcId="{E35D4166-CD12-48D3-ADF0-0D6DBD79CE51}" destId="{F4FBEF98-A220-4F44-8333-A8FE168C17FB}" srcOrd="1" destOrd="0" presId="urn:microsoft.com/office/officeart/2005/8/layout/orgChart1"/>
    <dgm:cxn modelId="{AC1C7F98-114E-45E3-895C-9DD787F25E92}" type="presParOf" srcId="{E35D4166-CD12-48D3-ADF0-0D6DBD79CE51}" destId="{BD4A963A-F502-445B-8B40-33C4965C6226}" srcOrd="2" destOrd="0" presId="urn:microsoft.com/office/officeart/2005/8/layout/orgChart1"/>
    <dgm:cxn modelId="{00BD8B47-A10B-4A18-BF15-D87B93D00FB6}" type="presParOf" srcId="{05DE4FEE-44CA-4523-8C5C-463F01F17B40}" destId="{90D7821B-0096-4263-B4CA-62A4B8182550}" srcOrd="2" destOrd="0" presId="urn:microsoft.com/office/officeart/2005/8/layout/orgChart1"/>
    <dgm:cxn modelId="{FA49D1C9-81BE-4655-81F8-AE760F75E077}" type="presParOf" srcId="{90D7821B-0096-4263-B4CA-62A4B8182550}" destId="{AD23476F-14D5-470A-9C77-B5900C9C6C7E}" srcOrd="0" destOrd="0" presId="urn:microsoft.com/office/officeart/2005/8/layout/orgChart1"/>
    <dgm:cxn modelId="{E8F419D9-FE29-466E-973C-2AF42684C186}" type="presParOf" srcId="{90D7821B-0096-4263-B4CA-62A4B8182550}" destId="{8351BEC7-77BF-4FB9-B4F7-EAF77B914604}" srcOrd="1" destOrd="0" presId="urn:microsoft.com/office/officeart/2005/8/layout/orgChart1"/>
    <dgm:cxn modelId="{E3FE3001-2C21-4697-ADD4-D9FF5A75F299}" type="presParOf" srcId="{8351BEC7-77BF-4FB9-B4F7-EAF77B914604}" destId="{C6113CDF-25FF-4E05-8D75-EF726589DA00}" srcOrd="0" destOrd="0" presId="urn:microsoft.com/office/officeart/2005/8/layout/orgChart1"/>
    <dgm:cxn modelId="{24AECC0B-0320-477B-96C2-29189691BF78}" type="presParOf" srcId="{C6113CDF-25FF-4E05-8D75-EF726589DA00}" destId="{5018B519-9DF7-47BF-9C0B-280FE540FC3B}" srcOrd="0" destOrd="0" presId="urn:microsoft.com/office/officeart/2005/8/layout/orgChart1"/>
    <dgm:cxn modelId="{A462EC13-7C72-4F85-9B75-B77B04341E73}" type="presParOf" srcId="{C6113CDF-25FF-4E05-8D75-EF726589DA00}" destId="{3902DEAC-21FD-4105-9C19-66CE3BCF3C30}" srcOrd="1" destOrd="0" presId="urn:microsoft.com/office/officeart/2005/8/layout/orgChart1"/>
    <dgm:cxn modelId="{4AD02ECC-86EB-4045-9ABB-DDB04D145B04}" type="presParOf" srcId="{8351BEC7-77BF-4FB9-B4F7-EAF77B914604}" destId="{C6D3111D-E3B2-4DE5-B0A0-2E241E08C3E6}" srcOrd="1" destOrd="0" presId="urn:microsoft.com/office/officeart/2005/8/layout/orgChart1"/>
    <dgm:cxn modelId="{1CB16471-F1F1-4663-8747-AC9F72E6026E}"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1E2D-53EA-4241-B596-87F05A1E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28</Pages>
  <Words>4589</Words>
  <Characters>25244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46</cp:revision>
  <cp:lastPrinted>2018-12-28T17:31:00Z</cp:lastPrinted>
  <dcterms:created xsi:type="dcterms:W3CDTF">2017-12-21T07:00:00Z</dcterms:created>
  <dcterms:modified xsi:type="dcterms:W3CDTF">2019-01-03T16:14:00Z</dcterms:modified>
</cp:coreProperties>
</file>