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801956"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7.5pt;margin-top:39pt;width:759pt;height:385.4pt;z-index:251682816">
            <v:imagedata r:id="rId8" o:title=""/>
            <w10:wrap type="square" side="left"/>
          </v:shape>
          <o:OLEObject Type="Embed" ProgID="Excel.Sheet.12" ShapeID="_x0000_s1101" DrawAspect="Content" ObjectID="_1585154186" r:id="rId9"/>
        </w:object>
      </w:r>
      <w:r w:rsidR="00014FBC">
        <w:tab/>
      </w:r>
    </w:p>
    <w:p w:rsidR="002F522F" w:rsidRDefault="002F522F" w:rsidP="00DC5E3A"/>
    <w:p w:rsidR="002F522F" w:rsidRDefault="00801956" w:rsidP="00DC5E3A">
      <w:r>
        <w:rPr>
          <w:noProof/>
          <w:lang w:val="es-ES" w:eastAsia="es-ES"/>
        </w:rPr>
        <w:lastRenderedPageBreak/>
        <w:object w:dxaOrig="1440" w:dyaOrig="1440">
          <v:shape id="_x0000_s1104" type="#_x0000_t75" style="position:absolute;margin-left:-36.4pt;margin-top:10.9pt;width:761.5pt;height:396.3pt;z-index:251684864">
            <v:imagedata r:id="rId10" o:title=""/>
            <w10:wrap type="square" side="right"/>
          </v:shape>
          <o:OLEObject Type="Embed" ProgID="Excel.Sheet.12" ShapeID="_x0000_s1104" DrawAspect="Content" ObjectID="_1585154187" r:id="rId11"/>
        </w:object>
      </w:r>
    </w:p>
    <w:p w:rsidR="006579B4" w:rsidRDefault="006579B4" w:rsidP="00DC5E3A"/>
    <w:p w:rsidR="006579B4" w:rsidRDefault="00801956" w:rsidP="00DC5E3A">
      <w:r>
        <w:rPr>
          <w:noProof/>
        </w:rPr>
        <w:object w:dxaOrig="1440" w:dyaOrig="1440">
          <v:shape id="_x0000_s1102" type="#_x0000_t75" style="position:absolute;margin-left:-39.7pt;margin-top:0;width:768.7pt;height:452.25pt;z-index:251683840">
            <v:imagedata r:id="rId12" o:title=""/>
            <w10:wrap type="square" side="right"/>
          </v:shape>
          <o:OLEObject Type="Embed" ProgID="Excel.Sheet.12" ShapeID="_x0000_s1102" DrawAspect="Content" ObjectID="_1585154188" r:id="rId13"/>
        </w:object>
      </w:r>
    </w:p>
    <w:p w:rsidR="002F34A0" w:rsidRDefault="00801956" w:rsidP="00DC5E3A">
      <w:r>
        <w:rPr>
          <w:noProof/>
          <w:lang w:eastAsia="en-US"/>
        </w:rPr>
        <w:object w:dxaOrig="1440" w:dyaOrig="1440">
          <v:shape id="_x0000_s1059" type="#_x0000_t75" style="position:absolute;margin-left:0;margin-top:0;width:750.8pt;height:415pt;z-index:251670528;mso-position-horizontal:center">
            <v:imagedata r:id="rId14" o:title=""/>
            <w10:wrap type="square" side="right"/>
          </v:shape>
          <o:OLEObject Type="Embed" ProgID="Excel.Sheet.12" ShapeID="_x0000_s1059" DrawAspect="Content" ObjectID="_1585154189" r:id="rId15"/>
        </w:object>
      </w:r>
    </w:p>
    <w:p w:rsidR="006579B4" w:rsidRDefault="006579B4" w:rsidP="00DC5E3A"/>
    <w:p w:rsidR="006579B4" w:rsidRDefault="00801956" w:rsidP="00DC5E3A">
      <w:r>
        <w:rPr>
          <w:noProof/>
          <w:lang w:eastAsia="en-US"/>
        </w:rPr>
        <w:object w:dxaOrig="1440" w:dyaOrig="1440">
          <v:shape id="_x0000_s1046" type="#_x0000_t75" style="position:absolute;margin-left:-43.65pt;margin-top:4.55pt;width:765.1pt;height:430.45pt;z-index:251664384">
            <v:imagedata r:id="rId16" o:title=""/>
            <w10:wrap type="square" side="left"/>
          </v:shape>
          <o:OLEObject Type="Embed" ProgID="Excel.Sheet.12" ShapeID="_x0000_s1046" DrawAspect="Content" ObjectID="_1585154190" r:id="rId17"/>
        </w:object>
      </w:r>
    </w:p>
    <w:p w:rsidR="002F34A0" w:rsidRDefault="00EC20C8" w:rsidP="00DC5E3A">
      <w:r>
        <w:rPr>
          <w:noProof/>
        </w:rPr>
        <w:object w:dxaOrig="1440" w:dyaOrig="1440">
          <v:shape id="_x0000_s1106" type="#_x0000_t75" style="position:absolute;margin-left:-9.3pt;margin-top:.25pt;width:714.25pt;height:397.8pt;z-index:251686912;mso-position-horizontal-relative:text;mso-position-vertical-relative:text">
            <v:imagedata r:id="rId18" o:title=""/>
            <w10:wrap type="square"/>
          </v:shape>
          <o:OLEObject Type="Embed" ProgID="Excel.Sheet.12" ShapeID="_x0000_s1106" DrawAspect="Content" ObjectID="_1585154191" r:id="rId19"/>
        </w:object>
      </w:r>
    </w:p>
    <w:p w:rsidR="00E8011D" w:rsidRDefault="00E8011D" w:rsidP="005046AE">
      <w:bookmarkStart w:id="0" w:name="_MON_1470814596"/>
      <w:bookmarkStart w:id="1" w:name="_MON_1470809138"/>
      <w:bookmarkEnd w:id="0"/>
      <w:bookmarkEnd w:id="1"/>
    </w:p>
    <w:p w:rsidR="00D04F8D" w:rsidRDefault="00801956" w:rsidP="003A45E5">
      <w:pPr>
        <w:jc w:val="center"/>
        <w:rPr>
          <w:rFonts w:ascii="Arial" w:hAnsi="Arial" w:cs="Arial"/>
          <w:b/>
          <w:sz w:val="18"/>
          <w:szCs w:val="18"/>
        </w:rPr>
      </w:pPr>
      <w:bookmarkStart w:id="2" w:name="_GoBack"/>
      <w:r>
        <w:rPr>
          <w:noProof/>
        </w:rPr>
        <w:object w:dxaOrig="1440" w:dyaOrig="1440">
          <v:shape id="_x0000_s1076" type="#_x0000_t75" style="position:absolute;left:0;text-align:left;margin-left:-37.5pt;margin-top:1.05pt;width:775.2pt;height:419.75pt;z-index:251681792">
            <v:imagedata r:id="rId20" o:title=""/>
            <w10:wrap type="square" side="right"/>
          </v:shape>
          <o:OLEObject Type="Embed" ProgID="Excel.Sheet.12" ShapeID="_x0000_s1076" DrawAspect="Content" ObjectID="_1585154192" r:id="rId21"/>
        </w:object>
      </w:r>
      <w:bookmarkEnd w:id="2"/>
    </w:p>
    <w:p w:rsidR="00D04F8D" w:rsidRDefault="00D04F8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A45E5" w:rsidRDefault="003A45E5"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E8011D" w:rsidRDefault="00E8011D" w:rsidP="00540418">
      <w:pPr>
        <w:pStyle w:val="Texto"/>
        <w:spacing w:after="0" w:line="240" w:lineRule="exact"/>
        <w:jc w:val="center"/>
        <w:rPr>
          <w:b/>
          <w:szCs w:val="18"/>
        </w:rPr>
      </w:pPr>
    </w:p>
    <w:p w:rsidR="001A70DF" w:rsidRDefault="001A70DF"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F8293D" w:rsidRDefault="00F8293D" w:rsidP="00F8293D">
      <w:pPr>
        <w:pStyle w:val="ROMANOS"/>
        <w:tabs>
          <w:tab w:val="clear" w:pos="720"/>
          <w:tab w:val="left" w:pos="284"/>
        </w:tabs>
        <w:spacing w:after="0" w:line="276" w:lineRule="auto"/>
        <w:ind w:left="284" w:firstLine="4"/>
        <w:rPr>
          <w:lang w:val="es-MX"/>
        </w:rPr>
      </w:pPr>
      <w:r w:rsidRPr="008B1C62">
        <w:rPr>
          <w:lang w:val="es-MX"/>
        </w:rPr>
        <w:t xml:space="preserve">Se informa el efectivo y equivalentes cuya cantidad es de </w:t>
      </w:r>
      <w:r>
        <w:rPr>
          <w:lang w:val="es-MX"/>
        </w:rPr>
        <w:t xml:space="preserve">$19, 818,907.87 </w:t>
      </w:r>
      <w:r w:rsidRPr="008B1C62">
        <w:rPr>
          <w:lang w:val="es-MX"/>
        </w:rPr>
        <w:t xml:space="preserve">de la cual </w:t>
      </w:r>
      <w:r>
        <w:rPr>
          <w:lang w:val="es-MX"/>
        </w:rPr>
        <w:t>$19, 600,297.05</w:t>
      </w:r>
      <w:r w:rsidRPr="008B1C62">
        <w:rPr>
          <w:lang w:val="es-MX"/>
        </w:rPr>
        <w:t xml:space="preserve"> corresponde a inversiones a corto plazo (20 días), mismos que corresponden a recursos de los partidos políticos, derivados de sus actividades específicas mismos que pueden solicitarlas hasta el 31 de diciembre del presente ejercicio y prerrogativas de actividades ordinarias</w:t>
      </w:r>
      <w:r>
        <w:rPr>
          <w:lang w:val="es-MX"/>
        </w:rPr>
        <w:t xml:space="preserve"> por sanciones que están en proceso de resolución derivado de impugnación</w:t>
      </w:r>
      <w:r w:rsidRPr="008B1C62">
        <w:rPr>
          <w:lang w:val="es-MX"/>
        </w:rPr>
        <w:t>.</w:t>
      </w:r>
    </w:p>
    <w:p w:rsidR="00F8293D" w:rsidRPr="008B1C62" w:rsidRDefault="00F8293D" w:rsidP="00F8293D">
      <w:pPr>
        <w:pStyle w:val="ROMANOS"/>
        <w:tabs>
          <w:tab w:val="clear" w:pos="720"/>
          <w:tab w:val="left" w:pos="284"/>
        </w:tabs>
        <w:spacing w:after="0" w:line="276" w:lineRule="auto"/>
        <w:ind w:left="284" w:firstLine="4"/>
        <w:rPr>
          <w:lang w:val="es-MX"/>
        </w:rPr>
      </w:pPr>
    </w:p>
    <w:p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3A45E5">
        <w:rPr>
          <w:lang w:val="es-MX"/>
        </w:rPr>
        <w:t xml:space="preserve"> 5</w:t>
      </w:r>
      <w:r w:rsidR="00F8293D">
        <w:rPr>
          <w:lang w:val="es-MX"/>
        </w:rPr>
        <w:t>56,733</w:t>
      </w:r>
      <w:r w:rsidR="00E10EFD">
        <w:rPr>
          <w:lang w:val="es-MX"/>
        </w:rPr>
        <w:t>.89</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E10EFD" w:rsidRDefault="00540418" w:rsidP="00744CAB">
      <w:pPr>
        <w:pStyle w:val="ROMANOS"/>
        <w:spacing w:after="0" w:line="276" w:lineRule="auto"/>
        <w:rPr>
          <w:b/>
          <w:lang w:val="es-MX"/>
        </w:rPr>
      </w:pPr>
      <w:r w:rsidRPr="00744CAB">
        <w:rPr>
          <w:b/>
          <w:lang w:val="es-MX"/>
        </w:rPr>
        <w:tab/>
      </w:r>
    </w:p>
    <w:p w:rsidR="00E10EFD" w:rsidRDefault="00E10EFD"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Pr="00656CCB" w:rsidRDefault="00E10EFD" w:rsidP="00F8293D">
            <w:pPr>
              <w:pStyle w:val="ROMANOS"/>
              <w:spacing w:after="0" w:line="276" w:lineRule="auto"/>
              <w:ind w:left="0" w:firstLine="0"/>
              <w:jc w:val="center"/>
              <w:rPr>
                <w:lang w:val="es-MX"/>
              </w:rPr>
            </w:pPr>
            <w:r>
              <w:rPr>
                <w:lang w:val="es-MX"/>
              </w:rPr>
              <w:t>3,</w:t>
            </w:r>
            <w:r w:rsidR="00F8293D">
              <w:rPr>
                <w:lang w:val="es-MX"/>
              </w:rPr>
              <w:t>960</w:t>
            </w:r>
            <w:r>
              <w:rPr>
                <w:lang w:val="es-MX"/>
              </w:rPr>
              <w:t>,</w:t>
            </w:r>
            <w:r w:rsidR="00F8293D">
              <w:rPr>
                <w:lang w:val="es-MX"/>
              </w:rPr>
              <w:t>468</w:t>
            </w:r>
            <w:r>
              <w:rPr>
                <w:lang w:val="es-MX"/>
              </w:rPr>
              <w:t>.</w:t>
            </w:r>
            <w:r w:rsidR="00F8293D">
              <w:rPr>
                <w:lang w:val="es-MX"/>
              </w:rPr>
              <w:t>05</w:t>
            </w: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D57F57" w:rsidRDefault="00F8293D" w:rsidP="008A03FD">
            <w:pPr>
              <w:pStyle w:val="ROMANOS"/>
              <w:spacing w:after="0" w:line="276" w:lineRule="auto"/>
              <w:ind w:left="0" w:firstLine="0"/>
              <w:jc w:val="center"/>
              <w:rPr>
                <w:lang w:val="es-MX"/>
              </w:rPr>
            </w:pPr>
            <w:r>
              <w:rPr>
                <w:lang w:val="es-MX"/>
              </w:rPr>
              <w:t>250</w:t>
            </w:r>
            <w:r w:rsidR="00340730">
              <w:rPr>
                <w:lang w:val="es-MX"/>
              </w:rPr>
              <w:t>,</w:t>
            </w:r>
            <w:r>
              <w:rPr>
                <w:lang w:val="es-MX"/>
              </w:rPr>
              <w:t>699.76</w:t>
            </w:r>
          </w:p>
          <w:p w:rsidR="00C73CB5" w:rsidRPr="00C270A2" w:rsidRDefault="00C73CB5" w:rsidP="008A03FD">
            <w:pPr>
              <w:pStyle w:val="ROMANOS"/>
              <w:spacing w:after="0" w:line="276" w:lineRule="auto"/>
              <w:ind w:left="0" w:firstLine="0"/>
              <w:jc w:val="center"/>
              <w:rPr>
                <w:lang w:val="es-MX"/>
              </w:rPr>
            </w:pPr>
          </w:p>
        </w:tc>
        <w:tc>
          <w:tcPr>
            <w:tcW w:w="6890" w:type="dxa"/>
          </w:tcPr>
          <w:p w:rsidR="00D57F57" w:rsidRPr="00C270A2" w:rsidRDefault="00003AB0" w:rsidP="008A03FD">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B34D8C">
              <w:rPr>
                <w:lang w:val="es-MX"/>
              </w:rPr>
              <w:t>enero</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licitaciones</w:t>
      </w:r>
      <w:r w:rsidR="00340730">
        <w:rPr>
          <w:lang w:val="es-MX"/>
        </w:rPr>
        <w:t>)</w:t>
      </w:r>
      <w:r>
        <w:rPr>
          <w:lang w:val="es-MX"/>
        </w:rPr>
        <w:t xml:space="preserve">     </w:t>
      </w:r>
      <w:r w:rsidR="00D32688">
        <w:rPr>
          <w:lang w:val="es-MX"/>
        </w:rPr>
        <w:tab/>
      </w:r>
      <w:r w:rsidR="00340730">
        <w:rPr>
          <w:lang w:val="es-MX"/>
        </w:rPr>
        <w:t xml:space="preserve"> </w:t>
      </w:r>
      <w:r w:rsidR="00F8293D">
        <w:rPr>
          <w:lang w:val="es-MX"/>
        </w:rPr>
        <w:t xml:space="preserve">                  </w:t>
      </w:r>
      <w:r w:rsidR="00340730">
        <w:rPr>
          <w:lang w:val="es-MX"/>
        </w:rPr>
        <w:t>4</w:t>
      </w:r>
      <w:r w:rsidR="00F8293D">
        <w:rPr>
          <w:lang w:val="es-MX"/>
        </w:rPr>
        <w:t>8,176.72</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bancarios)</w:t>
      </w:r>
      <w:r w:rsidR="008A03FD">
        <w:rPr>
          <w:lang w:val="es-MX"/>
        </w:rPr>
        <w:t xml:space="preserve">                             </w:t>
      </w:r>
      <w:r w:rsidR="00340730">
        <w:rPr>
          <w:lang w:val="es-MX"/>
        </w:rPr>
        <w:t xml:space="preserve">          </w:t>
      </w:r>
      <w:r w:rsidR="008A03FD">
        <w:rPr>
          <w:lang w:val="es-MX"/>
        </w:rPr>
        <w:t xml:space="preserve"> </w:t>
      </w:r>
      <w:r w:rsidR="00F8293D">
        <w:rPr>
          <w:lang w:val="es-MX"/>
        </w:rPr>
        <w:t>218,610.82</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w:t>
      </w:r>
    </w:p>
    <w:p w:rsidR="00E77D5B" w:rsidRDefault="004C02A0" w:rsidP="00F8293D">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(Recursos</w:t>
      </w:r>
      <w:r w:rsidR="008A03FD">
        <w:rPr>
          <w:lang w:val="es-MX"/>
        </w:rPr>
        <w:t xml:space="preserve">  </w:t>
      </w:r>
      <w:r w:rsidR="00340730" w:rsidRPr="004C02A0">
        <w:rPr>
          <w:lang w:val="es-MX"/>
        </w:rPr>
        <w:t>Estatales)</w:t>
      </w:r>
      <w:r w:rsidR="00340730">
        <w:rPr>
          <w:lang w:val="es-MX"/>
        </w:rPr>
        <w:t xml:space="preserve">                        </w:t>
      </w:r>
      <w:r w:rsidR="00F8293D">
        <w:rPr>
          <w:lang w:val="es-MX"/>
        </w:rPr>
        <w:t xml:space="preserve">                  40, 559,677.00</w:t>
      </w:r>
    </w:p>
    <w:p w:rsidR="00E77D5B" w:rsidRDefault="00E77D5B"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340730" w:rsidRDefault="00340730" w:rsidP="00E77D5B">
      <w:pPr>
        <w:pStyle w:val="ROMANOS"/>
        <w:spacing w:after="0" w:line="276" w:lineRule="auto"/>
        <w:ind w:left="0" w:firstLine="0"/>
        <w:rPr>
          <w:b/>
          <w:lang w:val="es-MX"/>
        </w:rPr>
      </w:pPr>
    </w:p>
    <w:p w:rsidR="00D04F8D" w:rsidRDefault="00D04F8D" w:rsidP="001279B5">
      <w:pPr>
        <w:pStyle w:val="ROMANOS"/>
        <w:spacing w:after="0" w:line="276" w:lineRule="auto"/>
        <w:ind w:left="0" w:firstLine="0"/>
        <w:rPr>
          <w:b/>
          <w:lang w:val="es-MX"/>
        </w:rPr>
      </w:pPr>
    </w:p>
    <w:p w:rsidR="00540418" w:rsidRPr="00744CAB" w:rsidRDefault="00540418" w:rsidP="00744CAB">
      <w:pPr>
        <w:pStyle w:val="ROMANOS"/>
        <w:spacing w:after="0" w:line="276" w:lineRule="auto"/>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E9021B">
        <w:rPr>
          <w:lang w:val="es-MX"/>
        </w:rPr>
        <w:t>7</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E9021B" w:rsidP="00744CAB">
            <w:pPr>
              <w:pStyle w:val="Texto"/>
              <w:spacing w:after="0" w:line="276" w:lineRule="auto"/>
              <w:ind w:firstLine="0"/>
              <w:jc w:val="center"/>
              <w:rPr>
                <w:szCs w:val="18"/>
                <w:lang w:val="es-MX"/>
              </w:rPr>
            </w:pPr>
            <w:r>
              <w:rPr>
                <w:szCs w:val="18"/>
                <w:lang w:val="es-MX"/>
              </w:rPr>
              <w:t>2018</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E9021B" w:rsidP="00744CAB">
            <w:pPr>
              <w:pStyle w:val="Texto"/>
              <w:spacing w:after="0" w:line="276" w:lineRule="auto"/>
              <w:ind w:firstLine="0"/>
              <w:jc w:val="center"/>
              <w:rPr>
                <w:szCs w:val="18"/>
                <w:lang w:val="es-MX"/>
              </w:rPr>
            </w:pPr>
            <w:r>
              <w:rPr>
                <w:szCs w:val="18"/>
                <w:lang w:val="es-MX"/>
              </w:rPr>
              <w:t>2017</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1,567,567.62</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2,860,045.44</w:t>
            </w:r>
          </w:p>
        </w:tc>
      </w:tr>
      <w:tr w:rsidR="00E9021B"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20.071.86</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19,571.86</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18,226,268.39</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7,683.60</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5,000.00</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5,000</w:t>
            </w:r>
          </w:p>
        </w:tc>
      </w:tr>
      <w:tr w:rsidR="00E9021B"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E9021B" w:rsidRPr="00744CAB" w:rsidRDefault="00E9021B" w:rsidP="00E9021B">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19,818,907.87</w:t>
            </w:r>
          </w:p>
        </w:tc>
        <w:tc>
          <w:tcPr>
            <w:tcW w:w="2002" w:type="dxa"/>
            <w:tcBorders>
              <w:top w:val="single" w:sz="6" w:space="0" w:color="auto"/>
              <w:left w:val="single" w:sz="6" w:space="0" w:color="auto"/>
              <w:bottom w:val="single" w:sz="6" w:space="0" w:color="auto"/>
              <w:right w:val="single" w:sz="6" w:space="0" w:color="auto"/>
            </w:tcBorders>
            <w:vAlign w:val="center"/>
          </w:tcPr>
          <w:p w:rsidR="00E9021B" w:rsidRPr="00744CAB" w:rsidRDefault="00E9021B" w:rsidP="00E9021B">
            <w:pPr>
              <w:pStyle w:val="Texto"/>
              <w:spacing w:after="0" w:line="276" w:lineRule="auto"/>
              <w:ind w:firstLine="0"/>
              <w:jc w:val="right"/>
              <w:rPr>
                <w:szCs w:val="18"/>
                <w:lang w:val="es-MX"/>
              </w:rPr>
            </w:pPr>
            <w:r>
              <w:rPr>
                <w:szCs w:val="18"/>
                <w:lang w:val="es-MX"/>
              </w:rPr>
              <w:t>2,892,300.90</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Default="00B22C9D" w:rsidP="00744CAB">
      <w:pPr>
        <w:pStyle w:val="ROMANOS"/>
        <w:spacing w:after="0" w:line="276" w:lineRule="auto"/>
        <w:ind w:left="648" w:firstLine="0"/>
        <w:rPr>
          <w:lang w:val="es-MX"/>
        </w:rPr>
      </w:pPr>
    </w:p>
    <w:p w:rsidR="00A04357" w:rsidRPr="00744CAB" w:rsidRDefault="00A04357"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2016</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801956" w:rsidP="00744CAB">
      <w:pPr>
        <w:pStyle w:val="Texto"/>
        <w:spacing w:after="0" w:line="276" w:lineRule="auto"/>
        <w:rPr>
          <w:szCs w:val="18"/>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178.95pt;margin-top:31.7pt;width:407.95pt;height:211.45pt;z-index:251658240">
            <v:imagedata r:id="rId22" o:title=""/>
            <w10:wrap type="topAndBottom"/>
          </v:shape>
          <o:OLEObject Type="Embed" ProgID="Excel.Sheet.12" ShapeID="_x0000_s1028" DrawAspect="Content" ObjectID="_1585154193" r:id="rId23"/>
        </w:object>
      </w:r>
      <w:r w:rsidR="00540418"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DC4D70" w:rsidP="008B1C62">
      <w:pPr>
        <w:pStyle w:val="Texto"/>
        <w:spacing w:after="0" w:line="240" w:lineRule="exact"/>
        <w:ind w:firstLine="0"/>
        <w:rPr>
          <w:rFonts w:ascii="Soberana Sans Light" w:hAnsi="Soberana Sans Light"/>
          <w:b/>
          <w:sz w:val="22"/>
          <w:szCs w:val="22"/>
        </w:rPr>
      </w:pPr>
    </w:p>
    <w:p w:rsidR="00B34D8C" w:rsidRDefault="00B34D8C" w:rsidP="008B1C62">
      <w:pPr>
        <w:pStyle w:val="Texto"/>
        <w:spacing w:after="0" w:line="240" w:lineRule="exact"/>
        <w:ind w:firstLine="0"/>
        <w:rPr>
          <w:rFonts w:ascii="Soberana Sans Light" w:hAnsi="Soberana Sans Light"/>
          <w:b/>
          <w:sz w:val="22"/>
          <w:szCs w:val="22"/>
        </w:rPr>
      </w:pPr>
    </w:p>
    <w:p w:rsidR="00B34D8C" w:rsidRDefault="00B34D8C"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801956" w:rsidP="00663618">
      <w:pPr>
        <w:pStyle w:val="Texto"/>
        <w:tabs>
          <w:tab w:val="left" w:pos="3192"/>
        </w:tabs>
        <w:spacing w:after="0" w:line="276" w:lineRule="auto"/>
        <w:ind w:firstLine="0"/>
        <w:jc w:val="left"/>
        <w:rPr>
          <w:b/>
          <w:szCs w:val="18"/>
        </w:rPr>
      </w:pPr>
      <w:r>
        <w:rPr>
          <w:noProof/>
        </w:rPr>
        <w:object w:dxaOrig="1440" w:dyaOrig="1440">
          <v:shape id="_x0000_s1030" type="#_x0000_t75" style="position:absolute;margin-left:142.55pt;margin-top:15.2pt;width:472.4pt;height:255.35pt;z-index:251660288">
            <v:imagedata r:id="rId24" o:title=""/>
            <w10:wrap type="topAndBottom"/>
          </v:shape>
          <o:OLEObject Type="Embed" ProgID="Excel.Sheet.12" ShapeID="_x0000_s1030" DrawAspect="Content" ObjectID="_1585154194" r:id="rId25"/>
        </w:object>
      </w:r>
      <w:r w:rsidR="002C606A">
        <w:rPr>
          <w:b/>
          <w:szCs w:val="18"/>
        </w:rPr>
        <w:tab/>
      </w: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Carpinteyro, Oscar Lobatón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D04F8D"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Yareli Álvare</w:t>
      </w:r>
      <w:r w:rsidR="00170A0C">
        <w:rPr>
          <w:rFonts w:ascii="Arial" w:eastAsia="Times New Roman" w:hAnsi="Arial" w:cs="Arial"/>
          <w:sz w:val="18"/>
          <w:szCs w:val="18"/>
        </w:rPr>
        <w:t xml:space="preserve">z Meza, Raymundo Amador García </w:t>
      </w:r>
      <w:r w:rsidRPr="00322084">
        <w:rPr>
          <w:rFonts w:ascii="Arial" w:eastAsia="Times New Roman" w:hAnsi="Arial" w:cs="Arial"/>
          <w:sz w:val="18"/>
          <w:szCs w:val="18"/>
        </w:rPr>
        <w:t>Electorales por un periodo de 3 años</w:t>
      </w:r>
      <w:r w:rsidR="00B34D8C">
        <w:rPr>
          <w:rFonts w:ascii="Arial" w:eastAsia="Times New Roman" w:hAnsi="Arial" w:cs="Arial"/>
          <w:sz w:val="18"/>
          <w:szCs w:val="18"/>
        </w:rPr>
        <w:t>; Juan Carlos Minor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34D8C">
        <w:rPr>
          <w:rFonts w:ascii="Arial" w:eastAsia="Times New Roman" w:hAnsi="Arial" w:cs="Arial"/>
          <w:sz w:val="18"/>
          <w:szCs w:val="18"/>
        </w:rPr>
        <w:t>.</w:t>
      </w:r>
    </w:p>
    <w:p w:rsidR="00B34D8C" w:rsidRDefault="00B34D8C" w:rsidP="009B6A4A">
      <w:pPr>
        <w:jc w:val="both"/>
        <w:textAlignment w:val="top"/>
        <w:rPr>
          <w:rFonts w:ascii="Arial" w:eastAsia="Times New Roman" w:hAnsi="Arial" w:cs="Arial"/>
          <w:sz w:val="18"/>
          <w:szCs w:val="18"/>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E9021B">
      <w:pPr>
        <w:pStyle w:val="INCISO"/>
        <w:spacing w:after="0" w:line="276" w:lineRule="auto"/>
        <w:ind w:left="0" w:firstLine="0"/>
      </w:pPr>
    </w:p>
    <w:p w:rsidR="00DF0048" w:rsidRDefault="0065503E" w:rsidP="00B552A7">
      <w:pPr>
        <w:pStyle w:val="INCISO"/>
        <w:spacing w:after="0" w:line="276" w:lineRule="auto"/>
        <w:rPr>
          <w:rFonts w:ascii="Soberana Sans Light" w:hAnsi="Soberana Sans Light"/>
          <w:sz w:val="22"/>
          <w:szCs w:val="22"/>
        </w:rPr>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column">
                  <wp:posOffset>323850</wp:posOffset>
                </wp:positionH>
                <wp:positionV relativeFrom="paragraph">
                  <wp:posOffset>24785</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Edgar Alfonso Aldave Aguilar</w:t>
                                </w: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Closeth</w:t>
                                </w:r>
                                <w:proofErr w:type="spellEnd"/>
                              </w:p>
                              <w:p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E9021B" w:rsidP="00322084">
                                <w:pPr>
                                  <w:pStyle w:val="NormalWeb"/>
                                  <w:spacing w:after="59" w:line="216" w:lineRule="auto"/>
                                  <w:jc w:val="center"/>
                                  <w:rPr>
                                    <w:b/>
                                  </w:rPr>
                                </w:pPr>
                                <w:r>
                                  <w:rPr>
                                    <w:rFonts w:asciiTheme="minorHAnsi" w:hAnsi="Calibri" w:cstheme="minorBidi"/>
                                    <w:b/>
                                    <w:color w:val="000000" w:themeColor="dark1"/>
                                    <w:kern w:val="24"/>
                                    <w:sz w:val="14"/>
                                    <w:szCs w:val="14"/>
                                  </w:rPr>
                                  <w:t xml:space="preserve">Lic. Héctor Casas </w:t>
                                </w:r>
                                <w:proofErr w:type="spellStart"/>
                                <w:r>
                                  <w:rPr>
                                    <w:rFonts w:asciiTheme="minorHAnsi" w:hAnsi="Calibri" w:cstheme="minorBidi"/>
                                    <w:b/>
                                    <w:color w:val="000000" w:themeColor="dark1"/>
                                    <w:kern w:val="24"/>
                                    <w:sz w:val="14"/>
                                    <w:szCs w:val="14"/>
                                  </w:rPr>
                                  <w:t>Toriz</w:t>
                                </w:r>
                                <w:proofErr w:type="spellEnd"/>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25.5pt;margin-top:1.95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Edgar Alfonso Aldave Aguilar</w:t>
                          </w: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34D8C">
                            <w:rPr>
                              <w:rFonts w:asciiTheme="minorHAnsi" w:hAnsi="Calibri" w:cstheme="minorBidi"/>
                              <w:b/>
                              <w:bCs/>
                              <w:color w:val="000000" w:themeColor="dark1"/>
                              <w:kern w:val="24"/>
                              <w:sz w:val="14"/>
                              <w:szCs w:val="14"/>
                            </w:rPr>
                            <w:t>Rafael Pérez Salazar</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40730" w:rsidRDefault="00340730" w:rsidP="00322084">
                          <w:pPr>
                            <w:pStyle w:val="NormalWeb"/>
                            <w:spacing w:after="59" w:line="216" w:lineRule="auto"/>
                            <w:jc w:val="center"/>
                          </w:pP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340730" w:rsidRDefault="00340730" w:rsidP="009B2E9E">
                          <w:pPr>
                            <w:pStyle w:val="NormalWeb"/>
                            <w:spacing w:after="59" w:line="216" w:lineRule="auto"/>
                            <w:rPr>
                              <w:rFonts w:asciiTheme="minorHAnsi" w:hAnsi="Calibri" w:cstheme="minorBidi"/>
                              <w:color w:val="000000" w:themeColor="dark1"/>
                              <w:kern w:val="24"/>
                              <w:sz w:val="14"/>
                              <w:szCs w:val="14"/>
                            </w:rPr>
                          </w:pPr>
                        </w:p>
                        <w:p w:rsidR="00340730" w:rsidRDefault="00340730"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40730" w:rsidRDefault="00340730" w:rsidP="00B34D8C">
                          <w:pPr>
                            <w:pStyle w:val="NormalWeb"/>
                            <w:spacing w:after="59" w:line="216" w:lineRule="auto"/>
                            <w:jc w:val="center"/>
                          </w:pPr>
                          <w:r>
                            <w:rPr>
                              <w:rFonts w:asciiTheme="minorHAnsi" w:hAnsi="Calibri" w:cstheme="minorBidi"/>
                              <w:b/>
                              <w:bCs/>
                              <w:color w:val="000000" w:themeColor="dark1"/>
                              <w:kern w:val="24"/>
                              <w:sz w:val="14"/>
                              <w:szCs w:val="14"/>
                            </w:rPr>
                            <w:t xml:space="preserve">Ing. </w:t>
                          </w:r>
                          <w:r w:rsidR="00B34D8C">
                            <w:rPr>
                              <w:rFonts w:asciiTheme="minorHAnsi" w:hAnsi="Calibri" w:cstheme="minorBidi"/>
                              <w:b/>
                              <w:bCs/>
                              <w:color w:val="000000" w:themeColor="dark1"/>
                              <w:kern w:val="24"/>
                              <w:sz w:val="14"/>
                              <w:szCs w:val="14"/>
                            </w:rPr>
                            <w:t xml:space="preserve">Juan Pablo Ramírez </w:t>
                          </w:r>
                          <w:proofErr w:type="spellStart"/>
                          <w:r w:rsidR="00B34D8C">
                            <w:rPr>
                              <w:rFonts w:asciiTheme="minorHAnsi" w:hAnsi="Calibri" w:cstheme="minorBidi"/>
                              <w:b/>
                              <w:bCs/>
                              <w:color w:val="000000" w:themeColor="dark1"/>
                              <w:kern w:val="24"/>
                              <w:sz w:val="14"/>
                              <w:szCs w:val="14"/>
                            </w:rPr>
                            <w:t>Closeth</w:t>
                          </w:r>
                          <w:proofErr w:type="spellEnd"/>
                        </w:p>
                        <w:p w:rsidR="00340730" w:rsidRDefault="00340730"/>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E9021B" w:rsidRPr="00E9021B" w:rsidRDefault="00E9021B" w:rsidP="00322084">
                          <w:pPr>
                            <w:pStyle w:val="NormalWeb"/>
                            <w:spacing w:after="59" w:line="216" w:lineRule="auto"/>
                            <w:jc w:val="center"/>
                            <w:rPr>
                              <w:b/>
                            </w:rPr>
                          </w:pPr>
                          <w:r>
                            <w:rPr>
                              <w:rFonts w:asciiTheme="minorHAnsi" w:hAnsi="Calibri" w:cstheme="minorBidi"/>
                              <w:b/>
                              <w:color w:val="000000" w:themeColor="dark1"/>
                              <w:kern w:val="24"/>
                              <w:sz w:val="14"/>
                              <w:szCs w:val="14"/>
                            </w:rPr>
                            <w:t xml:space="preserve">Lic. Héctor Casas </w:t>
                          </w:r>
                          <w:proofErr w:type="spellStart"/>
                          <w:r>
                            <w:rPr>
                              <w:rFonts w:asciiTheme="minorHAnsi" w:hAnsi="Calibri" w:cstheme="minorBidi"/>
                              <w:b/>
                              <w:color w:val="000000" w:themeColor="dark1"/>
                              <w:kern w:val="24"/>
                              <w:sz w:val="14"/>
                              <w:szCs w:val="14"/>
                            </w:rPr>
                            <w:t>Toriz</w:t>
                          </w:r>
                          <w:proofErr w:type="spellEnd"/>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B34D8C"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1" locked="0" layoutInCell="1" allowOverlap="1" wp14:anchorId="6E7AB219" wp14:editId="740F4B3C">
                <wp:simplePos x="0" y="0"/>
                <wp:positionH relativeFrom="column">
                  <wp:posOffset>7267575</wp:posOffset>
                </wp:positionH>
                <wp:positionV relativeFrom="paragraph">
                  <wp:posOffset>108585</wp:posOffset>
                </wp:positionV>
                <wp:extent cx="1113314" cy="693519"/>
                <wp:effectExtent l="57150" t="19050" r="67945" b="87630"/>
                <wp:wrapTight wrapText="bothSides">
                  <wp:wrapPolygon edited="0">
                    <wp:start x="0" y="-593"/>
                    <wp:lineTo x="-1109" y="0"/>
                    <wp:lineTo x="-1109" y="18989"/>
                    <wp:lineTo x="0" y="23736"/>
                    <wp:lineTo x="21440" y="23736"/>
                    <wp:lineTo x="22549" y="18989"/>
                    <wp:lineTo x="22549" y="9495"/>
                    <wp:lineTo x="21809" y="593"/>
                    <wp:lineTo x="21809" y="-593"/>
                    <wp:lineTo x="0" y="-593"/>
                  </wp:wrapPolygon>
                </wp:wrapTight>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Lic. Juan Carlos Minor Márquez</w:t>
                            </w:r>
                          </w:p>
                          <w:p w:rsidR="00B34D8C" w:rsidRDefault="00B34D8C" w:rsidP="00B34D8C">
                            <w:pPr>
                              <w:jc w:val="center"/>
                            </w:pPr>
                          </w:p>
                        </w:txbxContent>
                      </wps:txbx>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E7AB219" id="61 Rectángulo redondeado" o:spid="_x0000_s1087" style="position:absolute;left:0;text-align:left;margin-left:572.25pt;margin-top:8.55pt;width:87.65pt;height:54.6pt;z-index:-25162752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" fillcolor="white [3201]" strokecolor="#7030a0">
                <v:fill opacity="59110f"/>
                <v:shadow on="t" color="black" opacity="22937f" origin=",.5" offset="0,.63889mm"/>
                <v:textbo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Lic. Juan Carlos Minor Márquez</w:t>
                      </w:r>
                    </w:p>
                    <w:p w:rsidR="00B34D8C" w:rsidRDefault="00B34D8C" w:rsidP="00B34D8C">
                      <w:pPr>
                        <w:jc w:val="center"/>
                      </w:pPr>
                    </w:p>
                  </w:txbxContent>
                </v:textbox>
                <w10:wrap type="tight"/>
              </v:roundrect>
            </w:pict>
          </mc:Fallback>
        </mc:AlternateContent>
      </w:r>
    </w:p>
    <w:p w:rsidR="00DF0048" w:rsidRDefault="00DF0048" w:rsidP="00540418">
      <w:pPr>
        <w:pStyle w:val="INCISO"/>
        <w:spacing w:after="0" w:line="240" w:lineRule="exact"/>
        <w:rPr>
          <w:rFonts w:ascii="Soberana Sans Light" w:hAnsi="Soberana Sans Light"/>
          <w:sz w:val="22"/>
          <w:szCs w:val="22"/>
        </w:rPr>
      </w:pPr>
    </w:p>
    <w:p w:rsidR="00DF0048" w:rsidRDefault="00B34D8C"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27162AB2" wp14:editId="1870BE18">
                <wp:simplePos x="0" y="0"/>
                <wp:positionH relativeFrom="column">
                  <wp:posOffset>7152005</wp:posOffset>
                </wp:positionH>
                <wp:positionV relativeFrom="paragraph">
                  <wp:posOffset>137235</wp:posOffset>
                </wp:positionV>
                <wp:extent cx="77858"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858"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CEF2F1"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63.15pt,10.8pt" to="569.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" strokecolor="#4579b8 [3044]" strokeweight=".5pt"/>
            </w:pict>
          </mc:Fallback>
        </mc:AlternateContent>
      </w: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9021B" w:rsidRDefault="00E9021B" w:rsidP="00540418">
      <w:pPr>
        <w:pStyle w:val="INCISO"/>
        <w:spacing w:after="0" w:line="240" w:lineRule="exact"/>
        <w:rPr>
          <w:rFonts w:ascii="Soberana Sans Light" w:hAnsi="Soberana Sans Light"/>
          <w:sz w:val="22"/>
          <w:szCs w:val="22"/>
        </w:rPr>
      </w:pPr>
    </w:p>
    <w:p w:rsidR="00E9021B" w:rsidRDefault="00E9021B" w:rsidP="00540418">
      <w:pPr>
        <w:pStyle w:val="INCISO"/>
        <w:spacing w:after="0" w:line="240" w:lineRule="exact"/>
        <w:rPr>
          <w:rFonts w:ascii="Soberana Sans Light" w:hAnsi="Soberana Sans Light"/>
          <w:sz w:val="22"/>
          <w:szCs w:val="22"/>
        </w:rPr>
      </w:pPr>
    </w:p>
    <w:p w:rsidR="00B34D8C" w:rsidRDefault="00B34D8C" w:rsidP="00540418">
      <w:pPr>
        <w:pStyle w:val="INCISO"/>
        <w:spacing w:after="0" w:line="240" w:lineRule="exact"/>
        <w:rPr>
          <w:rFonts w:ascii="Soberana Sans Light" w:hAnsi="Soberana Sans Light"/>
          <w:sz w:val="22"/>
          <w:szCs w:val="22"/>
        </w:rPr>
      </w:pPr>
    </w:p>
    <w:p w:rsidR="00B34D8C" w:rsidRDefault="00B34D8C"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801956"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585154195"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4E5" w:rsidRDefault="003844E5" w:rsidP="00EA5418">
      <w:pPr>
        <w:spacing w:after="0" w:line="240" w:lineRule="auto"/>
      </w:pPr>
      <w:r>
        <w:separator/>
      </w:r>
    </w:p>
  </w:endnote>
  <w:endnote w:type="continuationSeparator" w:id="0">
    <w:p w:rsidR="003844E5" w:rsidRDefault="003844E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01956" w:rsidRPr="00801956">
          <w:rPr>
            <w:rFonts w:ascii="Soberana Sans Light" w:hAnsi="Soberana Sans Light"/>
            <w:noProof/>
            <w:lang w:val="es-ES"/>
          </w:rPr>
          <w:t>8</w:t>
        </w:r>
        <w:r w:rsidRPr="0013011C">
          <w:rPr>
            <w:rFonts w:ascii="Soberana Sans Light" w:hAnsi="Soberana Sans Light"/>
          </w:rPr>
          <w:fldChar w:fldCharType="end"/>
        </w:r>
      </w:sdtContent>
    </w:sdt>
  </w:p>
  <w:p w:rsidR="00340730" w:rsidRDefault="00340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01956" w:rsidRPr="00801956">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4E5" w:rsidRDefault="003844E5" w:rsidP="00EA5418">
      <w:pPr>
        <w:spacing w:after="0" w:line="240" w:lineRule="auto"/>
      </w:pPr>
      <w:r>
        <w:separator/>
      </w:r>
    </w:p>
  </w:footnote>
  <w:footnote w:type="continuationSeparator" w:id="0">
    <w:p w:rsidR="003844E5" w:rsidRDefault="003844E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235B">
                                <w:rPr>
                                  <w:rFonts w:ascii="Soberana Titular" w:hAnsi="Soberana Titular" w:cs="Arial"/>
                                  <w:color w:val="808080" w:themeColor="background1" w:themeShade="80"/>
                                  <w:sz w:val="42"/>
                                  <w:szCs w:val="42"/>
                                </w:rPr>
                                <w:t>8</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8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8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235B">
                          <w:rPr>
                            <w:rFonts w:ascii="Soberana Titular" w:hAnsi="Soberana Titular" w:cs="Arial"/>
                            <w:color w:val="808080" w:themeColor="background1" w:themeShade="80"/>
                            <w:sz w:val="42"/>
                            <w:szCs w:val="42"/>
                          </w:rPr>
                          <w:t>8</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179F"/>
    <w:rsid w:val="00003AB0"/>
    <w:rsid w:val="00004580"/>
    <w:rsid w:val="00014FBC"/>
    <w:rsid w:val="000159FF"/>
    <w:rsid w:val="00015EF2"/>
    <w:rsid w:val="000337B7"/>
    <w:rsid w:val="00040466"/>
    <w:rsid w:val="00043C2E"/>
    <w:rsid w:val="00045A10"/>
    <w:rsid w:val="00053A6F"/>
    <w:rsid w:val="000549D3"/>
    <w:rsid w:val="00062BEB"/>
    <w:rsid w:val="00070157"/>
    <w:rsid w:val="000861A9"/>
    <w:rsid w:val="00087942"/>
    <w:rsid w:val="00090DCA"/>
    <w:rsid w:val="000A1127"/>
    <w:rsid w:val="000A51CF"/>
    <w:rsid w:val="000A5F85"/>
    <w:rsid w:val="000A69F2"/>
    <w:rsid w:val="000B6B71"/>
    <w:rsid w:val="000C0598"/>
    <w:rsid w:val="000D43E4"/>
    <w:rsid w:val="000E4555"/>
    <w:rsid w:val="000F047F"/>
    <w:rsid w:val="000F64E7"/>
    <w:rsid w:val="0010699A"/>
    <w:rsid w:val="00106A74"/>
    <w:rsid w:val="0010794B"/>
    <w:rsid w:val="00120AB9"/>
    <w:rsid w:val="001225AF"/>
    <w:rsid w:val="0012582C"/>
    <w:rsid w:val="00125ABD"/>
    <w:rsid w:val="001279B5"/>
    <w:rsid w:val="0013011C"/>
    <w:rsid w:val="0014008D"/>
    <w:rsid w:val="00147341"/>
    <w:rsid w:val="0015516C"/>
    <w:rsid w:val="001600A5"/>
    <w:rsid w:val="00165BB4"/>
    <w:rsid w:val="00170A0C"/>
    <w:rsid w:val="0019294B"/>
    <w:rsid w:val="00193FE6"/>
    <w:rsid w:val="00194344"/>
    <w:rsid w:val="001A03A8"/>
    <w:rsid w:val="001A165F"/>
    <w:rsid w:val="001A2D48"/>
    <w:rsid w:val="001A3DDC"/>
    <w:rsid w:val="001A70DF"/>
    <w:rsid w:val="001B025E"/>
    <w:rsid w:val="001B08DA"/>
    <w:rsid w:val="001B1143"/>
    <w:rsid w:val="001B12A7"/>
    <w:rsid w:val="001B1B72"/>
    <w:rsid w:val="001B1EB5"/>
    <w:rsid w:val="001B36A4"/>
    <w:rsid w:val="001C3F5C"/>
    <w:rsid w:val="001C6FD8"/>
    <w:rsid w:val="001D147D"/>
    <w:rsid w:val="001E36E0"/>
    <w:rsid w:val="001E5A56"/>
    <w:rsid w:val="001E7072"/>
    <w:rsid w:val="001F1723"/>
    <w:rsid w:val="001F32BA"/>
    <w:rsid w:val="00200BE9"/>
    <w:rsid w:val="00204C86"/>
    <w:rsid w:val="0020512D"/>
    <w:rsid w:val="00223BE9"/>
    <w:rsid w:val="00231D96"/>
    <w:rsid w:val="00252316"/>
    <w:rsid w:val="00256582"/>
    <w:rsid w:val="0025659D"/>
    <w:rsid w:val="00262391"/>
    <w:rsid w:val="00264426"/>
    <w:rsid w:val="002810CF"/>
    <w:rsid w:val="002860FE"/>
    <w:rsid w:val="0029687F"/>
    <w:rsid w:val="002A07AA"/>
    <w:rsid w:val="002A2C14"/>
    <w:rsid w:val="002A70B3"/>
    <w:rsid w:val="002B0EA5"/>
    <w:rsid w:val="002B37F9"/>
    <w:rsid w:val="002B4777"/>
    <w:rsid w:val="002B4DCC"/>
    <w:rsid w:val="002B4F45"/>
    <w:rsid w:val="002B73DF"/>
    <w:rsid w:val="002C51FD"/>
    <w:rsid w:val="002C606A"/>
    <w:rsid w:val="002C69F1"/>
    <w:rsid w:val="002D478F"/>
    <w:rsid w:val="002D5968"/>
    <w:rsid w:val="002D5D8E"/>
    <w:rsid w:val="002D616D"/>
    <w:rsid w:val="002E2FE4"/>
    <w:rsid w:val="002F0278"/>
    <w:rsid w:val="002F34A0"/>
    <w:rsid w:val="002F522F"/>
    <w:rsid w:val="00311D0C"/>
    <w:rsid w:val="00312DED"/>
    <w:rsid w:val="0031713F"/>
    <w:rsid w:val="00320BF7"/>
    <w:rsid w:val="00322084"/>
    <w:rsid w:val="003241D3"/>
    <w:rsid w:val="00327D65"/>
    <w:rsid w:val="00336BB0"/>
    <w:rsid w:val="00340730"/>
    <w:rsid w:val="00341E1E"/>
    <w:rsid w:val="00342209"/>
    <w:rsid w:val="003437E0"/>
    <w:rsid w:val="00343FE9"/>
    <w:rsid w:val="00353E0E"/>
    <w:rsid w:val="003554B3"/>
    <w:rsid w:val="00371306"/>
    <w:rsid w:val="00372627"/>
    <w:rsid w:val="00372F0B"/>
    <w:rsid w:val="00372F40"/>
    <w:rsid w:val="00383982"/>
    <w:rsid w:val="003844E5"/>
    <w:rsid w:val="003938BA"/>
    <w:rsid w:val="00393F5D"/>
    <w:rsid w:val="00394CB0"/>
    <w:rsid w:val="00396C2B"/>
    <w:rsid w:val="003A0303"/>
    <w:rsid w:val="003A31F4"/>
    <w:rsid w:val="003A45E5"/>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25869"/>
    <w:rsid w:val="00430DF8"/>
    <w:rsid w:val="004311BE"/>
    <w:rsid w:val="00432D70"/>
    <w:rsid w:val="0044253C"/>
    <w:rsid w:val="00444679"/>
    <w:rsid w:val="004525C2"/>
    <w:rsid w:val="00452E52"/>
    <w:rsid w:val="004627F0"/>
    <w:rsid w:val="00463C21"/>
    <w:rsid w:val="00470940"/>
    <w:rsid w:val="004714CF"/>
    <w:rsid w:val="004813B8"/>
    <w:rsid w:val="00484C0D"/>
    <w:rsid w:val="00490467"/>
    <w:rsid w:val="00492624"/>
    <w:rsid w:val="00493848"/>
    <w:rsid w:val="004955A5"/>
    <w:rsid w:val="00497D8B"/>
    <w:rsid w:val="004B4C3B"/>
    <w:rsid w:val="004B5187"/>
    <w:rsid w:val="004C02A0"/>
    <w:rsid w:val="004D41B8"/>
    <w:rsid w:val="004F3C2F"/>
    <w:rsid w:val="004F3E37"/>
    <w:rsid w:val="004F4BCE"/>
    <w:rsid w:val="004F5641"/>
    <w:rsid w:val="005046AE"/>
    <w:rsid w:val="00507362"/>
    <w:rsid w:val="00513FF5"/>
    <w:rsid w:val="005152D3"/>
    <w:rsid w:val="005174CF"/>
    <w:rsid w:val="00522632"/>
    <w:rsid w:val="00522EF3"/>
    <w:rsid w:val="00526180"/>
    <w:rsid w:val="00540418"/>
    <w:rsid w:val="00544A74"/>
    <w:rsid w:val="00547F80"/>
    <w:rsid w:val="00556786"/>
    <w:rsid w:val="00560314"/>
    <w:rsid w:val="005625AE"/>
    <w:rsid w:val="005637AA"/>
    <w:rsid w:val="00564D5B"/>
    <w:rsid w:val="005652D5"/>
    <w:rsid w:val="00570B25"/>
    <w:rsid w:val="00573C66"/>
    <w:rsid w:val="00574266"/>
    <w:rsid w:val="00574590"/>
    <w:rsid w:val="005748FF"/>
    <w:rsid w:val="005821CD"/>
    <w:rsid w:val="00590431"/>
    <w:rsid w:val="005947CD"/>
    <w:rsid w:val="005A1E3E"/>
    <w:rsid w:val="005B7DEC"/>
    <w:rsid w:val="005D06DF"/>
    <w:rsid w:val="005D3D25"/>
    <w:rsid w:val="005D5413"/>
    <w:rsid w:val="005E2A1D"/>
    <w:rsid w:val="005F107A"/>
    <w:rsid w:val="005F1EED"/>
    <w:rsid w:val="005F4E45"/>
    <w:rsid w:val="005F6D4E"/>
    <w:rsid w:val="005F7693"/>
    <w:rsid w:val="006007C2"/>
    <w:rsid w:val="00622105"/>
    <w:rsid w:val="006310D0"/>
    <w:rsid w:val="00644673"/>
    <w:rsid w:val="00650730"/>
    <w:rsid w:val="0065503E"/>
    <w:rsid w:val="00656CCB"/>
    <w:rsid w:val="006579B4"/>
    <w:rsid w:val="00663618"/>
    <w:rsid w:val="00666258"/>
    <w:rsid w:val="006717A1"/>
    <w:rsid w:val="006763EB"/>
    <w:rsid w:val="006827E4"/>
    <w:rsid w:val="006874F6"/>
    <w:rsid w:val="00695AE6"/>
    <w:rsid w:val="0069747F"/>
    <w:rsid w:val="006A1D97"/>
    <w:rsid w:val="006A1F71"/>
    <w:rsid w:val="006B077F"/>
    <w:rsid w:val="006B1FE7"/>
    <w:rsid w:val="006E235B"/>
    <w:rsid w:val="006E35C2"/>
    <w:rsid w:val="006E77DD"/>
    <w:rsid w:val="006F03BC"/>
    <w:rsid w:val="00704242"/>
    <w:rsid w:val="00706749"/>
    <w:rsid w:val="00716397"/>
    <w:rsid w:val="007206F4"/>
    <w:rsid w:val="0072161A"/>
    <w:rsid w:val="007227BA"/>
    <w:rsid w:val="0072318F"/>
    <w:rsid w:val="00724B53"/>
    <w:rsid w:val="00744CAB"/>
    <w:rsid w:val="007525A1"/>
    <w:rsid w:val="00755762"/>
    <w:rsid w:val="00772484"/>
    <w:rsid w:val="00773DFE"/>
    <w:rsid w:val="00775087"/>
    <w:rsid w:val="007752D9"/>
    <w:rsid w:val="007764E5"/>
    <w:rsid w:val="007769C2"/>
    <w:rsid w:val="00786189"/>
    <w:rsid w:val="007876A7"/>
    <w:rsid w:val="0079582C"/>
    <w:rsid w:val="00795DCD"/>
    <w:rsid w:val="007A1BF9"/>
    <w:rsid w:val="007B1641"/>
    <w:rsid w:val="007C1C23"/>
    <w:rsid w:val="007C28F3"/>
    <w:rsid w:val="007D2B1C"/>
    <w:rsid w:val="007D6C56"/>
    <w:rsid w:val="007D6E9A"/>
    <w:rsid w:val="007F70FD"/>
    <w:rsid w:val="00801308"/>
    <w:rsid w:val="00801956"/>
    <w:rsid w:val="00811DAC"/>
    <w:rsid w:val="0081273B"/>
    <w:rsid w:val="008352BB"/>
    <w:rsid w:val="00835E8B"/>
    <w:rsid w:val="008536CF"/>
    <w:rsid w:val="00855F70"/>
    <w:rsid w:val="00863D8B"/>
    <w:rsid w:val="0087426A"/>
    <w:rsid w:val="00874DF4"/>
    <w:rsid w:val="00884C34"/>
    <w:rsid w:val="0089054E"/>
    <w:rsid w:val="00895773"/>
    <w:rsid w:val="00896EB0"/>
    <w:rsid w:val="008A03FD"/>
    <w:rsid w:val="008A5895"/>
    <w:rsid w:val="008A6E4D"/>
    <w:rsid w:val="008A793D"/>
    <w:rsid w:val="008B0017"/>
    <w:rsid w:val="008B0508"/>
    <w:rsid w:val="008B1C62"/>
    <w:rsid w:val="008C0AC6"/>
    <w:rsid w:val="008C77D9"/>
    <w:rsid w:val="008D19CC"/>
    <w:rsid w:val="008D5A92"/>
    <w:rsid w:val="008E12A9"/>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756AF"/>
    <w:rsid w:val="009766EF"/>
    <w:rsid w:val="00981EA7"/>
    <w:rsid w:val="009950E3"/>
    <w:rsid w:val="0099585A"/>
    <w:rsid w:val="009B1F8B"/>
    <w:rsid w:val="009B2E9E"/>
    <w:rsid w:val="009B5097"/>
    <w:rsid w:val="009B6A4A"/>
    <w:rsid w:val="009B7A2D"/>
    <w:rsid w:val="009C1FC4"/>
    <w:rsid w:val="009C552C"/>
    <w:rsid w:val="009C709B"/>
    <w:rsid w:val="009D423F"/>
    <w:rsid w:val="009D5BE4"/>
    <w:rsid w:val="009D5D4C"/>
    <w:rsid w:val="009E1177"/>
    <w:rsid w:val="009F23C4"/>
    <w:rsid w:val="009F5699"/>
    <w:rsid w:val="00A04357"/>
    <w:rsid w:val="00A04FAE"/>
    <w:rsid w:val="00A11BC8"/>
    <w:rsid w:val="00A1467C"/>
    <w:rsid w:val="00A31CDD"/>
    <w:rsid w:val="00A357A5"/>
    <w:rsid w:val="00A363B6"/>
    <w:rsid w:val="00A40F23"/>
    <w:rsid w:val="00A46BF5"/>
    <w:rsid w:val="00A50F1C"/>
    <w:rsid w:val="00A523BC"/>
    <w:rsid w:val="00A53B60"/>
    <w:rsid w:val="00A67360"/>
    <w:rsid w:val="00A76B34"/>
    <w:rsid w:val="00A82890"/>
    <w:rsid w:val="00A830E1"/>
    <w:rsid w:val="00A8764C"/>
    <w:rsid w:val="00A9463C"/>
    <w:rsid w:val="00AA3C1D"/>
    <w:rsid w:val="00AB037C"/>
    <w:rsid w:val="00AC40A2"/>
    <w:rsid w:val="00AC61B0"/>
    <w:rsid w:val="00AD30FA"/>
    <w:rsid w:val="00AD3539"/>
    <w:rsid w:val="00AD4935"/>
    <w:rsid w:val="00AE45AF"/>
    <w:rsid w:val="00AE525E"/>
    <w:rsid w:val="00AF36F2"/>
    <w:rsid w:val="00B046F1"/>
    <w:rsid w:val="00B146E2"/>
    <w:rsid w:val="00B22ABD"/>
    <w:rsid w:val="00B22C9D"/>
    <w:rsid w:val="00B249D2"/>
    <w:rsid w:val="00B269DB"/>
    <w:rsid w:val="00B34D8C"/>
    <w:rsid w:val="00B46518"/>
    <w:rsid w:val="00B469FD"/>
    <w:rsid w:val="00B552A7"/>
    <w:rsid w:val="00B567FD"/>
    <w:rsid w:val="00B5741B"/>
    <w:rsid w:val="00B62027"/>
    <w:rsid w:val="00B74809"/>
    <w:rsid w:val="00B825E2"/>
    <w:rsid w:val="00B849EE"/>
    <w:rsid w:val="00B84D02"/>
    <w:rsid w:val="00B937D6"/>
    <w:rsid w:val="00BA15EB"/>
    <w:rsid w:val="00BA2940"/>
    <w:rsid w:val="00BA2A3C"/>
    <w:rsid w:val="00BB2BA7"/>
    <w:rsid w:val="00BD370D"/>
    <w:rsid w:val="00BE2C28"/>
    <w:rsid w:val="00BE3598"/>
    <w:rsid w:val="00C06337"/>
    <w:rsid w:val="00C16839"/>
    <w:rsid w:val="00C16E53"/>
    <w:rsid w:val="00C26020"/>
    <w:rsid w:val="00C270A2"/>
    <w:rsid w:val="00C2739C"/>
    <w:rsid w:val="00C31C0A"/>
    <w:rsid w:val="00C34656"/>
    <w:rsid w:val="00C36575"/>
    <w:rsid w:val="00C422CF"/>
    <w:rsid w:val="00C431B4"/>
    <w:rsid w:val="00C4500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3448"/>
    <w:rsid w:val="00CC1196"/>
    <w:rsid w:val="00CC1D29"/>
    <w:rsid w:val="00CC4015"/>
    <w:rsid w:val="00CC7D78"/>
    <w:rsid w:val="00CD3BEF"/>
    <w:rsid w:val="00CD4191"/>
    <w:rsid w:val="00CD6222"/>
    <w:rsid w:val="00CD6D9A"/>
    <w:rsid w:val="00D00E92"/>
    <w:rsid w:val="00D02DD7"/>
    <w:rsid w:val="00D036AE"/>
    <w:rsid w:val="00D03A22"/>
    <w:rsid w:val="00D04F8D"/>
    <w:rsid w:val="00D055EC"/>
    <w:rsid w:val="00D06424"/>
    <w:rsid w:val="00D06935"/>
    <w:rsid w:val="00D109A4"/>
    <w:rsid w:val="00D10CEE"/>
    <w:rsid w:val="00D22F24"/>
    <w:rsid w:val="00D32688"/>
    <w:rsid w:val="00D40A5E"/>
    <w:rsid w:val="00D41B28"/>
    <w:rsid w:val="00D41E98"/>
    <w:rsid w:val="00D425C2"/>
    <w:rsid w:val="00D44728"/>
    <w:rsid w:val="00D4505B"/>
    <w:rsid w:val="00D51D28"/>
    <w:rsid w:val="00D54697"/>
    <w:rsid w:val="00D562FF"/>
    <w:rsid w:val="00D5665C"/>
    <w:rsid w:val="00D56D8E"/>
    <w:rsid w:val="00D57F57"/>
    <w:rsid w:val="00D66C34"/>
    <w:rsid w:val="00D77541"/>
    <w:rsid w:val="00D80B4C"/>
    <w:rsid w:val="00D85D8E"/>
    <w:rsid w:val="00D9227A"/>
    <w:rsid w:val="00D976BD"/>
    <w:rsid w:val="00DA16C4"/>
    <w:rsid w:val="00DA1D3D"/>
    <w:rsid w:val="00DB2D54"/>
    <w:rsid w:val="00DB5D12"/>
    <w:rsid w:val="00DC4D47"/>
    <w:rsid w:val="00DC4D70"/>
    <w:rsid w:val="00DC5E3A"/>
    <w:rsid w:val="00DF0048"/>
    <w:rsid w:val="00DF2479"/>
    <w:rsid w:val="00DF56C9"/>
    <w:rsid w:val="00DF6B02"/>
    <w:rsid w:val="00E02699"/>
    <w:rsid w:val="00E1086B"/>
    <w:rsid w:val="00E10EFD"/>
    <w:rsid w:val="00E11DDD"/>
    <w:rsid w:val="00E2203F"/>
    <w:rsid w:val="00E26502"/>
    <w:rsid w:val="00E30318"/>
    <w:rsid w:val="00E32708"/>
    <w:rsid w:val="00E364B8"/>
    <w:rsid w:val="00E554FE"/>
    <w:rsid w:val="00E57468"/>
    <w:rsid w:val="00E60B69"/>
    <w:rsid w:val="00E640F0"/>
    <w:rsid w:val="00E651C6"/>
    <w:rsid w:val="00E71C3B"/>
    <w:rsid w:val="00E73502"/>
    <w:rsid w:val="00E77D5B"/>
    <w:rsid w:val="00E8011D"/>
    <w:rsid w:val="00E8021F"/>
    <w:rsid w:val="00E821F8"/>
    <w:rsid w:val="00E9021B"/>
    <w:rsid w:val="00E91BAF"/>
    <w:rsid w:val="00E97920"/>
    <w:rsid w:val="00EA5418"/>
    <w:rsid w:val="00EC20C8"/>
    <w:rsid w:val="00EC2AF3"/>
    <w:rsid w:val="00EE46FB"/>
    <w:rsid w:val="00EF053A"/>
    <w:rsid w:val="00EF0DF2"/>
    <w:rsid w:val="00F031A9"/>
    <w:rsid w:val="00F14059"/>
    <w:rsid w:val="00F17C0D"/>
    <w:rsid w:val="00F2509C"/>
    <w:rsid w:val="00F277AC"/>
    <w:rsid w:val="00F31E02"/>
    <w:rsid w:val="00F37957"/>
    <w:rsid w:val="00F450CF"/>
    <w:rsid w:val="00F47421"/>
    <w:rsid w:val="00F5707B"/>
    <w:rsid w:val="00F645A4"/>
    <w:rsid w:val="00F70A74"/>
    <w:rsid w:val="00F755D0"/>
    <w:rsid w:val="00F778DD"/>
    <w:rsid w:val="00F8293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6CCE-2F28-4989-9881-CA092126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21</Pages>
  <Words>4365</Words>
  <Characters>24008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pedro sanche gomez</cp:lastModifiedBy>
  <cp:revision>113</cp:revision>
  <cp:lastPrinted>2018-04-14T00:44:00Z</cp:lastPrinted>
  <dcterms:created xsi:type="dcterms:W3CDTF">2016-04-26T23:02:00Z</dcterms:created>
  <dcterms:modified xsi:type="dcterms:W3CDTF">2018-04-14T00:49:00Z</dcterms:modified>
</cp:coreProperties>
</file>