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bookmarkStart w:id="0" w:name="_GoBack"/>
      <w:bookmarkEnd w:id="0"/>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EGRESOS PARA EL EJERCICIO FISCAL 201</w:t>
            </w:r>
            <w:r w:rsidR="0095202F">
              <w:rPr>
                <w:rFonts w:cs="Arial"/>
                <w:b/>
                <w:spacing w:val="6"/>
                <w:sz w:val="18"/>
                <w:szCs w:val="18"/>
                <w:lang w:val="es-ES_tradnl"/>
              </w:rPr>
              <w:t>8</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2018, dando prioridad presupuestaria a los temas de: Educación, Salud, Empleo y Seguridad.</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Atendiendo las Políticas, Objetivos, Estrategias, Líneas y </w:t>
      </w:r>
      <w:proofErr w:type="spellStart"/>
      <w:r w:rsidRPr="006D547F">
        <w:rPr>
          <w:rFonts w:cs="Arial"/>
          <w:color w:val="000000"/>
          <w:sz w:val="18"/>
          <w:szCs w:val="18"/>
        </w:rPr>
        <w:t>Sublíneas</w:t>
      </w:r>
      <w:proofErr w:type="spellEnd"/>
      <w:r w:rsidRPr="006D547F">
        <w:rPr>
          <w:rFonts w:cs="Arial"/>
          <w:color w:val="000000"/>
          <w:sz w:val="18"/>
          <w:szCs w:val="18"/>
        </w:rPr>
        <w:t xml:space="preserve"> de Acción del Plan Estatal de Desarrollo 2017-2021, la Planeación y Programación del Presupuesto 2018 se encuentran enfocadas a administrar de manera más eficiente y eficaz el Sistema Estatal de Planeación apoyando la instrumentación de la Gestión Pública para Resultados por lo consiguiente se generaron 225 Indicadores Estratégicos que medirán a nivel estatal los avances en datos estadísticos relevantes y contribuirán a nivel nacional de manera macroeconómica y 830 indicadores de gestión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van a incrementar las acciones de Capacitación al Personal de Seguridad Pública y Equipamiento del mismo.</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seguirá beneficiando a alumnos con libros de texto de manera gratuita a pesar del incremento de la matrícula.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proporcionarán los paquetes de útiles escolares además de apoyos para la educación básica.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implementa el Sistema Estatal de Becas para los diferentes niveles de enseñanza alineados al cumplimiento obligatorio de los Lineamientos correspondientes.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 a ampliar el acceso a internet de banda ancha en sitios públicos priorizando Bibliotecas, Museos y Escuelas Públicas.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aplicará la primera etapa del Programa de Movilidad Estatal con la celebración de convenios con los Municipios, así como la implementación de Medios Alternativos de Movilidad que facilitarán los traslados de la Ciudadanía Tlaxcalteca.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 xml:space="preserve">Arranca dentro del año 2018 la elaboración de los proyectos ejecutivos tanto de la Modernización de la Central Camionera, Mejoras al Centro de Convenciones y las Modificaciones al Estadio </w:t>
      </w:r>
      <w:proofErr w:type="spellStart"/>
      <w:r w:rsidRPr="006D547F">
        <w:rPr>
          <w:rFonts w:ascii="Arial" w:hAnsi="Arial" w:cs="Arial"/>
          <w:color w:val="000000"/>
          <w:sz w:val="18"/>
          <w:szCs w:val="18"/>
        </w:rPr>
        <w:t>Tlahuicole</w:t>
      </w:r>
      <w:proofErr w:type="spellEnd"/>
      <w:r w:rsidRPr="006D547F">
        <w:rPr>
          <w:rFonts w:ascii="Arial" w:hAnsi="Arial" w:cs="Arial"/>
          <w:color w:val="000000"/>
          <w:sz w:val="18"/>
          <w:szCs w:val="18"/>
        </w:rPr>
        <w:t>.</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va a Fortalecer el Intercambio Comercial y Económico entre Tlaxcala y Puebla.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avanza con la Modernización Tecnológica de la Sistematización de los Trámites y Servicios para hacerlos más fáciles de operar por parte de la Ciudadanía Tlaxcalteca.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crea la vinculación educación empleo para la obtención de los diagnósticos de las ofertas de empleo para las instituciones educativas terminales.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acrecentarán las ofertas de empleo mediante la búsqueda estratégica de instalación de nuevas empresas.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incrementan las acciones para ayuda a víctimas y ofendidos para otorgar a la ciudadanía la certeza y protección jurídica debida.</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Se reforzará la Recaudación Tributaria mediante el incremento en la Modernización Tecnológica para hacer más eficiente la atención al contribuyente.</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Con el propósito de Transparentar la aplicación correcta de los recursos públicos estatales y federales se implementarán medidas de control interno para abatir el número de observaciones realizadas por los entes fiscalizadores.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Las Dependencias y Entidades del Gobierno del Estado deberán propiciar la alineación de los programas con enfoque de género de conformidad con las políticas establecidas por el Instituto Estatal de la Mujer; asimismo, incluir mecanismos para la atención de las necesidades de mujeres y hombres; incluir indicadores sensibles de género; fomentar la perspectiva de género en los programas que sean susceptibles de ello, entre otros.</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 xml:space="preserve">Se destinan </w:t>
      </w:r>
      <w:r w:rsidRPr="006D547F">
        <w:rPr>
          <w:rFonts w:ascii="Arial" w:hAnsi="Arial" w:cs="Arial"/>
          <w:iCs/>
          <w:color w:val="000000"/>
          <w:sz w:val="18"/>
          <w:szCs w:val="18"/>
          <w:lang w:val="es-ES"/>
        </w:rPr>
        <w:t>32.0 millones de pesos para el fortalecimiento del turismo en la Entidad, de los cuales 7.0 millones de pesos serán destinados para inversión.</w:t>
      </w:r>
    </w:p>
    <w:p w:rsidR="00FA12F7" w:rsidRPr="006D547F" w:rsidRDefault="00FA12F7" w:rsidP="00FA12F7">
      <w:pPr>
        <w:pStyle w:val="Prrafodelista"/>
        <w:numPr>
          <w:ilvl w:val="0"/>
          <w:numId w:val="28"/>
        </w:numPr>
        <w:spacing w:line="360" w:lineRule="auto"/>
        <w:jc w:val="both"/>
        <w:rPr>
          <w:rFonts w:ascii="Arial" w:hAnsi="Arial" w:cs="Arial"/>
          <w:color w:val="000000"/>
          <w:sz w:val="18"/>
          <w:szCs w:val="18"/>
        </w:rPr>
      </w:pPr>
      <w:r w:rsidRPr="006D547F">
        <w:rPr>
          <w:rFonts w:ascii="Arial" w:hAnsi="Arial" w:cs="Arial"/>
          <w:color w:val="000000"/>
          <w:sz w:val="18"/>
          <w:szCs w:val="18"/>
        </w:rPr>
        <w:t>Para efectos de la consolidación del Sistema Local Anticorrupción, se asignan $10</w:t>
      </w:r>
      <w:proofErr w:type="gramStart"/>
      <w:r w:rsidRPr="006D547F">
        <w:rPr>
          <w:rFonts w:ascii="Arial" w:hAnsi="Arial" w:cs="Arial"/>
          <w:color w:val="000000"/>
          <w:sz w:val="18"/>
          <w:szCs w:val="18"/>
        </w:rPr>
        <w:t>,000,000.00</w:t>
      </w:r>
      <w:proofErr w:type="gramEnd"/>
      <w:r w:rsidRPr="006D547F">
        <w:rPr>
          <w:rFonts w:ascii="Arial" w:hAnsi="Arial" w:cs="Arial"/>
          <w:color w:val="000000"/>
          <w:sz w:val="18"/>
          <w:szCs w:val="18"/>
        </w:rPr>
        <w:t xml:space="preserve">  en favor de una nueva cultura de la legalidad y combate a la corrupción, un desafío que convoca y compromete a la sociedad en general.</w:t>
      </w:r>
    </w:p>
    <w:p w:rsidR="007B6CFC" w:rsidRDefault="007B6CFC" w:rsidP="007B6CFC"/>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D445BC">
        <w:rPr>
          <w:rFonts w:cs="Arial"/>
          <w:sz w:val="18"/>
          <w:szCs w:val="18"/>
        </w:rPr>
        <w:t>periodo comprendido de enero a septiembre</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 xml:space="preserve"> l</w:t>
      </w:r>
      <w:r>
        <w:rPr>
          <w:rFonts w:cs="Arial"/>
          <w:sz w:val="18"/>
          <w:szCs w:val="18"/>
        </w:rPr>
        <w:t>o</w:t>
      </w:r>
      <w:r w:rsidRPr="00FC1887">
        <w:rPr>
          <w:rFonts w:cs="Arial"/>
          <w:sz w:val="18"/>
          <w:szCs w:val="18"/>
        </w:rPr>
        <w:t xml:space="preserve">s </w:t>
      </w:r>
      <w:r>
        <w:rPr>
          <w:rFonts w:cs="Arial"/>
          <w:sz w:val="18"/>
          <w:szCs w:val="18"/>
        </w:rPr>
        <w:t xml:space="preserve">   </w:t>
      </w:r>
      <w:r w:rsidRPr="00FC1887">
        <w:rPr>
          <w:rFonts w:cs="Arial"/>
          <w:sz w:val="18"/>
          <w:szCs w:val="18"/>
        </w:rPr>
        <w:t xml:space="preserve">que </w:t>
      </w:r>
      <w:r>
        <w:rPr>
          <w:rFonts w:cs="Arial"/>
          <w:sz w:val="18"/>
          <w:szCs w:val="18"/>
        </w:rPr>
        <w:t xml:space="preserve">    </w:t>
      </w:r>
      <w:r w:rsidRPr="00FC1887">
        <w:rPr>
          <w:rFonts w:cs="Arial"/>
          <w:sz w:val="18"/>
          <w:szCs w:val="18"/>
        </w:rPr>
        <w:t>destacan:</w:t>
      </w:r>
    </w:p>
    <w:p w:rsidR="007B6CFC" w:rsidRPr="00DC5C5E" w:rsidRDefault="003D0F52"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rPr>
        <w:t>483</w:t>
      </w:r>
      <w:r w:rsidR="00D1508A">
        <w:rPr>
          <w:rFonts w:cs="Arial"/>
          <w:sz w:val="18"/>
          <w:szCs w:val="18"/>
        </w:rPr>
        <w:t>.</w:t>
      </w:r>
      <w:r>
        <w:rPr>
          <w:rFonts w:cs="Arial"/>
          <w:sz w:val="18"/>
          <w:szCs w:val="18"/>
        </w:rPr>
        <w:t>2</w:t>
      </w:r>
      <w:r w:rsidR="00E614E1" w:rsidRPr="00DC5C5E">
        <w:rPr>
          <w:rFonts w:cs="Arial"/>
          <w:sz w:val="18"/>
          <w:szCs w:val="18"/>
        </w:rPr>
        <w:t xml:space="preserve"> millones de pesos para la Universidad Autónoma de Tlaxcala</w:t>
      </w:r>
      <w:r w:rsidR="00E614E1" w:rsidRPr="00DC5C5E">
        <w:rPr>
          <w:rFonts w:cs="Arial"/>
          <w:sz w:val="18"/>
          <w:szCs w:val="18"/>
          <w:lang w:val="es-ES_tradnl"/>
        </w:rPr>
        <w:t>.</w:t>
      </w:r>
    </w:p>
    <w:p w:rsidR="0079527C" w:rsidRPr="00DC5C5E" w:rsidRDefault="003D0F52" w:rsidP="0079527C">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A52AC9">
        <w:rPr>
          <w:rFonts w:cs="Arial"/>
          <w:sz w:val="18"/>
          <w:szCs w:val="18"/>
        </w:rPr>
        <w:t>718</w:t>
      </w:r>
      <w:r w:rsidR="00064ECF">
        <w:rPr>
          <w:rFonts w:cs="Arial"/>
          <w:sz w:val="18"/>
          <w:szCs w:val="18"/>
        </w:rPr>
        <w:t>.</w:t>
      </w:r>
      <w:r w:rsidR="00A52AC9">
        <w:rPr>
          <w:rFonts w:cs="Arial"/>
          <w:sz w:val="18"/>
          <w:szCs w:val="18"/>
        </w:rPr>
        <w:t>0</w:t>
      </w:r>
      <w:r w:rsidR="0079527C" w:rsidRPr="00DC5C5E">
        <w:rPr>
          <w:rFonts w:cs="Arial"/>
          <w:sz w:val="18"/>
          <w:szCs w:val="18"/>
        </w:rPr>
        <w:t xml:space="preserve"> millones de pesos para </w:t>
      </w:r>
      <w:r w:rsidR="00064ECF">
        <w:rPr>
          <w:rFonts w:cs="Arial"/>
          <w:sz w:val="18"/>
          <w:szCs w:val="18"/>
        </w:rPr>
        <w:t>Municipios</w:t>
      </w:r>
      <w:r w:rsidR="0079527C" w:rsidRPr="00DC5C5E">
        <w:rPr>
          <w:rFonts w:cs="Arial"/>
          <w:sz w:val="18"/>
          <w:szCs w:val="18"/>
        </w:rPr>
        <w:t>.</w:t>
      </w:r>
    </w:p>
    <w:p w:rsidR="007B6CFC" w:rsidRDefault="00815414"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2</w:t>
      </w:r>
      <w:r w:rsidR="00DF5BDD">
        <w:rPr>
          <w:rFonts w:cs="Arial"/>
          <w:sz w:val="18"/>
          <w:szCs w:val="18"/>
          <w:lang w:val="es-ES_tradnl"/>
        </w:rPr>
        <w:t>58</w:t>
      </w:r>
      <w:r w:rsidR="00DC5C5E" w:rsidRPr="00DC5C5E">
        <w:rPr>
          <w:rFonts w:cs="Arial"/>
          <w:sz w:val="18"/>
          <w:szCs w:val="18"/>
          <w:lang w:val="es-ES_tradnl"/>
        </w:rPr>
        <w:t>.</w:t>
      </w:r>
      <w:r w:rsidR="00DF5BDD">
        <w:rPr>
          <w:rFonts w:cs="Arial"/>
          <w:sz w:val="18"/>
          <w:szCs w:val="18"/>
          <w:lang w:val="es-ES_tradnl"/>
        </w:rPr>
        <w:t>7</w:t>
      </w:r>
      <w:r w:rsidR="00DC5C5E" w:rsidRPr="00DC5C5E">
        <w:rPr>
          <w:rFonts w:cs="Arial"/>
          <w:sz w:val="18"/>
          <w:szCs w:val="18"/>
          <w:lang w:val="es-ES_tradnl"/>
        </w:rPr>
        <w:t xml:space="preserve"> millones en el Fondo para el Fortalecimiento Financiero</w:t>
      </w:r>
    </w:p>
    <w:p w:rsidR="00815414" w:rsidRDefault="006B0321"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6</w:t>
      </w:r>
      <w:r w:rsidR="00181B99">
        <w:rPr>
          <w:rFonts w:cs="Arial"/>
          <w:sz w:val="18"/>
          <w:szCs w:val="18"/>
          <w:lang w:val="es-ES_tradnl"/>
        </w:rPr>
        <w:t>76</w:t>
      </w:r>
      <w:r w:rsidR="005554CF">
        <w:rPr>
          <w:rFonts w:cs="Arial"/>
          <w:sz w:val="18"/>
          <w:szCs w:val="18"/>
          <w:lang w:val="es-ES_tradnl"/>
        </w:rPr>
        <w:t>.</w:t>
      </w:r>
      <w:r w:rsidR="00181B99">
        <w:rPr>
          <w:rFonts w:cs="Arial"/>
          <w:sz w:val="18"/>
          <w:szCs w:val="18"/>
          <w:lang w:val="es-ES_tradnl"/>
        </w:rPr>
        <w:t>2</w:t>
      </w:r>
      <w:r w:rsidR="005554CF">
        <w:rPr>
          <w:rFonts w:cs="Arial"/>
          <w:sz w:val="18"/>
          <w:szCs w:val="18"/>
          <w:lang w:val="es-ES_tradnl"/>
        </w:rPr>
        <w:t xml:space="preserve"> </w:t>
      </w:r>
      <w:r w:rsidR="005554CF" w:rsidRPr="00DC5C5E">
        <w:rPr>
          <w:rFonts w:cs="Arial"/>
          <w:sz w:val="18"/>
          <w:szCs w:val="18"/>
          <w:lang w:val="es-ES_tradnl"/>
        </w:rPr>
        <w:t xml:space="preserve">millones en </w:t>
      </w:r>
      <w:r w:rsidR="001815CD">
        <w:rPr>
          <w:rFonts w:cs="Arial"/>
          <w:sz w:val="18"/>
          <w:szCs w:val="18"/>
          <w:lang w:val="es-ES_tradnl"/>
        </w:rPr>
        <w:t>Educación Básica y Media Superior</w:t>
      </w:r>
    </w:p>
    <w:p w:rsidR="00907BDC" w:rsidRDefault="00097EC2"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7</w:t>
      </w:r>
      <w:r w:rsidR="00267874">
        <w:rPr>
          <w:rFonts w:cs="Arial"/>
          <w:sz w:val="18"/>
          <w:szCs w:val="18"/>
          <w:lang w:val="es-ES_tradnl"/>
        </w:rPr>
        <w:t>43</w:t>
      </w:r>
      <w:r>
        <w:rPr>
          <w:rFonts w:cs="Arial"/>
          <w:sz w:val="18"/>
          <w:szCs w:val="18"/>
          <w:lang w:val="es-ES_tradnl"/>
        </w:rPr>
        <w:t>.</w:t>
      </w:r>
      <w:r w:rsidR="00267874">
        <w:rPr>
          <w:rFonts w:cs="Arial"/>
          <w:sz w:val="18"/>
          <w:szCs w:val="18"/>
          <w:lang w:val="es-ES_tradnl"/>
        </w:rPr>
        <w:t>5</w:t>
      </w:r>
      <w:r w:rsidR="00907BDC">
        <w:rPr>
          <w:rFonts w:cs="Arial"/>
          <w:sz w:val="18"/>
          <w:szCs w:val="18"/>
          <w:lang w:val="es-ES_tradnl"/>
        </w:rPr>
        <w:t xml:space="preserve"> </w:t>
      </w:r>
      <w:r w:rsidR="00907BDC" w:rsidRPr="00DC5C5E">
        <w:rPr>
          <w:rFonts w:cs="Arial"/>
          <w:sz w:val="18"/>
          <w:szCs w:val="18"/>
          <w:lang w:val="es-ES_tradnl"/>
        </w:rPr>
        <w:t xml:space="preserve">millones en </w:t>
      </w:r>
      <w:r w:rsidR="00DE3FC7">
        <w:rPr>
          <w:rFonts w:cs="Arial"/>
          <w:sz w:val="18"/>
          <w:szCs w:val="18"/>
          <w:lang w:val="es-ES_tradnl"/>
        </w:rPr>
        <w:t>Materia de Salud</w:t>
      </w:r>
    </w:p>
    <w:p w:rsidR="00DE3FC7" w:rsidRDefault="00F955B3"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327</w:t>
      </w:r>
      <w:r w:rsidR="00DE3FC7">
        <w:rPr>
          <w:rFonts w:cs="Arial"/>
          <w:sz w:val="18"/>
          <w:szCs w:val="18"/>
          <w:lang w:val="es-ES_tradnl"/>
        </w:rPr>
        <w:t>.</w:t>
      </w:r>
      <w:r>
        <w:rPr>
          <w:rFonts w:cs="Arial"/>
          <w:sz w:val="18"/>
          <w:szCs w:val="18"/>
          <w:lang w:val="es-ES_tradnl"/>
        </w:rPr>
        <w:t>3</w:t>
      </w:r>
      <w:r w:rsidR="00DE3FC7">
        <w:rPr>
          <w:rFonts w:cs="Arial"/>
          <w:sz w:val="18"/>
          <w:szCs w:val="18"/>
          <w:lang w:val="es-ES_tradnl"/>
        </w:rPr>
        <w:t xml:space="preserve"> millones en Infraestructura</w:t>
      </w:r>
    </w:p>
    <w:p w:rsidR="007B6CFC" w:rsidRPr="00B50904" w:rsidRDefault="007B6CFC" w:rsidP="007B6CFC">
      <w:pPr>
        <w:spacing w:after="100" w:line="276" w:lineRule="auto"/>
        <w:rPr>
          <w:rFonts w:cs="Arial"/>
          <w:color w:val="FF0000"/>
          <w:sz w:val="18"/>
          <w:szCs w:val="18"/>
        </w:rPr>
      </w:pPr>
    </w:p>
    <w:p w:rsidR="007B6CFC" w:rsidRPr="0068198F"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181B99">
        <w:rPr>
          <w:rFonts w:cs="Arial"/>
          <w:sz w:val="18"/>
          <w:szCs w:val="18"/>
        </w:rPr>
        <w:t>terce</w:t>
      </w:r>
      <w:r w:rsidRPr="0068198F">
        <w:rPr>
          <w:rFonts w:cs="Arial"/>
          <w:sz w:val="18"/>
          <w:szCs w:val="18"/>
        </w:rPr>
        <w:t xml:space="preserve">r trimestre de </w:t>
      </w:r>
      <w:r w:rsidR="00181B99">
        <w:rPr>
          <w:rFonts w:cs="Arial"/>
          <w:sz w:val="18"/>
          <w:szCs w:val="18"/>
        </w:rPr>
        <w:t>3,153</w:t>
      </w:r>
      <w:r w:rsidRPr="0068198F">
        <w:rPr>
          <w:rFonts w:cs="Arial"/>
          <w:sz w:val="18"/>
          <w:szCs w:val="18"/>
        </w:rPr>
        <w:t>.</w:t>
      </w:r>
      <w:r w:rsidR="00181B99">
        <w:rPr>
          <w:rFonts w:cs="Arial"/>
          <w:sz w:val="18"/>
          <w:szCs w:val="18"/>
        </w:rPr>
        <w:t>9</w:t>
      </w:r>
      <w:r w:rsidRPr="0068198F">
        <w:rPr>
          <w:rFonts w:cs="Arial"/>
          <w:sz w:val="18"/>
          <w:szCs w:val="18"/>
        </w:rPr>
        <w:t xml:space="preserve"> 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544C97" w:rsidRDefault="00544C97" w:rsidP="00544C97">
      <w:pPr>
        <w:spacing w:after="100" w:line="276" w:lineRule="auto"/>
        <w:jc w:val="center"/>
        <w:rPr>
          <w:noProof/>
          <w:lang w:eastAsia="es-MX"/>
        </w:rPr>
      </w:pPr>
    </w:p>
    <w:p w:rsidR="00074C88" w:rsidRDefault="006439F4" w:rsidP="00544C97">
      <w:pPr>
        <w:spacing w:after="100" w:line="276" w:lineRule="auto"/>
        <w:jc w:val="center"/>
        <w:rPr>
          <w:rFonts w:cs="Arial"/>
          <w:color w:val="FF0000"/>
          <w:sz w:val="18"/>
          <w:szCs w:val="18"/>
        </w:rPr>
      </w:pPr>
      <w:r>
        <w:rPr>
          <w:noProof/>
          <w:lang w:eastAsia="es-MX"/>
        </w:rPr>
        <w:drawing>
          <wp:inline distT="0" distB="0" distL="0" distR="0">
            <wp:extent cx="4312285" cy="2360930"/>
            <wp:effectExtent l="0" t="0" r="12065" b="2032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Pr>
          <w:rFonts w:eastAsia="Calibri" w:cs="Arial"/>
          <w:sz w:val="18"/>
          <w:szCs w:val="18"/>
          <w:lang w:eastAsia="en-US"/>
        </w:rPr>
        <w:t xml:space="preserve">finalizar </w:t>
      </w:r>
      <w:r w:rsidRPr="000A6C6F">
        <w:rPr>
          <w:rFonts w:eastAsia="Calibri" w:cs="Arial"/>
          <w:sz w:val="18"/>
          <w:szCs w:val="18"/>
          <w:lang w:eastAsia="en-US"/>
        </w:rPr>
        <w:t xml:space="preserve">el </w:t>
      </w:r>
      <w:r w:rsidR="007121DA">
        <w:rPr>
          <w:rFonts w:eastAsia="Calibri" w:cs="Arial"/>
          <w:sz w:val="18"/>
          <w:szCs w:val="18"/>
          <w:lang w:eastAsia="en-US"/>
        </w:rPr>
        <w:t xml:space="preserve">tercer </w:t>
      </w:r>
      <w:r>
        <w:rPr>
          <w:rFonts w:eastAsia="Calibri" w:cs="Arial"/>
          <w:sz w:val="18"/>
          <w:szCs w:val="18"/>
          <w:lang w:eastAsia="en-US"/>
        </w:rPr>
        <w:t xml:space="preserve"> </w:t>
      </w:r>
      <w:r w:rsidRPr="000A6C6F">
        <w:rPr>
          <w:rFonts w:eastAsia="Calibri" w:cs="Arial"/>
          <w:sz w:val="18"/>
          <w:szCs w:val="18"/>
          <w:lang w:eastAsia="en-US"/>
        </w:rPr>
        <w:t>trimestre de 201</w:t>
      </w:r>
      <w:r w:rsidR="001A5422">
        <w:rPr>
          <w:rFonts w:eastAsia="Calibri" w:cs="Arial"/>
          <w:sz w:val="18"/>
          <w:szCs w:val="18"/>
          <w:lang w:eastAsia="en-US"/>
        </w:rPr>
        <w:t>8</w:t>
      </w:r>
      <w:r w:rsidRPr="000A6C6F">
        <w:rPr>
          <w:rFonts w:eastAsia="Calibri" w:cs="Arial"/>
          <w:sz w:val="18"/>
          <w:szCs w:val="18"/>
          <w:lang w:eastAsia="en-US"/>
        </w:rPr>
        <w:t xml:space="preserve">, el gasto del sector público presupuestario sumó </w:t>
      </w:r>
      <w:r w:rsidR="007121DA">
        <w:rPr>
          <w:rFonts w:eastAsia="Calibri" w:cs="Arial"/>
          <w:sz w:val="18"/>
          <w:szCs w:val="18"/>
          <w:lang w:eastAsia="en-US"/>
        </w:rPr>
        <w:t>13</w:t>
      </w:r>
      <w:r w:rsidRPr="000A6C6F">
        <w:rPr>
          <w:rFonts w:eastAsia="Calibri" w:cs="Arial"/>
          <w:sz w:val="18"/>
          <w:szCs w:val="18"/>
          <w:lang w:eastAsia="en-US"/>
        </w:rPr>
        <w:t xml:space="preserve"> mil </w:t>
      </w:r>
      <w:r w:rsidR="007121DA">
        <w:rPr>
          <w:rFonts w:eastAsia="Calibri" w:cs="Arial"/>
          <w:sz w:val="18"/>
          <w:szCs w:val="18"/>
          <w:lang w:eastAsia="en-US"/>
        </w:rPr>
        <w:t>655</w:t>
      </w:r>
      <w:r w:rsidRPr="000A6C6F">
        <w:rPr>
          <w:rFonts w:eastAsia="Calibri" w:cs="Arial"/>
          <w:sz w:val="18"/>
          <w:szCs w:val="18"/>
          <w:lang w:eastAsia="en-US"/>
        </w:rPr>
        <w:t>.</w:t>
      </w:r>
      <w:r w:rsidR="00061BEB">
        <w:rPr>
          <w:rFonts w:eastAsia="Calibri" w:cs="Arial"/>
          <w:sz w:val="18"/>
          <w:szCs w:val="18"/>
          <w:lang w:eastAsia="en-US"/>
        </w:rPr>
        <w:t>2</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9</w:t>
      </w:r>
      <w:r w:rsidR="00B27D3A">
        <w:rPr>
          <w:rFonts w:eastAsia="Calibri" w:cs="Arial"/>
          <w:sz w:val="18"/>
          <w:szCs w:val="18"/>
          <w:lang w:eastAsia="en-US"/>
        </w:rPr>
        <w:t>8</w:t>
      </w:r>
      <w:r w:rsidRPr="000A6C6F">
        <w:rPr>
          <w:rFonts w:eastAsia="Calibri" w:cs="Arial"/>
          <w:sz w:val="18"/>
          <w:szCs w:val="18"/>
          <w:lang w:eastAsia="en-US"/>
        </w:rPr>
        <w:t>.</w:t>
      </w:r>
      <w:r w:rsidR="00B27D3A">
        <w:rPr>
          <w:rFonts w:eastAsia="Calibri" w:cs="Arial"/>
          <w:sz w:val="18"/>
          <w:szCs w:val="18"/>
          <w:lang w:eastAsia="en-US"/>
        </w:rPr>
        <w:t>8</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los gastos destinados a la inversión de capital</w:t>
      </w:r>
      <w:r w:rsidRPr="000A6C6F">
        <w:rPr>
          <w:rFonts w:eastAsia="Calibri" w:cs="Arial"/>
          <w:sz w:val="18"/>
          <w:szCs w:val="18"/>
          <w:lang w:eastAsia="en-US"/>
        </w:rPr>
        <w:t xml:space="preserve"> </w:t>
      </w:r>
      <w:r>
        <w:rPr>
          <w:rFonts w:eastAsia="Calibri" w:cs="Arial"/>
          <w:sz w:val="18"/>
          <w:szCs w:val="18"/>
          <w:lang w:eastAsia="en-US"/>
        </w:rPr>
        <w:t xml:space="preserve">solo fue del </w:t>
      </w:r>
      <w:r w:rsidR="00B27D3A">
        <w:rPr>
          <w:rFonts w:eastAsia="Calibri" w:cs="Arial"/>
          <w:sz w:val="18"/>
          <w:szCs w:val="18"/>
          <w:lang w:eastAsia="en-US"/>
        </w:rPr>
        <w:t>1</w:t>
      </w:r>
      <w:r w:rsidRPr="000A6C6F">
        <w:rPr>
          <w:rFonts w:eastAsia="Calibri" w:cs="Arial"/>
          <w:sz w:val="18"/>
          <w:szCs w:val="18"/>
          <w:lang w:eastAsia="en-US"/>
        </w:rPr>
        <w:t>.</w:t>
      </w:r>
      <w:r w:rsidR="00B27D3A">
        <w:rPr>
          <w:rFonts w:eastAsia="Calibri" w:cs="Arial"/>
          <w:sz w:val="18"/>
          <w:szCs w:val="18"/>
          <w:lang w:eastAsia="en-US"/>
        </w:rPr>
        <w:t>2</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35546C">
        <w:rPr>
          <w:rFonts w:eastAsia="Calibri" w:cs="Arial"/>
          <w:sz w:val="18"/>
          <w:szCs w:val="18"/>
          <w:lang w:eastAsia="en-US"/>
        </w:rPr>
        <w:t>1</w:t>
      </w:r>
      <w:r w:rsidR="00FF6064">
        <w:rPr>
          <w:rFonts w:eastAsia="Calibri" w:cs="Arial"/>
          <w:sz w:val="18"/>
          <w:szCs w:val="18"/>
          <w:lang w:eastAsia="en-US"/>
        </w:rPr>
        <w:t>5</w:t>
      </w:r>
      <w:r w:rsidRPr="000A6C6F">
        <w:rPr>
          <w:rFonts w:eastAsia="Calibri" w:cs="Arial"/>
          <w:sz w:val="18"/>
          <w:szCs w:val="18"/>
          <w:lang w:eastAsia="en-US"/>
        </w:rPr>
        <w:t xml:space="preserve"> mil </w:t>
      </w:r>
      <w:r w:rsidR="00CB19D7">
        <w:rPr>
          <w:rFonts w:eastAsia="Calibri" w:cs="Arial"/>
          <w:sz w:val="18"/>
          <w:szCs w:val="18"/>
          <w:lang w:eastAsia="en-US"/>
        </w:rPr>
        <w:t>3</w:t>
      </w:r>
      <w:r w:rsidR="00FF6064">
        <w:rPr>
          <w:rFonts w:eastAsia="Calibri" w:cs="Arial"/>
          <w:sz w:val="18"/>
          <w:szCs w:val="18"/>
          <w:lang w:eastAsia="en-US"/>
        </w:rPr>
        <w:t>11</w:t>
      </w:r>
      <w:r w:rsidRPr="000A6C6F">
        <w:rPr>
          <w:rFonts w:eastAsia="Calibri" w:cs="Arial"/>
          <w:sz w:val="18"/>
          <w:szCs w:val="18"/>
          <w:lang w:eastAsia="en-US"/>
        </w:rPr>
        <w:t>.</w:t>
      </w:r>
      <w:r w:rsidR="00FF6064">
        <w:rPr>
          <w:rFonts w:eastAsia="Calibri" w:cs="Arial"/>
          <w:sz w:val="18"/>
          <w:szCs w:val="18"/>
          <w:lang w:eastAsia="en-US"/>
        </w:rPr>
        <w:t>4</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35546C">
        <w:rPr>
          <w:rFonts w:eastAsia="Calibri" w:cs="Arial"/>
          <w:sz w:val="18"/>
          <w:szCs w:val="18"/>
          <w:lang w:eastAsia="en-US"/>
        </w:rPr>
        <w:t>2</w:t>
      </w:r>
      <w:r w:rsidR="008F4AED">
        <w:rPr>
          <w:rFonts w:eastAsia="Calibri" w:cs="Arial"/>
          <w:sz w:val="18"/>
          <w:szCs w:val="18"/>
          <w:lang w:eastAsia="en-US"/>
        </w:rPr>
        <w:t>0</w:t>
      </w:r>
      <w:r w:rsidR="00183C33">
        <w:rPr>
          <w:rFonts w:eastAsia="Calibri" w:cs="Arial"/>
          <w:sz w:val="18"/>
          <w:szCs w:val="18"/>
          <w:lang w:eastAsia="en-US"/>
        </w:rPr>
        <w:t>.</w:t>
      </w:r>
      <w:r w:rsidR="008F4AED">
        <w:rPr>
          <w:rFonts w:eastAsia="Calibri" w:cs="Arial"/>
          <w:sz w:val="18"/>
          <w:szCs w:val="18"/>
          <w:lang w:eastAsia="en-US"/>
        </w:rPr>
        <w:t>8</w:t>
      </w:r>
      <w:r w:rsidRPr="00A57C29">
        <w:rPr>
          <w:rFonts w:eastAsia="Calibri" w:cs="Arial"/>
          <w:sz w:val="18"/>
          <w:szCs w:val="18"/>
          <w:lang w:eastAsia="en-US"/>
        </w:rPr>
        <w:t xml:space="preserve"> % con relación a lo previsto para este ejercicio. Por su parte, el gasto de inversión registró </w:t>
      </w:r>
      <w:r w:rsidR="008F4AED">
        <w:rPr>
          <w:rFonts w:eastAsia="Calibri" w:cs="Arial"/>
          <w:sz w:val="18"/>
          <w:szCs w:val="18"/>
          <w:lang w:eastAsia="en-US"/>
        </w:rPr>
        <w:t>1,</w:t>
      </w:r>
      <w:r w:rsidR="00D95E8F">
        <w:rPr>
          <w:rFonts w:eastAsia="Calibri" w:cs="Arial"/>
          <w:sz w:val="18"/>
          <w:szCs w:val="18"/>
          <w:lang w:eastAsia="en-US"/>
        </w:rPr>
        <w:t>3</w:t>
      </w:r>
      <w:r w:rsidR="008F4AED">
        <w:rPr>
          <w:rFonts w:eastAsia="Calibri" w:cs="Arial"/>
          <w:sz w:val="18"/>
          <w:szCs w:val="18"/>
          <w:lang w:eastAsia="en-US"/>
        </w:rPr>
        <w:t>88</w:t>
      </w:r>
      <w:r>
        <w:rPr>
          <w:rFonts w:eastAsia="Calibri" w:cs="Arial"/>
          <w:sz w:val="18"/>
          <w:szCs w:val="18"/>
          <w:lang w:eastAsia="en-US"/>
        </w:rPr>
        <w:t>.</w:t>
      </w:r>
      <w:r w:rsidR="008F4AED">
        <w:rPr>
          <w:rFonts w:eastAsia="Calibri" w:cs="Arial"/>
          <w:sz w:val="18"/>
          <w:szCs w:val="18"/>
          <w:lang w:eastAsia="en-US"/>
        </w:rPr>
        <w:t>8</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8F4AED">
        <w:rPr>
          <w:rFonts w:eastAsia="Calibri" w:cs="Arial"/>
          <w:sz w:val="18"/>
          <w:szCs w:val="18"/>
          <w:lang w:eastAsia="en-US"/>
        </w:rPr>
        <w:t>5</w:t>
      </w:r>
      <w:r w:rsidR="00D95E8F">
        <w:rPr>
          <w:rFonts w:eastAsia="Calibri" w:cs="Arial"/>
          <w:sz w:val="18"/>
          <w:szCs w:val="18"/>
          <w:lang w:eastAsia="en-US"/>
        </w:rPr>
        <w:t>9</w:t>
      </w:r>
      <w:r w:rsidR="00183C33">
        <w:rPr>
          <w:rFonts w:eastAsia="Calibri" w:cs="Arial"/>
          <w:sz w:val="18"/>
          <w:szCs w:val="18"/>
          <w:lang w:eastAsia="en-US"/>
        </w:rPr>
        <w:t>.</w:t>
      </w:r>
      <w:r w:rsidR="008F4AED">
        <w:rPr>
          <w:rFonts w:eastAsia="Calibri" w:cs="Arial"/>
          <w:sz w:val="18"/>
          <w:szCs w:val="18"/>
          <w:lang w:eastAsia="en-US"/>
        </w:rPr>
        <w:t>7</w:t>
      </w:r>
      <w:r w:rsidR="002D51ED">
        <w:rPr>
          <w:rFonts w:eastAsia="Calibri" w:cs="Arial"/>
          <w:sz w:val="18"/>
          <w:szCs w:val="18"/>
          <w:lang w:eastAsia="en-US"/>
        </w:rPr>
        <w:t xml:space="preserve"> </w:t>
      </w:r>
      <w:r>
        <w:rPr>
          <w:rFonts w:eastAsia="Calibri" w:cs="Arial"/>
          <w:sz w:val="18"/>
          <w:szCs w:val="18"/>
          <w:lang w:eastAsia="en-US"/>
        </w:rPr>
        <w:t>%</w:t>
      </w:r>
      <w:r w:rsidRPr="00A57C29">
        <w:rPr>
          <w:rFonts w:eastAsia="Calibri" w:cs="Arial"/>
          <w:sz w:val="18"/>
          <w:szCs w:val="18"/>
          <w:lang w:eastAsia="en-US"/>
        </w:rPr>
        <w:t>.</w:t>
      </w:r>
    </w:p>
    <w:p w:rsidR="007B6CFC" w:rsidRDefault="007B6CFC" w:rsidP="007B6CFC"/>
    <w:tbl>
      <w:tblPr>
        <w:tblW w:w="12620" w:type="dxa"/>
        <w:jc w:val="center"/>
        <w:tblCellMar>
          <w:left w:w="70" w:type="dxa"/>
          <w:right w:w="70" w:type="dxa"/>
        </w:tblCellMar>
        <w:tblLook w:val="04A0" w:firstRow="1" w:lastRow="0" w:firstColumn="1" w:lastColumn="0" w:noHBand="0" w:noVBand="1"/>
      </w:tblPr>
      <w:tblGrid>
        <w:gridCol w:w="4060"/>
        <w:gridCol w:w="1460"/>
        <w:gridCol w:w="1360"/>
        <w:gridCol w:w="1460"/>
        <w:gridCol w:w="1460"/>
        <w:gridCol w:w="1460"/>
        <w:gridCol w:w="1360"/>
      </w:tblGrid>
      <w:tr w:rsidR="00323A47" w:rsidRPr="00323A47" w:rsidTr="00323A47">
        <w:trPr>
          <w:trHeight w:val="285"/>
          <w:jc w:val="center"/>
        </w:trPr>
        <w:tc>
          <w:tcPr>
            <w:tcW w:w="12620" w:type="dxa"/>
            <w:gridSpan w:val="7"/>
            <w:tcBorders>
              <w:top w:val="nil"/>
              <w:left w:val="nil"/>
              <w:bottom w:val="nil"/>
              <w:right w:val="nil"/>
            </w:tcBorders>
            <w:shd w:val="clear" w:color="000000" w:fill="9A1C1D"/>
            <w:vAlign w:val="center"/>
            <w:hideMark/>
          </w:tcPr>
          <w:p w:rsidR="00323A47" w:rsidRPr="00323A47" w:rsidRDefault="00323A47" w:rsidP="00323A47">
            <w:pPr>
              <w:spacing w:after="0"/>
              <w:jc w:val="center"/>
              <w:rPr>
                <w:rFonts w:ascii="Calibri" w:hAnsi="Calibri" w:cs="Calibri"/>
                <w:b/>
                <w:bCs/>
                <w:color w:val="FFFFFF"/>
                <w:sz w:val="16"/>
                <w:szCs w:val="16"/>
                <w:lang w:eastAsia="es-MX"/>
              </w:rPr>
            </w:pPr>
            <w:r w:rsidRPr="00323A47">
              <w:rPr>
                <w:rFonts w:ascii="Calibri" w:hAnsi="Calibri" w:cs="Calibri"/>
                <w:b/>
                <w:bCs/>
                <w:color w:val="FFFFFF"/>
                <w:sz w:val="16"/>
                <w:szCs w:val="16"/>
                <w:lang w:eastAsia="es-MX"/>
              </w:rPr>
              <w:t>CUENTA PUBLICA 2018</w:t>
            </w:r>
          </w:p>
        </w:tc>
      </w:tr>
      <w:tr w:rsidR="00323A47" w:rsidRPr="00323A47" w:rsidTr="00323A47">
        <w:trPr>
          <w:trHeight w:val="285"/>
          <w:jc w:val="center"/>
        </w:trPr>
        <w:tc>
          <w:tcPr>
            <w:tcW w:w="12620" w:type="dxa"/>
            <w:gridSpan w:val="7"/>
            <w:tcBorders>
              <w:top w:val="nil"/>
              <w:left w:val="nil"/>
              <w:bottom w:val="nil"/>
              <w:right w:val="nil"/>
            </w:tcBorders>
            <w:shd w:val="clear" w:color="000000" w:fill="9A1C1D"/>
            <w:vAlign w:val="center"/>
            <w:hideMark/>
          </w:tcPr>
          <w:p w:rsidR="00323A47" w:rsidRPr="00323A47" w:rsidRDefault="00323A47" w:rsidP="00323A47">
            <w:pPr>
              <w:spacing w:after="0"/>
              <w:jc w:val="center"/>
              <w:rPr>
                <w:rFonts w:ascii="Calibri" w:hAnsi="Calibri" w:cs="Calibri"/>
                <w:b/>
                <w:bCs/>
                <w:color w:val="FFFFFF"/>
                <w:sz w:val="16"/>
                <w:szCs w:val="16"/>
                <w:lang w:eastAsia="es-MX"/>
              </w:rPr>
            </w:pPr>
            <w:r w:rsidRPr="00323A47">
              <w:rPr>
                <w:rFonts w:ascii="Calibri" w:hAnsi="Calibri" w:cs="Calibri"/>
                <w:b/>
                <w:bCs/>
                <w:color w:val="FFFFFF"/>
                <w:sz w:val="16"/>
                <w:szCs w:val="16"/>
                <w:lang w:eastAsia="es-MX"/>
              </w:rPr>
              <w:t>PODER EJECUTIVO</w:t>
            </w:r>
          </w:p>
        </w:tc>
      </w:tr>
      <w:tr w:rsidR="00323A47" w:rsidRPr="00323A47" w:rsidTr="00323A47">
        <w:trPr>
          <w:trHeight w:val="285"/>
          <w:jc w:val="center"/>
        </w:trPr>
        <w:tc>
          <w:tcPr>
            <w:tcW w:w="12620" w:type="dxa"/>
            <w:gridSpan w:val="7"/>
            <w:tcBorders>
              <w:top w:val="nil"/>
              <w:left w:val="nil"/>
              <w:bottom w:val="nil"/>
              <w:right w:val="nil"/>
            </w:tcBorders>
            <w:shd w:val="clear" w:color="000000" w:fill="9A1C1D"/>
            <w:vAlign w:val="center"/>
            <w:hideMark/>
          </w:tcPr>
          <w:p w:rsidR="00323A47" w:rsidRPr="00323A47" w:rsidRDefault="00323A47" w:rsidP="00323A47">
            <w:pPr>
              <w:spacing w:after="0"/>
              <w:jc w:val="center"/>
              <w:rPr>
                <w:rFonts w:ascii="Calibri" w:hAnsi="Calibri" w:cs="Calibri"/>
                <w:b/>
                <w:bCs/>
                <w:color w:val="FFFFFF"/>
                <w:sz w:val="16"/>
                <w:szCs w:val="16"/>
                <w:lang w:eastAsia="es-MX"/>
              </w:rPr>
            </w:pPr>
            <w:r w:rsidRPr="00323A47">
              <w:rPr>
                <w:rFonts w:ascii="Calibri" w:hAnsi="Calibri" w:cs="Calibri"/>
                <w:b/>
                <w:bCs/>
                <w:color w:val="FFFFFF"/>
                <w:sz w:val="16"/>
                <w:szCs w:val="16"/>
                <w:lang w:eastAsia="es-MX"/>
              </w:rPr>
              <w:t xml:space="preserve">ESTADO </w:t>
            </w:r>
            <w:r w:rsidR="008F4AED" w:rsidRPr="00323A47">
              <w:rPr>
                <w:rFonts w:ascii="Calibri" w:hAnsi="Calibri" w:cs="Calibri"/>
                <w:b/>
                <w:bCs/>
                <w:color w:val="FFFFFF"/>
                <w:sz w:val="16"/>
                <w:szCs w:val="16"/>
                <w:lang w:eastAsia="es-MX"/>
              </w:rPr>
              <w:t>ANALÍTICO</w:t>
            </w:r>
            <w:r w:rsidRPr="00323A47">
              <w:rPr>
                <w:rFonts w:ascii="Calibri" w:hAnsi="Calibri" w:cs="Calibri"/>
                <w:b/>
                <w:bCs/>
                <w:color w:val="FFFFFF"/>
                <w:sz w:val="16"/>
                <w:szCs w:val="16"/>
                <w:lang w:eastAsia="es-MX"/>
              </w:rPr>
              <w:t xml:space="preserve"> DEL EJERCICIO DEL PRESUPUESTO DE EGRESOS</w:t>
            </w:r>
          </w:p>
        </w:tc>
      </w:tr>
      <w:tr w:rsidR="00323A47" w:rsidRPr="00323A47" w:rsidTr="00323A47">
        <w:trPr>
          <w:trHeight w:val="285"/>
          <w:jc w:val="center"/>
        </w:trPr>
        <w:tc>
          <w:tcPr>
            <w:tcW w:w="12620" w:type="dxa"/>
            <w:gridSpan w:val="7"/>
            <w:tcBorders>
              <w:top w:val="nil"/>
              <w:left w:val="nil"/>
              <w:bottom w:val="nil"/>
              <w:right w:val="nil"/>
            </w:tcBorders>
            <w:shd w:val="clear" w:color="000000" w:fill="9A1C1D"/>
            <w:vAlign w:val="center"/>
            <w:hideMark/>
          </w:tcPr>
          <w:p w:rsidR="00323A47" w:rsidRPr="00323A47" w:rsidRDefault="008F4AED" w:rsidP="00323A47">
            <w:pPr>
              <w:spacing w:after="0"/>
              <w:jc w:val="center"/>
              <w:rPr>
                <w:rFonts w:ascii="Calibri" w:hAnsi="Calibri" w:cs="Calibri"/>
                <w:b/>
                <w:bCs/>
                <w:color w:val="FFFFFF"/>
                <w:sz w:val="16"/>
                <w:szCs w:val="16"/>
                <w:lang w:eastAsia="es-MX"/>
              </w:rPr>
            </w:pPr>
            <w:r w:rsidRPr="00323A47">
              <w:rPr>
                <w:rFonts w:ascii="Calibri" w:hAnsi="Calibri" w:cs="Calibri"/>
                <w:b/>
                <w:bCs/>
                <w:color w:val="FFFFFF"/>
                <w:sz w:val="16"/>
                <w:szCs w:val="16"/>
                <w:lang w:eastAsia="es-MX"/>
              </w:rPr>
              <w:t>CLASIFICACIÓN</w:t>
            </w:r>
            <w:r w:rsidR="00323A47" w:rsidRPr="00323A47">
              <w:rPr>
                <w:rFonts w:ascii="Calibri" w:hAnsi="Calibri" w:cs="Calibri"/>
                <w:b/>
                <w:bCs/>
                <w:color w:val="FFFFFF"/>
                <w:sz w:val="16"/>
                <w:szCs w:val="16"/>
                <w:lang w:eastAsia="es-MX"/>
              </w:rPr>
              <w:t xml:space="preserve"> </w:t>
            </w:r>
            <w:r w:rsidRPr="00323A47">
              <w:rPr>
                <w:rFonts w:ascii="Calibri" w:hAnsi="Calibri" w:cs="Calibri"/>
                <w:b/>
                <w:bCs/>
                <w:color w:val="FFFFFF"/>
                <w:sz w:val="16"/>
                <w:szCs w:val="16"/>
                <w:lang w:eastAsia="es-MX"/>
              </w:rPr>
              <w:t>ECONÓMICA</w:t>
            </w:r>
            <w:r w:rsidR="00323A47" w:rsidRPr="00323A47">
              <w:rPr>
                <w:rFonts w:ascii="Calibri" w:hAnsi="Calibri" w:cs="Calibri"/>
                <w:b/>
                <w:bCs/>
                <w:color w:val="FFFFFF"/>
                <w:sz w:val="16"/>
                <w:szCs w:val="16"/>
                <w:lang w:eastAsia="es-MX"/>
              </w:rPr>
              <w:t xml:space="preserve"> (POR TIPO DE GASTO)</w:t>
            </w:r>
          </w:p>
        </w:tc>
      </w:tr>
      <w:tr w:rsidR="00323A47" w:rsidRPr="00323A47" w:rsidTr="00323A47">
        <w:trPr>
          <w:trHeight w:val="285"/>
          <w:jc w:val="center"/>
        </w:trPr>
        <w:tc>
          <w:tcPr>
            <w:tcW w:w="12620" w:type="dxa"/>
            <w:gridSpan w:val="7"/>
            <w:tcBorders>
              <w:top w:val="nil"/>
              <w:left w:val="nil"/>
              <w:bottom w:val="nil"/>
              <w:right w:val="nil"/>
            </w:tcBorders>
            <w:shd w:val="clear" w:color="000000" w:fill="9A1C1D"/>
            <w:vAlign w:val="center"/>
            <w:hideMark/>
          </w:tcPr>
          <w:p w:rsidR="00323A47" w:rsidRPr="00323A47" w:rsidRDefault="00323A47" w:rsidP="00323A47">
            <w:pPr>
              <w:spacing w:after="0"/>
              <w:jc w:val="center"/>
              <w:rPr>
                <w:rFonts w:ascii="Calibri" w:hAnsi="Calibri" w:cs="Calibri"/>
                <w:b/>
                <w:bCs/>
                <w:color w:val="FFFFFF"/>
                <w:sz w:val="16"/>
                <w:szCs w:val="16"/>
                <w:lang w:eastAsia="es-MX"/>
              </w:rPr>
            </w:pPr>
            <w:r w:rsidRPr="00323A47">
              <w:rPr>
                <w:rFonts w:ascii="Calibri" w:hAnsi="Calibri" w:cs="Calibri"/>
                <w:b/>
                <w:bCs/>
                <w:color w:val="FFFFFF"/>
                <w:sz w:val="16"/>
                <w:szCs w:val="16"/>
                <w:lang w:eastAsia="es-MX"/>
              </w:rPr>
              <w:t>DEL 01 DE ENERO DE 2018 AL 30 DE SEPTIEMBRE DE 2018</w:t>
            </w:r>
          </w:p>
        </w:tc>
      </w:tr>
      <w:tr w:rsidR="00323A47" w:rsidRPr="00323A47" w:rsidTr="00323A47">
        <w:trPr>
          <w:trHeight w:val="285"/>
          <w:jc w:val="center"/>
        </w:trPr>
        <w:tc>
          <w:tcPr>
            <w:tcW w:w="12620" w:type="dxa"/>
            <w:gridSpan w:val="7"/>
            <w:tcBorders>
              <w:top w:val="nil"/>
              <w:left w:val="nil"/>
              <w:bottom w:val="single" w:sz="4" w:space="0" w:color="000000"/>
              <w:right w:val="nil"/>
            </w:tcBorders>
            <w:shd w:val="clear" w:color="auto" w:fill="auto"/>
            <w:vAlign w:val="bottom"/>
            <w:hideMark/>
          </w:tcPr>
          <w:p w:rsidR="00323A47" w:rsidRPr="00323A47" w:rsidRDefault="00323A47" w:rsidP="00323A47">
            <w:pPr>
              <w:spacing w:after="0"/>
              <w:jc w:val="left"/>
              <w:rPr>
                <w:rFonts w:cs="Arial"/>
                <w:color w:val="000000"/>
                <w:sz w:val="16"/>
                <w:szCs w:val="16"/>
                <w:lang w:eastAsia="es-MX"/>
              </w:rPr>
            </w:pPr>
            <w:r w:rsidRPr="00323A47">
              <w:rPr>
                <w:rFonts w:cs="Arial"/>
                <w:color w:val="000000"/>
                <w:sz w:val="16"/>
                <w:szCs w:val="16"/>
                <w:lang w:eastAsia="es-MX"/>
              </w:rPr>
              <w:t> </w:t>
            </w:r>
          </w:p>
        </w:tc>
      </w:tr>
      <w:tr w:rsidR="00323A47" w:rsidRPr="00323A47" w:rsidTr="00323A47">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CONCEPTO</w:t>
            </w:r>
          </w:p>
        </w:tc>
        <w:tc>
          <w:tcPr>
            <w:tcW w:w="72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EGRESOS</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SUBEJERCICIO</w:t>
            </w:r>
          </w:p>
        </w:tc>
      </w:tr>
      <w:tr w:rsidR="00323A47" w:rsidRPr="00323A47" w:rsidTr="00323A47">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MODIFICADO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DEVENGADO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PAGADO</w:t>
            </w:r>
          </w:p>
        </w:tc>
        <w:tc>
          <w:tcPr>
            <w:tcW w:w="13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r>
      <w:tr w:rsidR="00323A47" w:rsidRPr="00323A47" w:rsidTr="00323A47">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r>
      <w:tr w:rsidR="00323A47" w:rsidRPr="00323A47" w:rsidTr="00323A47">
        <w:trPr>
          <w:trHeight w:val="402"/>
          <w:jc w:val="center"/>
        </w:trPr>
        <w:tc>
          <w:tcPr>
            <w:tcW w:w="4060" w:type="dxa"/>
            <w:vMerge/>
            <w:tcBorders>
              <w:top w:val="nil"/>
              <w:left w:val="single" w:sz="4" w:space="0" w:color="000000"/>
              <w:bottom w:val="single" w:sz="4" w:space="0" w:color="auto"/>
              <w:right w:val="single" w:sz="4" w:space="0" w:color="000000"/>
            </w:tcBorders>
            <w:vAlign w:val="center"/>
            <w:hideMark/>
          </w:tcPr>
          <w:p w:rsidR="00323A47" w:rsidRPr="00323A47" w:rsidRDefault="00323A47" w:rsidP="00323A47">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1</w:t>
            </w:r>
          </w:p>
        </w:tc>
        <w:tc>
          <w:tcPr>
            <w:tcW w:w="13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2</w:t>
            </w:r>
          </w:p>
        </w:tc>
        <w:tc>
          <w:tcPr>
            <w:tcW w:w="14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3 = (1 + 2)</w:t>
            </w:r>
          </w:p>
        </w:tc>
        <w:tc>
          <w:tcPr>
            <w:tcW w:w="14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4</w:t>
            </w:r>
          </w:p>
        </w:tc>
        <w:tc>
          <w:tcPr>
            <w:tcW w:w="14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5</w:t>
            </w:r>
          </w:p>
        </w:tc>
        <w:tc>
          <w:tcPr>
            <w:tcW w:w="1360" w:type="dxa"/>
            <w:tcBorders>
              <w:top w:val="nil"/>
              <w:left w:val="nil"/>
              <w:bottom w:val="single" w:sz="4" w:space="0" w:color="auto"/>
              <w:right w:val="single" w:sz="4" w:space="0" w:color="000000"/>
            </w:tcBorders>
            <w:shd w:val="clear" w:color="000000" w:fill="C8C8C8"/>
            <w:vAlign w:val="center"/>
            <w:hideMark/>
          </w:tcPr>
          <w:p w:rsidR="00323A47" w:rsidRPr="00323A47" w:rsidRDefault="00323A47" w:rsidP="00323A47">
            <w:pPr>
              <w:spacing w:after="0"/>
              <w:jc w:val="center"/>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6 = (3 - 4)</w:t>
            </w:r>
          </w:p>
        </w:tc>
      </w:tr>
      <w:tr w:rsidR="00323A47" w:rsidRPr="00323A47" w:rsidTr="00323A47">
        <w:trPr>
          <w:trHeight w:val="285"/>
          <w:jc w:val="center"/>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left"/>
              <w:rPr>
                <w:rFonts w:ascii="Calibri" w:hAnsi="Calibri" w:cs="Calibri"/>
                <w:color w:val="000000"/>
                <w:sz w:val="16"/>
                <w:szCs w:val="16"/>
                <w:lang w:eastAsia="es-MX"/>
              </w:rPr>
            </w:pPr>
            <w:r w:rsidRPr="00323A47">
              <w:rPr>
                <w:rFonts w:ascii="Calibri" w:hAnsi="Calibri" w:cs="Calibri"/>
                <w:color w:val="000000"/>
                <w:sz w:val="16"/>
                <w:szCs w:val="16"/>
                <w:lang w:eastAsia="es-MX"/>
              </w:rPr>
              <w:t>GASTO CORRIENTE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12,676,630,085.42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2,634,844,099.10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15,311,474,184.52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13,492,150,305.57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13,490,953,196.95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1,819,323,878.95</w:t>
            </w:r>
          </w:p>
        </w:tc>
      </w:tr>
      <w:tr w:rsidR="00323A47" w:rsidRPr="00323A47" w:rsidTr="00323A47">
        <w:trPr>
          <w:trHeight w:val="285"/>
          <w:jc w:val="center"/>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left"/>
              <w:rPr>
                <w:rFonts w:ascii="Calibri" w:hAnsi="Calibri" w:cs="Calibri"/>
                <w:color w:val="000000"/>
                <w:sz w:val="16"/>
                <w:szCs w:val="16"/>
                <w:lang w:eastAsia="es-MX"/>
              </w:rPr>
            </w:pPr>
            <w:r w:rsidRPr="00323A47">
              <w:rPr>
                <w:rFonts w:ascii="Calibri" w:hAnsi="Calibri" w:cs="Calibri"/>
                <w:color w:val="000000"/>
                <w:sz w:val="16"/>
                <w:szCs w:val="16"/>
                <w:lang w:eastAsia="es-MX"/>
              </w:rPr>
              <w:t>GASTO DE CAPITAL</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869,757,229.09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519,108,793.59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1,388,866,022.68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163,065,261.60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163,065,261.60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1,225,800,761.08</w:t>
            </w:r>
          </w:p>
        </w:tc>
      </w:tr>
      <w:tr w:rsidR="00323A47" w:rsidRPr="00323A47" w:rsidTr="00323A47">
        <w:trPr>
          <w:trHeight w:val="285"/>
          <w:jc w:val="center"/>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left"/>
              <w:rPr>
                <w:rFonts w:ascii="Calibri" w:hAnsi="Calibri" w:cs="Calibri"/>
                <w:color w:val="000000"/>
                <w:sz w:val="16"/>
                <w:szCs w:val="16"/>
                <w:lang w:eastAsia="es-MX"/>
              </w:rPr>
            </w:pPr>
            <w:r w:rsidRPr="00323A47">
              <w:rPr>
                <w:rFonts w:ascii="Calibri" w:hAnsi="Calibri" w:cs="Calibri"/>
                <w:color w:val="000000"/>
                <w:sz w:val="16"/>
                <w:szCs w:val="16"/>
                <w:lang w:eastAsia="es-MX"/>
              </w:rPr>
              <w:t>AMORTIZACIÓN DE LA DEUDA Y DISMINUCIÓN DE PASIVOS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sidRPr="00323A47">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323A47">
              <w:rPr>
                <w:rFonts w:ascii="Calibri" w:hAnsi="Calibri" w:cs="Calibri"/>
                <w:color w:val="000000"/>
                <w:sz w:val="16"/>
                <w:szCs w:val="16"/>
                <w:lang w:eastAsia="es-MX"/>
              </w:rPr>
              <w:t>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323A47">
              <w:rPr>
                <w:rFonts w:ascii="Calibri" w:hAnsi="Calibri" w:cs="Calibri"/>
                <w:color w:val="000000"/>
                <w:sz w:val="16"/>
                <w:szCs w:val="16"/>
                <w:lang w:eastAsia="es-MX"/>
              </w:rPr>
              <w:t>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3A47" w:rsidRPr="00323A47" w:rsidRDefault="00323A47" w:rsidP="00323A47">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323A47">
              <w:rPr>
                <w:rFonts w:ascii="Calibri" w:hAnsi="Calibri" w:cs="Calibri"/>
                <w:color w:val="000000"/>
                <w:sz w:val="16"/>
                <w:szCs w:val="16"/>
                <w:lang w:eastAsia="es-MX"/>
              </w:rPr>
              <w:t>0</w:t>
            </w:r>
          </w:p>
        </w:tc>
      </w:tr>
      <w:tr w:rsidR="00323A47" w:rsidRPr="00323A47" w:rsidTr="00323A47">
        <w:trPr>
          <w:trHeight w:val="402"/>
          <w:jc w:val="center"/>
        </w:trPr>
        <w:tc>
          <w:tcPr>
            <w:tcW w:w="406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TOTAL DEL GASTO</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13,546,387,314.51</w:t>
            </w:r>
          </w:p>
        </w:tc>
        <w:tc>
          <w:tcPr>
            <w:tcW w:w="13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3,153,952,892.69</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16,700,340,207.20</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13,655,215,567.17</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13,654,018,458.55</w:t>
            </w:r>
          </w:p>
        </w:tc>
        <w:tc>
          <w:tcPr>
            <w:tcW w:w="1360" w:type="dxa"/>
            <w:tcBorders>
              <w:top w:val="single" w:sz="4" w:space="0" w:color="auto"/>
              <w:left w:val="nil"/>
              <w:bottom w:val="single" w:sz="4" w:space="0" w:color="000000"/>
              <w:right w:val="single" w:sz="4" w:space="0" w:color="000000"/>
            </w:tcBorders>
            <w:shd w:val="clear" w:color="auto" w:fill="auto"/>
            <w:vAlign w:val="center"/>
            <w:hideMark/>
          </w:tcPr>
          <w:p w:rsidR="00323A47" w:rsidRPr="00323A47" w:rsidRDefault="00323A47" w:rsidP="00323A47">
            <w:pPr>
              <w:spacing w:after="0"/>
              <w:jc w:val="right"/>
              <w:rPr>
                <w:rFonts w:ascii="Calibri" w:hAnsi="Calibri" w:cs="Calibri"/>
                <w:b/>
                <w:bCs/>
                <w:color w:val="000000"/>
                <w:sz w:val="16"/>
                <w:szCs w:val="16"/>
                <w:lang w:eastAsia="es-MX"/>
              </w:rPr>
            </w:pPr>
            <w:r w:rsidRPr="00323A47">
              <w:rPr>
                <w:rFonts w:ascii="Calibri" w:hAnsi="Calibri" w:cs="Calibri"/>
                <w:b/>
                <w:bCs/>
                <w:color w:val="000000"/>
                <w:sz w:val="16"/>
                <w:szCs w:val="16"/>
                <w:lang w:eastAsia="es-MX"/>
              </w:rPr>
              <w:t>3,045,124,640.03</w:t>
            </w:r>
          </w:p>
        </w:tc>
      </w:tr>
    </w:tbl>
    <w:p w:rsidR="001933E2" w:rsidRDefault="001933E2" w:rsidP="007B6CFC"/>
    <w:p w:rsidR="0015477C" w:rsidRDefault="0015477C" w:rsidP="007B6CFC">
      <w:pPr>
        <w:spacing w:before="240" w:after="120" w:line="240" w:lineRule="exact"/>
        <w:jc w:val="center"/>
        <w:rPr>
          <w:rFonts w:cs="Arial"/>
          <w:b/>
          <w:bCs/>
          <w:color w:val="800000"/>
          <w:sz w:val="18"/>
          <w:szCs w:val="18"/>
        </w:rPr>
      </w:pPr>
    </w:p>
    <w:p w:rsidR="00357E66" w:rsidRDefault="00357E66">
      <w:pPr>
        <w:spacing w:after="0"/>
        <w:jc w:val="left"/>
        <w:rPr>
          <w:rFonts w:cs="Arial"/>
          <w:b/>
          <w:bCs/>
          <w:color w:val="800000"/>
          <w:sz w:val="18"/>
          <w:szCs w:val="18"/>
        </w:rPr>
      </w:pPr>
      <w:r>
        <w:rPr>
          <w:rFonts w:cs="Arial"/>
          <w:b/>
          <w:bCs/>
          <w:color w:val="800000"/>
          <w:sz w:val="18"/>
          <w:szCs w:val="18"/>
        </w:rPr>
        <w:br w:type="page"/>
      </w: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Pr="00BC1D48"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FF1E12">
        <w:rPr>
          <w:rFonts w:cs="Arial"/>
          <w:sz w:val="18"/>
          <w:szCs w:val="18"/>
        </w:rPr>
        <w:t>1</w:t>
      </w:r>
      <w:r w:rsidRPr="00BC1D48">
        <w:rPr>
          <w:rFonts w:cs="Arial"/>
          <w:sz w:val="18"/>
          <w:szCs w:val="18"/>
        </w:rPr>
        <w:t>.</w:t>
      </w:r>
      <w:r w:rsidR="00FF1E12">
        <w:rPr>
          <w:rFonts w:cs="Arial"/>
          <w:sz w:val="18"/>
          <w:szCs w:val="18"/>
        </w:rPr>
        <w:t>7</w:t>
      </w:r>
      <w:r>
        <w:rPr>
          <w:rFonts w:cs="Arial"/>
          <w:sz w:val="18"/>
          <w:szCs w:val="18"/>
        </w:rPr>
        <w:t xml:space="preserve"> </w:t>
      </w:r>
      <w:r w:rsidRPr="00BC1D48">
        <w:rPr>
          <w:rFonts w:cs="Arial"/>
          <w:sz w:val="18"/>
          <w:szCs w:val="18"/>
        </w:rPr>
        <w:t>%; Poder Judicial 1.</w:t>
      </w:r>
      <w:r w:rsidR="00914BA0">
        <w:rPr>
          <w:rFonts w:cs="Arial"/>
          <w:sz w:val="18"/>
          <w:szCs w:val="18"/>
        </w:rPr>
        <w:t>3</w:t>
      </w:r>
      <w:r>
        <w:rPr>
          <w:rFonts w:cs="Arial"/>
          <w:sz w:val="18"/>
          <w:szCs w:val="18"/>
        </w:rPr>
        <w:t xml:space="preserve"> </w:t>
      </w:r>
      <w:r w:rsidRPr="00BC1D48">
        <w:rPr>
          <w:rFonts w:cs="Arial"/>
          <w:sz w:val="18"/>
          <w:szCs w:val="18"/>
        </w:rPr>
        <w:t xml:space="preserve">%; órganos autónomos </w:t>
      </w:r>
      <w:r w:rsidR="00FF1E12">
        <w:rPr>
          <w:rFonts w:cs="Arial"/>
          <w:sz w:val="18"/>
          <w:szCs w:val="18"/>
        </w:rPr>
        <w:t>5</w:t>
      </w:r>
      <w:r>
        <w:rPr>
          <w:rFonts w:cs="Arial"/>
          <w:sz w:val="18"/>
          <w:szCs w:val="18"/>
        </w:rPr>
        <w:t>.</w:t>
      </w:r>
      <w:r w:rsidR="00914BA0">
        <w:rPr>
          <w:rFonts w:cs="Arial"/>
          <w:sz w:val="18"/>
          <w:szCs w:val="18"/>
        </w:rPr>
        <w:t>6</w:t>
      </w:r>
      <w:r>
        <w:rPr>
          <w:rFonts w:cs="Arial"/>
          <w:sz w:val="18"/>
          <w:szCs w:val="18"/>
        </w:rPr>
        <w:t xml:space="preserve"> </w:t>
      </w:r>
      <w:r w:rsidRPr="00BC1D48">
        <w:rPr>
          <w:rFonts w:cs="Arial"/>
          <w:sz w:val="18"/>
          <w:szCs w:val="18"/>
        </w:rPr>
        <w:t xml:space="preserve">%; Municipios </w:t>
      </w:r>
      <w:r>
        <w:rPr>
          <w:rFonts w:cs="Arial"/>
          <w:sz w:val="18"/>
          <w:szCs w:val="18"/>
        </w:rPr>
        <w:t>2</w:t>
      </w:r>
      <w:r w:rsidR="00914BA0">
        <w:rPr>
          <w:rFonts w:cs="Arial"/>
          <w:sz w:val="18"/>
          <w:szCs w:val="18"/>
        </w:rPr>
        <w:t>3</w:t>
      </w:r>
      <w:r w:rsidR="003A0276">
        <w:rPr>
          <w:rFonts w:cs="Arial"/>
          <w:sz w:val="18"/>
          <w:szCs w:val="18"/>
        </w:rPr>
        <w:t>.</w:t>
      </w:r>
      <w:r w:rsidR="00914BA0">
        <w:rPr>
          <w:rFonts w:cs="Arial"/>
          <w:sz w:val="18"/>
          <w:szCs w:val="18"/>
        </w:rPr>
        <w:t>9</w:t>
      </w:r>
      <w:r>
        <w:rPr>
          <w:rFonts w:cs="Arial"/>
          <w:sz w:val="18"/>
          <w:szCs w:val="18"/>
        </w:rPr>
        <w:t xml:space="preserve"> %</w:t>
      </w:r>
      <w:r w:rsidRPr="00BC1D48">
        <w:rPr>
          <w:rFonts w:cs="Arial"/>
          <w:sz w:val="18"/>
          <w:szCs w:val="18"/>
        </w:rPr>
        <w:t xml:space="preserve"> y el restante </w:t>
      </w:r>
      <w:r w:rsidR="00FF1E12">
        <w:rPr>
          <w:rFonts w:cs="Arial"/>
          <w:sz w:val="18"/>
          <w:szCs w:val="18"/>
        </w:rPr>
        <w:t>6</w:t>
      </w:r>
      <w:r w:rsidR="00914BA0">
        <w:rPr>
          <w:rFonts w:cs="Arial"/>
          <w:sz w:val="18"/>
          <w:szCs w:val="18"/>
        </w:rPr>
        <w:t>7</w:t>
      </w:r>
      <w:r w:rsidRPr="00BC1D48">
        <w:rPr>
          <w:rFonts w:cs="Arial"/>
          <w:sz w:val="18"/>
          <w:szCs w:val="18"/>
        </w:rPr>
        <w:t>.</w:t>
      </w:r>
      <w:r w:rsidR="00914BA0">
        <w:rPr>
          <w:rFonts w:cs="Arial"/>
          <w:sz w:val="18"/>
          <w:szCs w:val="18"/>
        </w:rPr>
        <w:t>5</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7B6CFC" w:rsidRDefault="007B6CFC" w:rsidP="007B6CFC">
      <w:pPr>
        <w:spacing w:after="0" w:line="250" w:lineRule="exact"/>
      </w:pPr>
    </w:p>
    <w:p w:rsidR="00F677A6" w:rsidRDefault="00F677A6" w:rsidP="007B6CFC">
      <w:pPr>
        <w:spacing w:after="0" w:line="250" w:lineRule="exact"/>
      </w:pPr>
    </w:p>
    <w:tbl>
      <w:tblPr>
        <w:tblW w:w="13360" w:type="dxa"/>
        <w:tblInd w:w="55" w:type="dxa"/>
        <w:tblCellMar>
          <w:left w:w="70" w:type="dxa"/>
          <w:right w:w="70" w:type="dxa"/>
        </w:tblCellMar>
        <w:tblLook w:val="04A0" w:firstRow="1" w:lastRow="0" w:firstColumn="1" w:lastColumn="0" w:noHBand="0" w:noVBand="1"/>
      </w:tblPr>
      <w:tblGrid>
        <w:gridCol w:w="4800"/>
        <w:gridCol w:w="1460"/>
        <w:gridCol w:w="1360"/>
        <w:gridCol w:w="1460"/>
        <w:gridCol w:w="1460"/>
        <w:gridCol w:w="1460"/>
        <w:gridCol w:w="1360"/>
      </w:tblGrid>
      <w:tr w:rsidR="00BD0553" w:rsidRPr="00BD0553" w:rsidTr="00E333D3">
        <w:trPr>
          <w:trHeight w:val="285"/>
          <w:tblHeader/>
        </w:trPr>
        <w:tc>
          <w:tcPr>
            <w:tcW w:w="13360" w:type="dxa"/>
            <w:gridSpan w:val="7"/>
            <w:tcBorders>
              <w:top w:val="nil"/>
              <w:left w:val="nil"/>
              <w:bottom w:val="nil"/>
              <w:right w:val="nil"/>
            </w:tcBorders>
            <w:shd w:val="clear" w:color="000000" w:fill="9A1C1D"/>
            <w:vAlign w:val="center"/>
            <w:hideMark/>
          </w:tcPr>
          <w:p w:rsidR="00BD0553" w:rsidRPr="00BD0553" w:rsidRDefault="00BD0553" w:rsidP="00BD0553">
            <w:pPr>
              <w:spacing w:after="0"/>
              <w:jc w:val="center"/>
              <w:rPr>
                <w:rFonts w:ascii="Calibri" w:hAnsi="Calibri" w:cs="Calibri"/>
                <w:b/>
                <w:bCs/>
                <w:color w:val="FFFFFF"/>
                <w:sz w:val="16"/>
                <w:szCs w:val="16"/>
                <w:lang w:eastAsia="es-MX"/>
              </w:rPr>
            </w:pPr>
            <w:r w:rsidRPr="00BD0553">
              <w:rPr>
                <w:rFonts w:ascii="Calibri" w:hAnsi="Calibri" w:cs="Calibri"/>
                <w:b/>
                <w:bCs/>
                <w:color w:val="FFFFFF"/>
                <w:sz w:val="16"/>
                <w:szCs w:val="16"/>
                <w:lang w:eastAsia="es-MX"/>
              </w:rPr>
              <w:t>CUENTA PUBLICA 2018</w:t>
            </w:r>
          </w:p>
        </w:tc>
      </w:tr>
      <w:tr w:rsidR="00BD0553" w:rsidRPr="00BD0553" w:rsidTr="00E333D3">
        <w:trPr>
          <w:trHeight w:val="285"/>
          <w:tblHeader/>
        </w:trPr>
        <w:tc>
          <w:tcPr>
            <w:tcW w:w="13360" w:type="dxa"/>
            <w:gridSpan w:val="7"/>
            <w:tcBorders>
              <w:top w:val="nil"/>
              <w:left w:val="nil"/>
              <w:bottom w:val="nil"/>
              <w:right w:val="nil"/>
            </w:tcBorders>
            <w:shd w:val="clear" w:color="000000" w:fill="9A1C1D"/>
            <w:vAlign w:val="center"/>
            <w:hideMark/>
          </w:tcPr>
          <w:p w:rsidR="00BD0553" w:rsidRPr="00BD0553" w:rsidRDefault="00BD0553" w:rsidP="00BD0553">
            <w:pPr>
              <w:spacing w:after="0"/>
              <w:jc w:val="center"/>
              <w:rPr>
                <w:rFonts w:ascii="Calibri" w:hAnsi="Calibri" w:cs="Calibri"/>
                <w:b/>
                <w:bCs/>
                <w:color w:val="FFFFFF"/>
                <w:sz w:val="16"/>
                <w:szCs w:val="16"/>
                <w:lang w:eastAsia="es-MX"/>
              </w:rPr>
            </w:pPr>
            <w:r w:rsidRPr="00BD0553">
              <w:rPr>
                <w:rFonts w:ascii="Calibri" w:hAnsi="Calibri" w:cs="Calibri"/>
                <w:b/>
                <w:bCs/>
                <w:color w:val="FFFFFF"/>
                <w:sz w:val="16"/>
                <w:szCs w:val="16"/>
                <w:lang w:eastAsia="es-MX"/>
              </w:rPr>
              <w:t>PODER EJECUTIVO</w:t>
            </w:r>
          </w:p>
        </w:tc>
      </w:tr>
      <w:tr w:rsidR="00BD0553" w:rsidRPr="00BD0553" w:rsidTr="00E333D3">
        <w:trPr>
          <w:trHeight w:val="285"/>
          <w:tblHeader/>
        </w:trPr>
        <w:tc>
          <w:tcPr>
            <w:tcW w:w="13360" w:type="dxa"/>
            <w:gridSpan w:val="7"/>
            <w:tcBorders>
              <w:top w:val="nil"/>
              <w:left w:val="nil"/>
              <w:bottom w:val="nil"/>
              <w:right w:val="nil"/>
            </w:tcBorders>
            <w:shd w:val="clear" w:color="000000" w:fill="9A1C1D"/>
            <w:vAlign w:val="center"/>
            <w:hideMark/>
          </w:tcPr>
          <w:p w:rsidR="00BD0553" w:rsidRPr="00BD0553" w:rsidRDefault="00BD0553" w:rsidP="00BD0553">
            <w:pPr>
              <w:spacing w:after="0"/>
              <w:jc w:val="center"/>
              <w:rPr>
                <w:rFonts w:ascii="Calibri" w:hAnsi="Calibri" w:cs="Calibri"/>
                <w:b/>
                <w:bCs/>
                <w:color w:val="FFFFFF"/>
                <w:sz w:val="16"/>
                <w:szCs w:val="16"/>
                <w:lang w:eastAsia="es-MX"/>
              </w:rPr>
            </w:pPr>
            <w:r w:rsidRPr="00BD0553">
              <w:rPr>
                <w:rFonts w:ascii="Calibri" w:hAnsi="Calibri" w:cs="Calibri"/>
                <w:b/>
                <w:bCs/>
                <w:color w:val="FFFFFF"/>
                <w:sz w:val="16"/>
                <w:szCs w:val="16"/>
                <w:lang w:eastAsia="es-MX"/>
              </w:rPr>
              <w:t xml:space="preserve">ESTADO </w:t>
            </w:r>
            <w:r w:rsidR="00E333D3" w:rsidRPr="00BD0553">
              <w:rPr>
                <w:rFonts w:ascii="Calibri" w:hAnsi="Calibri" w:cs="Calibri"/>
                <w:b/>
                <w:bCs/>
                <w:color w:val="FFFFFF"/>
                <w:sz w:val="16"/>
                <w:szCs w:val="16"/>
                <w:lang w:eastAsia="es-MX"/>
              </w:rPr>
              <w:t>ANALÍTICO</w:t>
            </w:r>
            <w:r w:rsidRPr="00BD0553">
              <w:rPr>
                <w:rFonts w:ascii="Calibri" w:hAnsi="Calibri" w:cs="Calibri"/>
                <w:b/>
                <w:bCs/>
                <w:color w:val="FFFFFF"/>
                <w:sz w:val="16"/>
                <w:szCs w:val="16"/>
                <w:lang w:eastAsia="es-MX"/>
              </w:rPr>
              <w:t xml:space="preserve"> DEL EJERCICIO DEL PRESUPUESTO DE EGRESOS</w:t>
            </w:r>
          </w:p>
        </w:tc>
      </w:tr>
      <w:tr w:rsidR="00BD0553" w:rsidRPr="00BD0553" w:rsidTr="00E333D3">
        <w:trPr>
          <w:trHeight w:val="285"/>
          <w:tblHeader/>
        </w:trPr>
        <w:tc>
          <w:tcPr>
            <w:tcW w:w="13360" w:type="dxa"/>
            <w:gridSpan w:val="7"/>
            <w:tcBorders>
              <w:top w:val="nil"/>
              <w:left w:val="nil"/>
              <w:bottom w:val="nil"/>
              <w:right w:val="nil"/>
            </w:tcBorders>
            <w:shd w:val="clear" w:color="000000" w:fill="9A1C1D"/>
            <w:vAlign w:val="center"/>
            <w:hideMark/>
          </w:tcPr>
          <w:p w:rsidR="00BD0553" w:rsidRPr="00BD0553" w:rsidRDefault="00E333D3" w:rsidP="00BD0553">
            <w:pPr>
              <w:spacing w:after="0"/>
              <w:jc w:val="center"/>
              <w:rPr>
                <w:rFonts w:ascii="Calibri" w:hAnsi="Calibri" w:cs="Calibri"/>
                <w:b/>
                <w:bCs/>
                <w:color w:val="FFFFFF"/>
                <w:sz w:val="16"/>
                <w:szCs w:val="16"/>
                <w:lang w:eastAsia="es-MX"/>
              </w:rPr>
            </w:pPr>
            <w:r w:rsidRPr="00BD0553">
              <w:rPr>
                <w:rFonts w:ascii="Calibri" w:hAnsi="Calibri" w:cs="Calibri"/>
                <w:b/>
                <w:bCs/>
                <w:color w:val="FFFFFF"/>
                <w:sz w:val="16"/>
                <w:szCs w:val="16"/>
                <w:lang w:eastAsia="es-MX"/>
              </w:rPr>
              <w:t>CLASIFICACIÓN</w:t>
            </w:r>
            <w:r w:rsidR="00BD0553" w:rsidRPr="00BD0553">
              <w:rPr>
                <w:rFonts w:ascii="Calibri" w:hAnsi="Calibri" w:cs="Calibri"/>
                <w:b/>
                <w:bCs/>
                <w:color w:val="FFFFFF"/>
                <w:sz w:val="16"/>
                <w:szCs w:val="16"/>
                <w:lang w:eastAsia="es-MX"/>
              </w:rPr>
              <w:t xml:space="preserve"> ADMINISTRATIVA</w:t>
            </w:r>
          </w:p>
        </w:tc>
      </w:tr>
      <w:tr w:rsidR="00BD0553" w:rsidRPr="00BD0553" w:rsidTr="00E333D3">
        <w:trPr>
          <w:trHeight w:val="285"/>
          <w:tblHeader/>
        </w:trPr>
        <w:tc>
          <w:tcPr>
            <w:tcW w:w="13360" w:type="dxa"/>
            <w:gridSpan w:val="7"/>
            <w:tcBorders>
              <w:top w:val="nil"/>
              <w:left w:val="nil"/>
              <w:bottom w:val="nil"/>
              <w:right w:val="nil"/>
            </w:tcBorders>
            <w:shd w:val="clear" w:color="000000" w:fill="9A1C1D"/>
            <w:vAlign w:val="center"/>
            <w:hideMark/>
          </w:tcPr>
          <w:p w:rsidR="00BD0553" w:rsidRPr="00BD0553" w:rsidRDefault="00BD0553" w:rsidP="00BD0553">
            <w:pPr>
              <w:spacing w:after="0"/>
              <w:jc w:val="center"/>
              <w:rPr>
                <w:rFonts w:ascii="Calibri" w:hAnsi="Calibri" w:cs="Calibri"/>
                <w:b/>
                <w:bCs/>
                <w:color w:val="FFFFFF"/>
                <w:sz w:val="16"/>
                <w:szCs w:val="16"/>
                <w:lang w:eastAsia="es-MX"/>
              </w:rPr>
            </w:pPr>
            <w:r w:rsidRPr="00BD0553">
              <w:rPr>
                <w:rFonts w:ascii="Calibri" w:hAnsi="Calibri" w:cs="Calibri"/>
                <w:b/>
                <w:bCs/>
                <w:color w:val="FFFFFF"/>
                <w:sz w:val="16"/>
                <w:szCs w:val="16"/>
                <w:lang w:eastAsia="es-MX"/>
              </w:rPr>
              <w:t>DEL 01 DE ENERO DE 2018 AL 30 DE SEPTIEMBRE DE 2018</w:t>
            </w:r>
          </w:p>
        </w:tc>
      </w:tr>
      <w:tr w:rsidR="00BD0553" w:rsidRPr="00BD0553" w:rsidTr="00E333D3">
        <w:trPr>
          <w:trHeight w:val="285"/>
          <w:tblHeader/>
        </w:trPr>
        <w:tc>
          <w:tcPr>
            <w:tcW w:w="13360" w:type="dxa"/>
            <w:gridSpan w:val="7"/>
            <w:tcBorders>
              <w:top w:val="nil"/>
              <w:left w:val="nil"/>
              <w:bottom w:val="single" w:sz="4" w:space="0" w:color="000000"/>
              <w:right w:val="nil"/>
            </w:tcBorders>
            <w:shd w:val="clear" w:color="auto" w:fill="auto"/>
            <w:vAlign w:val="bottom"/>
            <w:hideMark/>
          </w:tcPr>
          <w:p w:rsidR="00BD0553" w:rsidRPr="00BD0553" w:rsidRDefault="00BD0553" w:rsidP="00BD0553">
            <w:pPr>
              <w:spacing w:after="0"/>
              <w:jc w:val="left"/>
              <w:rPr>
                <w:rFonts w:cs="Arial"/>
                <w:color w:val="000000"/>
                <w:sz w:val="16"/>
                <w:szCs w:val="16"/>
                <w:lang w:eastAsia="es-MX"/>
              </w:rPr>
            </w:pPr>
            <w:r w:rsidRPr="00BD0553">
              <w:rPr>
                <w:rFonts w:cs="Arial"/>
                <w:color w:val="000000"/>
                <w:sz w:val="16"/>
                <w:szCs w:val="16"/>
                <w:lang w:eastAsia="es-MX"/>
              </w:rPr>
              <w:t> </w:t>
            </w:r>
          </w:p>
        </w:tc>
      </w:tr>
      <w:tr w:rsidR="00BD0553" w:rsidRPr="00BD0553" w:rsidTr="00E333D3">
        <w:trPr>
          <w:trHeight w:val="402"/>
          <w:tblHead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CONCEPTO</w:t>
            </w:r>
          </w:p>
        </w:tc>
        <w:tc>
          <w:tcPr>
            <w:tcW w:w="72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EGRESOS</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SUBEJERCICIO</w:t>
            </w:r>
          </w:p>
        </w:tc>
      </w:tr>
      <w:tr w:rsidR="00BD0553" w:rsidRPr="00BD0553" w:rsidTr="00E333D3">
        <w:trPr>
          <w:trHeight w:val="300"/>
          <w:tblHeader/>
        </w:trPr>
        <w:tc>
          <w:tcPr>
            <w:tcW w:w="480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MODIFICADO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DEVENGADO</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PAGADO</w:t>
            </w:r>
          </w:p>
        </w:tc>
        <w:tc>
          <w:tcPr>
            <w:tcW w:w="13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r>
      <w:tr w:rsidR="00BD0553" w:rsidRPr="00BD0553" w:rsidTr="00E333D3">
        <w:trPr>
          <w:trHeight w:val="300"/>
          <w:tblHeader/>
        </w:trPr>
        <w:tc>
          <w:tcPr>
            <w:tcW w:w="480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r>
      <w:tr w:rsidR="00BD0553" w:rsidRPr="00BD0553" w:rsidTr="00E333D3">
        <w:trPr>
          <w:trHeight w:val="402"/>
          <w:tblHeader/>
        </w:trPr>
        <w:tc>
          <w:tcPr>
            <w:tcW w:w="4800" w:type="dxa"/>
            <w:vMerge/>
            <w:tcBorders>
              <w:top w:val="nil"/>
              <w:left w:val="single" w:sz="4" w:space="0" w:color="000000"/>
              <w:bottom w:val="single" w:sz="4" w:space="0" w:color="auto"/>
              <w:right w:val="single" w:sz="4" w:space="0" w:color="000000"/>
            </w:tcBorders>
            <w:vAlign w:val="center"/>
            <w:hideMark/>
          </w:tcPr>
          <w:p w:rsidR="00BD0553" w:rsidRPr="00BD0553" w:rsidRDefault="00BD0553" w:rsidP="00BD055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1</w:t>
            </w:r>
          </w:p>
        </w:tc>
        <w:tc>
          <w:tcPr>
            <w:tcW w:w="13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2</w:t>
            </w:r>
          </w:p>
        </w:tc>
        <w:tc>
          <w:tcPr>
            <w:tcW w:w="14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3 = (1 + 2)</w:t>
            </w:r>
          </w:p>
        </w:tc>
        <w:tc>
          <w:tcPr>
            <w:tcW w:w="14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4</w:t>
            </w:r>
          </w:p>
        </w:tc>
        <w:tc>
          <w:tcPr>
            <w:tcW w:w="14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5</w:t>
            </w:r>
          </w:p>
        </w:tc>
        <w:tc>
          <w:tcPr>
            <w:tcW w:w="1360" w:type="dxa"/>
            <w:tcBorders>
              <w:top w:val="nil"/>
              <w:left w:val="nil"/>
              <w:bottom w:val="single" w:sz="4" w:space="0" w:color="auto"/>
              <w:right w:val="single" w:sz="4" w:space="0" w:color="000000"/>
            </w:tcBorders>
            <w:shd w:val="clear" w:color="000000" w:fill="C8C8C8"/>
            <w:vAlign w:val="center"/>
            <w:hideMark/>
          </w:tcPr>
          <w:p w:rsidR="00BD0553" w:rsidRPr="00BD0553" w:rsidRDefault="00BD0553" w:rsidP="00BD0553">
            <w:pPr>
              <w:spacing w:after="0"/>
              <w:jc w:val="center"/>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6 = (3 - 4)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PODER LEGISLATIVO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182,307,920.00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54,211,030.70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236,518,950.70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236,518,950.70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236,518,950.70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PODER JUDICIAL</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160,232,695.54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18,162,158.26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178,394,853.80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178,394,853.80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178,394,853.80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UNIVERSIDAD AUTÓNOMA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75,317,238.00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534,619,776.28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609,937,014.28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609,937,014.28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609,937,014.28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DESPACHO DEL GOBERNADOR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68,145,405.78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2,383,880.56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70,529,286.34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63,715,474.76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63,715,474.76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6,813,811.58</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GOBIERNO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416,203,865.56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42,419,292.49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458,623,158.05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418,909,827.98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418,909,827.98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39,713,330.07</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OFICIALÍA MAYOR DE GOBIERNO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173,131,234.28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-41,557,682.45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131,573,551.83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97,487,665.02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97,487,665.02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34,085,886.81</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PROCURADURÍA GENERAL DE JUSTICIA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106,960,276.78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1,075,390.47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108,035,667.25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102,340,051.75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102,340,051.75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5,695,615.50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PLANEACIÓN Y FINANZAS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1,591,089,110.93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352,129,213.43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1,943,218,324.36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293,777,593.79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293,777,593.79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1,649,440,730.57</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MUNICIPIOS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2,560,803,434.68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718,046,615.62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3,278,850,050.30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3,263,950,472.30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3,263,950,472.30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14,899,578.00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DESARROLLO ECONÓMICO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36,837,892.00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27,825,711.06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64,663,603.06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34,017,353.18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34,017,353.18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30,646,249.88</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TURISMO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28,579,189.08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36,094,256.31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64,673,445.39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22,508,086.34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22,508,086.34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42,165,359.05</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OBRAS PÚBLICAS DESARROLLO URBANO Y VIVIENDA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468,709,252.00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452,139,255.32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920,848,507.32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61,535,865.34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61,535,865.34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859,312,641.98</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EDUCACIÓN PÚBLICA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786,726,719.00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-12,725,834.09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774,000,884.91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664,555,096.29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664,555,096.29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109,445,788.62</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COMUNICACIONES Y TRANSPORTES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76,442,492.88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5,931,732.81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82,374,225.69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72,607,201.22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72,607,201.22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9,767,024.47</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O.P.D SALUD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1,212,593,648.76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307,795,414.47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1,520,389,063.23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1,518,108,290.21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1,518,108,290.21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2,280,773.02</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CONTRALORÍA DEL EJECUTIVO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22,243,574.48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2,948,065.47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25,191,639.95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23,441,846.33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23,441,846.33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1,749,793.62</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FOMENTO AGROPECUARIO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166,563,506.44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103,224,188.50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269,787,694.94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222,634,478.57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222,634,478.57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47,153,216.37</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lastRenderedPageBreak/>
              <w:t>SISTEMA ESTATAL DE PROMOCIÓN DEL EMPLEO Y DESARROLLO COMUNITARIO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27,166,035.00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1,059,893.97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28,225,928.97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21,804,607.66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21,804,607.66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6,421,321.31</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COORDINACIÓN GENERAL DE INFORMACIÓN Y RELACIONES PÚBLICAS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18,352,254.63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206,343.40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18,558,598.03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15,531,511.76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15,531,511.76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3,027,086.27</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COORDINACIÓN GENERAL DE ECOLOGÍA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52,932,600.64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-89,731.23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52,842,869.41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42,891,901.96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41,701,942.41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9,950,967.45</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COMISIÓN ESTATAL DE DERECHOS HUMANOS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15,437,439.19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1,920,407.75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17,357,846.94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17,357,846.94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17,357,846.94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ELECCIONES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65,934,423.78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31,881,548.00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97,815,971.78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95,158,164.00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95,158,164.00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2,657,807.78</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COORDINACIÓN ESTATAL DE PROTECCIÓN CIVIL</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7,486,486.14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-237,426.48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7,249,059.66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6,144,871.32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6,144,871.32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1,104,188.34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CONSEJO ESTATAL DE POBLACIÓN</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2,318,452.16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2,318,452.16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2,318,452.16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2,318,452.16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COMISIÓN EJECUTIVA DEL SISTEMA ESTATAL DE SEGURIDAD PÚBLICA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151,343,896.00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6,037,504.84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157,381,400.84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23,031,023.70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23,031,023.70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134,350,377.14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DE CATASTRO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3,810,378.03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8,602.00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3,818,980.03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3,779,684.32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3,779,684.32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39,295.71</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 xml:space="preserve">FIDEICOMISO DE LA CIUDAD INDUSTRIAL DE </w:t>
            </w:r>
            <w:r w:rsidR="00E333D3" w:rsidRPr="00BD0553">
              <w:rPr>
                <w:rFonts w:ascii="Calibri" w:hAnsi="Calibri" w:cs="Calibri"/>
                <w:color w:val="000000"/>
                <w:sz w:val="16"/>
                <w:szCs w:val="16"/>
                <w:lang w:eastAsia="es-MX"/>
              </w:rPr>
              <w:t>XICOTÉNCATL</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2,751,605.11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-206,900.00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2,544,705.11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2,544,705.11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2,544,705.11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FONDO MACRO PARA EL DESARROLLO INTEGRAL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8,269,750.00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8,269,750.00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8,099,230.04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8,099,230.04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170,519.96</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COORDINACIÓN DE RADIO CINE Y TELEVISIÓN</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20,201,846.00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-1,741,291.10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18,460,554.90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16,333,631.08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16,333,631.08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2,126,923.82</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DESARROLLO TAURINO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1,710,447.35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433,492.54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2,143,939.89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1,773,537.50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1,773,537.50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370,402.39</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LA CULTURA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29,123,704.97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10,268,761.49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39,392,466.46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38,520,141.26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38,520,141.26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872,325.20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DEL DEPORTE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16,480,601.69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-642,087.95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15,838,513.74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15,773,844.24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15,773,844.24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64,669.50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COORDINACIÓN DE SERVICIO SOCIAL DE INSTITUCIONES DE EDUCACIÓN SUPERIOR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896,175.81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896,175.81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896,175.81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896,175.81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COLEGIO DE ESTUDIOS CIENTÍFICOS Y TECNOLÓGICOS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133,002,148.16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176,466,439.44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309,468,587.60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308,242,037.60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308,242,037.60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1,226,550.00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COLEGIO DE BACHILLERES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127,451,762.01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195,642,429.85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323,094,191.86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321,674,508.99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321,674,508.99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1,419,682.87</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LA INFRAESTRUCTURA FÍSICA EDUCATIVA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122,443,440.31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8,672.50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122,452,112.81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113,798,517.17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113,798,517.17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8,653,595.64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lastRenderedPageBreak/>
              <w:t>UNIVERSIDAD POLITÉCNICA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37,960,530.52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-1,570,000.00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36,390,530.52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36,390,530.52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36,390,530.52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TECNOLÓGICO SUPERIOR DE TLAXCO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10,544,357.94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-146,815.45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10,397,542.49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10,259,682.69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10,259,682.69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137,859.80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UNIVERSIDAD TECNOLÓGICA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24,748,867.12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5,961,818.62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30,710,685.74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28,224,609.74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28,224,609.74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2,486,076.00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PARA LA EDUCACIÓN DE LOS ADULTOS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39,536,881.68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9,960,939.52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49,497,821.20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49,497,821.20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49,497,821.20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CENTRO DE EDUCACIÓN CONTINUA Y A DISTANCIA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6,739,231.00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-1,365,640.90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5,373,590.10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4,671,017.05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4,671,017.05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702,573.05</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EL COLEGIO DE TLAXCALA A.C.</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10,401,165.33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-1,136,277.33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9,264,888.00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9,242,078.76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9,242,078.76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22,809.24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ESTATAL DE LA MUJER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4,756,149.09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13,546,177.72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18,302,326.81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17,921,313.50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17,921,313.50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381,013.31</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SISTEMA ESTATAL PARA EL DESARROLLO INTEGRAL DE LA FAMILIA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134,546,285.42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16,970,802.03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151,517,087.45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150,917,087.45</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150,917,087.45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600,000.00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PARA PERSONAS CON DISCAPACIDAD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6,229,291.54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699.62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6,229,991.16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6,151,353.77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6,151,353.77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78,637.39</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ASISTENCIA ESPECIALIZADA A LA SALUD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20,691,049.00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-89,272.41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20,601,776.59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12,697,926.11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12,690,777.04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7,903,850.48</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COMISIÓN ESTATAL DE ARBITRAJE MÉDICO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1,819,103.61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-11,702.22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1,807,401.39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1,760,627.50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1,760,627.50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46,773.89</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COMISIÓN EJECUTIVA DE ATENCIÓN A VICTIMAS Y OFENDIDOS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2,051,567.31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51,691.69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2,103,259.00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2,103,259.00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2,103,259.00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TLAXCALTECA DE LA JUVENTUD</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6,759,295.94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55,750.00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6,815,045.94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6,593,772.14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6,593,772.14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221,273.80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DE CAPACITACIÓN PARA EL TRABAJO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20,219,463.17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34,706,606.42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54,926,069.59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54,751,944.09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54,751,944.09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174,125.50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UNIDAD DE SERVICIOS EDUCATIVOS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3,844,278,066.38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-534,505,119.40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3,309,772,946.98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3,307,935,686.39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3,307,935,686.39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1,837,260.59</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COLEGIO DE EDUCACIÓN PROFESIONAL TÉCNICA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42,952,527.57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1,013,579.46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43,966,107.03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43,862,872.03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43,862,872.03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103,235.00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9,155,887.00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629,029.00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9,784,916.00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9,784,916.00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9,784,916.00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TRIBUNAL DE CONCILIACIÓN Y ARBITRAJE DEL ESTADO</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7,622,319.18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1,074,591.00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8,696,910.18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8,535,395.58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8,535,395.58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161,514.60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INSTITUTO INMOBILIARIO DE DESARROLLO URBANO Y VIVIENDA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15,890,705.61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20,308,750.00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36,199,455.61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36,199,455.61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36,199,455.61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lastRenderedPageBreak/>
              <w:t>COMISIÓN ESTATAL DE AGUA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22,571,856.71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-7,499,915.00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15,071,941.71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15,071,941.71</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15,071,941.71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CENTRO DE SERVICIOS INTEGRALES PARA EL TRATAMIENTO DE AGUAS RESIDUALES DEL ESTADO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38,113,882.28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8,596,032.36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46,709,914.64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44,921,953.30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44,921,953.30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1,787,961.34</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UNIVERSIDAD POLITÉCNICA DE TLAXCALA REGIÓN PONIENTE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7,310,575.85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2,043,763.82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9,354,339.67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9,354,339.67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9,354,339.67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RÉGIMEN ESTATAL DE PROTECCIÓN SOCIAL EN SALUD EN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260,226,233.93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548,003,214.66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808,229,448.59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808,229,448.59</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808,229,448.59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TRIBUNAL ELECTORAL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14,804,530.00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6,344,558.24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21,149,088.24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21,149,088.24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21,149,088.24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0.00</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 xml:space="preserve">CASA DE LAS </w:t>
            </w:r>
            <w:r w:rsidR="00E333D3" w:rsidRPr="00BD0553">
              <w:rPr>
                <w:rFonts w:ascii="Calibri" w:hAnsi="Calibri" w:cs="Calibri"/>
                <w:color w:val="000000"/>
                <w:sz w:val="16"/>
                <w:szCs w:val="16"/>
                <w:lang w:eastAsia="es-MX"/>
              </w:rPr>
              <w:t>ARTESANÍAS</w:t>
            </w:r>
            <w:r w:rsidRPr="00BD0553">
              <w:rPr>
                <w:rFonts w:ascii="Calibri" w:hAnsi="Calibri" w:cs="Calibri"/>
                <w:color w:val="000000"/>
                <w:sz w:val="16"/>
                <w:szCs w:val="16"/>
                <w:lang w:eastAsia="es-MX"/>
              </w:rPr>
              <w:t xml:space="preserve"> DE TLAXCALA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8,442,203.23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-274,542.63</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8,167,660.60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7,153,620.97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7,153,620.97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1,014,039.63</w:t>
            </w:r>
          </w:p>
        </w:tc>
      </w:tr>
      <w:tr w:rsidR="00BD0553" w:rsidRPr="00BD0553" w:rsidTr="00BD0553">
        <w:trPr>
          <w:trHeight w:val="28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left"/>
              <w:rPr>
                <w:rFonts w:ascii="Calibri" w:hAnsi="Calibri" w:cs="Calibri"/>
                <w:color w:val="000000"/>
                <w:sz w:val="16"/>
                <w:szCs w:val="16"/>
                <w:lang w:eastAsia="es-MX"/>
              </w:rPr>
            </w:pPr>
            <w:r w:rsidRPr="00BD0553">
              <w:rPr>
                <w:rFonts w:ascii="Calibri" w:hAnsi="Calibri" w:cs="Calibri"/>
                <w:color w:val="000000"/>
                <w:sz w:val="16"/>
                <w:szCs w:val="16"/>
                <w:lang w:eastAsia="es-MX"/>
              </w:rPr>
              <w:t>SECRETARÍA DE POLÍTICAS PÚBLICAS Y PARTICIPACIÓN CIUDADANA</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8,014,384.93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5,545,049.64</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13,559,434.57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11,719,311.08</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11,719,311.08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0553" w:rsidRPr="00BD0553" w:rsidRDefault="00BD0553" w:rsidP="00BD0553">
            <w:pPr>
              <w:spacing w:after="0"/>
              <w:jc w:val="right"/>
              <w:rPr>
                <w:rFonts w:ascii="Calibri" w:hAnsi="Calibri" w:cs="Calibri"/>
                <w:color w:val="000000"/>
                <w:sz w:val="16"/>
                <w:szCs w:val="16"/>
                <w:lang w:eastAsia="es-MX"/>
              </w:rPr>
            </w:pPr>
            <w:r w:rsidRPr="00BD0553">
              <w:rPr>
                <w:rFonts w:ascii="Calibri" w:hAnsi="Calibri" w:cs="Calibri"/>
                <w:color w:val="000000"/>
                <w:sz w:val="16"/>
                <w:szCs w:val="16"/>
                <w:lang w:eastAsia="es-MX"/>
              </w:rPr>
              <w:t>1,840,123.49</w:t>
            </w:r>
          </w:p>
        </w:tc>
      </w:tr>
      <w:tr w:rsidR="00BD0553" w:rsidRPr="00BD0553" w:rsidTr="00BD0553">
        <w:trPr>
          <w:trHeight w:val="402"/>
        </w:trPr>
        <w:tc>
          <w:tcPr>
            <w:tcW w:w="480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TOTAL DEL GASTO</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13,546,387,314.51</w:t>
            </w:r>
          </w:p>
        </w:tc>
        <w:tc>
          <w:tcPr>
            <w:tcW w:w="13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3,153,952,892.69</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16,700,340,207.20</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13,655,215,567.17</w:t>
            </w:r>
          </w:p>
        </w:tc>
        <w:tc>
          <w:tcPr>
            <w:tcW w:w="14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13,654,018,458.55</w:t>
            </w:r>
          </w:p>
        </w:tc>
        <w:tc>
          <w:tcPr>
            <w:tcW w:w="1360" w:type="dxa"/>
            <w:tcBorders>
              <w:top w:val="single" w:sz="4" w:space="0" w:color="auto"/>
              <w:left w:val="nil"/>
              <w:bottom w:val="single" w:sz="4" w:space="0" w:color="000000"/>
              <w:right w:val="single" w:sz="4" w:space="0" w:color="000000"/>
            </w:tcBorders>
            <w:shd w:val="clear" w:color="auto" w:fill="auto"/>
            <w:vAlign w:val="center"/>
            <w:hideMark/>
          </w:tcPr>
          <w:p w:rsidR="00BD0553" w:rsidRPr="00BD0553" w:rsidRDefault="00BD0553" w:rsidP="00BD0553">
            <w:pPr>
              <w:spacing w:after="0"/>
              <w:jc w:val="right"/>
              <w:rPr>
                <w:rFonts w:ascii="Calibri" w:hAnsi="Calibri" w:cs="Calibri"/>
                <w:b/>
                <w:bCs/>
                <w:color w:val="000000"/>
                <w:sz w:val="16"/>
                <w:szCs w:val="16"/>
                <w:lang w:eastAsia="es-MX"/>
              </w:rPr>
            </w:pPr>
            <w:r w:rsidRPr="00BD0553">
              <w:rPr>
                <w:rFonts w:ascii="Calibri" w:hAnsi="Calibri" w:cs="Calibri"/>
                <w:b/>
                <w:bCs/>
                <w:color w:val="000000"/>
                <w:sz w:val="16"/>
                <w:szCs w:val="16"/>
                <w:lang w:eastAsia="es-MX"/>
              </w:rPr>
              <w:t>3,045,124,640.03</w:t>
            </w:r>
          </w:p>
        </w:tc>
      </w:tr>
    </w:tbl>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Pr="00233FD5" w:rsidRDefault="007B6CFC" w:rsidP="007B6CFC">
      <w:pPr>
        <w:autoSpaceDE w:val="0"/>
        <w:autoSpaceDN w:val="0"/>
        <w:adjustRightInd w:val="0"/>
        <w:spacing w:before="80" w:after="0" w:line="250" w:lineRule="exact"/>
        <w:rPr>
          <w:rFonts w:cs="Arial"/>
          <w:color w:val="000000"/>
          <w:sz w:val="18"/>
          <w:szCs w:val="18"/>
        </w:rPr>
      </w:pP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La distribución funcional del gasto, muestra que conforme a las prioridades establecidas</w:t>
      </w:r>
      <w:r w:rsidRPr="00233FD5">
        <w:rPr>
          <w:rFonts w:eastAsia="Calibri" w:cs="Arial"/>
          <w:sz w:val="18"/>
          <w:szCs w:val="18"/>
          <w:lang w:eastAsia="en-US"/>
        </w:rPr>
        <w:t xml:space="preserve">, </w:t>
      </w:r>
      <w:r w:rsidR="005238BE">
        <w:rPr>
          <w:rFonts w:eastAsia="Calibri" w:cs="Arial"/>
          <w:sz w:val="18"/>
          <w:szCs w:val="18"/>
          <w:lang w:eastAsia="en-US"/>
        </w:rPr>
        <w:t>61</w:t>
      </w:r>
      <w:r>
        <w:rPr>
          <w:rFonts w:eastAsia="Calibri" w:cs="Arial"/>
          <w:color w:val="000000"/>
          <w:sz w:val="18"/>
          <w:szCs w:val="18"/>
          <w:lang w:eastAsia="en-US"/>
        </w:rPr>
        <w:t>.</w:t>
      </w:r>
      <w:r w:rsidR="00276F9E">
        <w:rPr>
          <w:rFonts w:eastAsia="Calibri" w:cs="Arial"/>
          <w:color w:val="000000"/>
          <w:sz w:val="18"/>
          <w:szCs w:val="18"/>
          <w:lang w:eastAsia="en-US"/>
        </w:rPr>
        <w:t>6</w:t>
      </w:r>
      <w:r w:rsidRPr="00233FD5">
        <w:rPr>
          <w:rFonts w:eastAsia="Calibri" w:cs="Arial"/>
          <w:sz w:val="18"/>
          <w:szCs w:val="18"/>
          <w:lang w:eastAsia="en-US"/>
        </w:rPr>
        <w:t xml:space="preserve"> % de las erogaciones programables se canalizó a las funciones de desarrollo social; a las de gobierno </w:t>
      </w:r>
      <w:r w:rsidR="005238BE">
        <w:rPr>
          <w:rFonts w:eastAsia="Calibri" w:cs="Arial"/>
          <w:sz w:val="18"/>
          <w:szCs w:val="18"/>
          <w:lang w:eastAsia="en-US"/>
        </w:rPr>
        <w:t>3</w:t>
      </w:r>
      <w:r w:rsidR="00276F9E">
        <w:rPr>
          <w:rFonts w:eastAsia="Calibri" w:cs="Arial"/>
          <w:sz w:val="18"/>
          <w:szCs w:val="18"/>
          <w:lang w:eastAsia="en-US"/>
        </w:rPr>
        <w:t>5</w:t>
      </w:r>
      <w:r w:rsidR="009A6D26">
        <w:rPr>
          <w:rFonts w:eastAsia="Calibri" w:cs="Arial"/>
          <w:sz w:val="18"/>
          <w:szCs w:val="18"/>
          <w:lang w:eastAsia="en-US"/>
        </w:rPr>
        <w:t>.</w:t>
      </w:r>
      <w:r w:rsidR="00276F9E">
        <w:rPr>
          <w:rFonts w:eastAsia="Calibri" w:cs="Arial"/>
          <w:sz w:val="18"/>
          <w:szCs w:val="18"/>
          <w:lang w:eastAsia="en-US"/>
        </w:rPr>
        <w:t>6</w:t>
      </w:r>
      <w:r w:rsidRPr="00233FD5">
        <w:rPr>
          <w:rFonts w:eastAsia="Calibri" w:cs="Arial"/>
          <w:sz w:val="18"/>
          <w:szCs w:val="18"/>
          <w:lang w:eastAsia="en-US"/>
        </w:rPr>
        <w:t xml:space="preserve"> % y </w:t>
      </w:r>
      <w:r w:rsidR="00276F9E">
        <w:rPr>
          <w:rFonts w:eastAsia="Calibri" w:cs="Arial"/>
          <w:sz w:val="18"/>
          <w:szCs w:val="18"/>
          <w:lang w:eastAsia="en-US"/>
        </w:rPr>
        <w:t>2</w:t>
      </w:r>
      <w:r w:rsidRPr="00233FD5">
        <w:rPr>
          <w:rFonts w:eastAsia="Calibri" w:cs="Arial"/>
          <w:sz w:val="18"/>
          <w:szCs w:val="18"/>
          <w:lang w:eastAsia="en-US"/>
        </w:rPr>
        <w:t>.</w:t>
      </w:r>
      <w:r w:rsidR="00276F9E">
        <w:rPr>
          <w:rFonts w:eastAsia="Calibri" w:cs="Arial"/>
          <w:sz w:val="18"/>
          <w:szCs w:val="18"/>
          <w:lang w:eastAsia="en-US"/>
        </w:rPr>
        <w:t>8</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31579F" w:rsidRDefault="0031579F" w:rsidP="007B6CFC">
      <w:pPr>
        <w:autoSpaceDE w:val="0"/>
        <w:autoSpaceDN w:val="0"/>
        <w:adjustRightInd w:val="0"/>
        <w:spacing w:before="80" w:after="0" w:line="250" w:lineRule="exact"/>
        <w:rPr>
          <w:rFonts w:eastAsia="Calibri" w:cs="Arial"/>
          <w:sz w:val="18"/>
          <w:szCs w:val="18"/>
          <w:lang w:eastAsia="en-US"/>
        </w:rPr>
      </w:pPr>
    </w:p>
    <w:tbl>
      <w:tblPr>
        <w:tblW w:w="5000" w:type="pct"/>
        <w:tblCellMar>
          <w:left w:w="70" w:type="dxa"/>
          <w:right w:w="70" w:type="dxa"/>
        </w:tblCellMar>
        <w:tblLook w:val="04A0" w:firstRow="1" w:lastRow="0" w:firstColumn="1" w:lastColumn="0" w:noHBand="0" w:noVBand="1"/>
      </w:tblPr>
      <w:tblGrid>
        <w:gridCol w:w="1436"/>
        <w:gridCol w:w="3736"/>
        <w:gridCol w:w="1418"/>
        <w:gridCol w:w="1469"/>
        <w:gridCol w:w="1362"/>
        <w:gridCol w:w="1362"/>
        <w:gridCol w:w="1364"/>
        <w:gridCol w:w="1281"/>
      </w:tblGrid>
      <w:tr w:rsidR="0031579F" w:rsidRPr="0031579F" w:rsidTr="00994326">
        <w:trPr>
          <w:trHeight w:val="285"/>
          <w:tblHeader/>
        </w:trPr>
        <w:tc>
          <w:tcPr>
            <w:tcW w:w="5000" w:type="pct"/>
            <w:gridSpan w:val="8"/>
            <w:tcBorders>
              <w:top w:val="nil"/>
              <w:left w:val="nil"/>
              <w:bottom w:val="nil"/>
              <w:right w:val="nil"/>
            </w:tcBorders>
            <w:shd w:val="clear" w:color="000000" w:fill="9A1C1D"/>
            <w:vAlign w:val="center"/>
            <w:hideMark/>
          </w:tcPr>
          <w:p w:rsidR="0031579F" w:rsidRPr="0031579F" w:rsidRDefault="0031579F" w:rsidP="0031579F">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CUENTA PUBLICA 2018</w:t>
            </w:r>
          </w:p>
        </w:tc>
      </w:tr>
      <w:tr w:rsidR="0031579F" w:rsidRPr="0031579F" w:rsidTr="00994326">
        <w:trPr>
          <w:trHeight w:val="285"/>
          <w:tblHeader/>
        </w:trPr>
        <w:tc>
          <w:tcPr>
            <w:tcW w:w="5000" w:type="pct"/>
            <w:gridSpan w:val="8"/>
            <w:tcBorders>
              <w:top w:val="nil"/>
              <w:left w:val="nil"/>
              <w:bottom w:val="nil"/>
              <w:right w:val="nil"/>
            </w:tcBorders>
            <w:shd w:val="clear" w:color="000000" w:fill="9A1C1D"/>
            <w:vAlign w:val="center"/>
            <w:hideMark/>
          </w:tcPr>
          <w:p w:rsidR="0031579F" w:rsidRPr="0031579F" w:rsidRDefault="0031579F" w:rsidP="0031579F">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PODER EJECUTIVO</w:t>
            </w:r>
          </w:p>
        </w:tc>
      </w:tr>
      <w:tr w:rsidR="0031579F" w:rsidRPr="0031579F" w:rsidTr="00994326">
        <w:trPr>
          <w:trHeight w:val="285"/>
          <w:tblHeader/>
        </w:trPr>
        <w:tc>
          <w:tcPr>
            <w:tcW w:w="5000" w:type="pct"/>
            <w:gridSpan w:val="8"/>
            <w:tcBorders>
              <w:top w:val="nil"/>
              <w:left w:val="nil"/>
              <w:bottom w:val="nil"/>
              <w:right w:val="nil"/>
            </w:tcBorders>
            <w:shd w:val="clear" w:color="000000" w:fill="9A1C1D"/>
            <w:vAlign w:val="center"/>
            <w:hideMark/>
          </w:tcPr>
          <w:p w:rsidR="0031579F" w:rsidRPr="0031579F" w:rsidRDefault="0031579F" w:rsidP="0031579F">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 xml:space="preserve">ESTADO </w:t>
            </w:r>
            <w:r w:rsidR="00386A96" w:rsidRPr="0031579F">
              <w:rPr>
                <w:rFonts w:ascii="Calibri" w:hAnsi="Calibri" w:cs="Calibri"/>
                <w:b/>
                <w:bCs/>
                <w:color w:val="FFFFFF"/>
                <w:sz w:val="16"/>
                <w:szCs w:val="16"/>
                <w:lang w:eastAsia="es-MX"/>
              </w:rPr>
              <w:t>ANALÍTICO</w:t>
            </w:r>
            <w:r w:rsidRPr="0031579F">
              <w:rPr>
                <w:rFonts w:ascii="Calibri" w:hAnsi="Calibri" w:cs="Calibri"/>
                <w:b/>
                <w:bCs/>
                <w:color w:val="FFFFFF"/>
                <w:sz w:val="16"/>
                <w:szCs w:val="16"/>
                <w:lang w:eastAsia="es-MX"/>
              </w:rPr>
              <w:t xml:space="preserve"> DEL EJERCICIO DEL PRESUPUESTO DE EGRESOS</w:t>
            </w:r>
          </w:p>
        </w:tc>
      </w:tr>
      <w:tr w:rsidR="0031579F" w:rsidRPr="0031579F" w:rsidTr="00994326">
        <w:trPr>
          <w:trHeight w:val="285"/>
          <w:tblHeader/>
        </w:trPr>
        <w:tc>
          <w:tcPr>
            <w:tcW w:w="5000" w:type="pct"/>
            <w:gridSpan w:val="8"/>
            <w:tcBorders>
              <w:top w:val="nil"/>
              <w:left w:val="nil"/>
              <w:bottom w:val="nil"/>
              <w:right w:val="nil"/>
            </w:tcBorders>
            <w:shd w:val="clear" w:color="000000" w:fill="9A1C1D"/>
            <w:vAlign w:val="center"/>
            <w:hideMark/>
          </w:tcPr>
          <w:p w:rsidR="0031579F" w:rsidRPr="0031579F" w:rsidRDefault="00386A96" w:rsidP="0031579F">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CLASIFICACIÓN</w:t>
            </w:r>
            <w:r w:rsidR="0031579F" w:rsidRPr="0031579F">
              <w:rPr>
                <w:rFonts w:ascii="Calibri" w:hAnsi="Calibri" w:cs="Calibri"/>
                <w:b/>
                <w:bCs/>
                <w:color w:val="FFFFFF"/>
                <w:sz w:val="16"/>
                <w:szCs w:val="16"/>
                <w:lang w:eastAsia="es-MX"/>
              </w:rPr>
              <w:t xml:space="preserve"> FUNCIONAL (FINALIDAD Y </w:t>
            </w:r>
            <w:r w:rsidRPr="0031579F">
              <w:rPr>
                <w:rFonts w:ascii="Calibri" w:hAnsi="Calibri" w:cs="Calibri"/>
                <w:b/>
                <w:bCs/>
                <w:color w:val="FFFFFF"/>
                <w:sz w:val="16"/>
                <w:szCs w:val="16"/>
                <w:lang w:eastAsia="es-MX"/>
              </w:rPr>
              <w:t>FUNCIÓN</w:t>
            </w:r>
            <w:r w:rsidR="0031579F" w:rsidRPr="0031579F">
              <w:rPr>
                <w:rFonts w:ascii="Calibri" w:hAnsi="Calibri" w:cs="Calibri"/>
                <w:b/>
                <w:bCs/>
                <w:color w:val="FFFFFF"/>
                <w:sz w:val="16"/>
                <w:szCs w:val="16"/>
                <w:lang w:eastAsia="es-MX"/>
              </w:rPr>
              <w:t>)</w:t>
            </w:r>
          </w:p>
        </w:tc>
      </w:tr>
      <w:tr w:rsidR="0031579F" w:rsidRPr="0031579F" w:rsidTr="00994326">
        <w:trPr>
          <w:trHeight w:val="285"/>
          <w:tblHeader/>
        </w:trPr>
        <w:tc>
          <w:tcPr>
            <w:tcW w:w="5000" w:type="pct"/>
            <w:gridSpan w:val="8"/>
            <w:tcBorders>
              <w:top w:val="nil"/>
              <w:left w:val="nil"/>
              <w:bottom w:val="nil"/>
              <w:right w:val="nil"/>
            </w:tcBorders>
            <w:shd w:val="clear" w:color="000000" w:fill="9A1C1D"/>
            <w:vAlign w:val="center"/>
            <w:hideMark/>
          </w:tcPr>
          <w:p w:rsidR="0031579F" w:rsidRPr="0031579F" w:rsidRDefault="0031579F" w:rsidP="0031579F">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DEL 01 DE ENERO DE 2018 AL 30 DE SEPTIEMBRE DE 2018</w:t>
            </w:r>
          </w:p>
        </w:tc>
      </w:tr>
      <w:tr w:rsidR="0031579F" w:rsidRPr="0031579F" w:rsidTr="00994326">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579F" w:rsidRPr="0031579F" w:rsidRDefault="0031579F" w:rsidP="0031579F">
            <w:pPr>
              <w:spacing w:after="0"/>
              <w:jc w:val="left"/>
              <w:rPr>
                <w:rFonts w:cs="Arial"/>
                <w:color w:val="000000"/>
                <w:sz w:val="16"/>
                <w:szCs w:val="16"/>
                <w:lang w:eastAsia="es-MX"/>
              </w:rPr>
            </w:pPr>
            <w:r w:rsidRPr="0031579F">
              <w:rPr>
                <w:rFonts w:cs="Arial"/>
                <w:color w:val="000000"/>
                <w:sz w:val="16"/>
                <w:szCs w:val="16"/>
                <w:lang w:eastAsia="es-MX"/>
              </w:rPr>
              <w:t> </w:t>
            </w:r>
          </w:p>
        </w:tc>
      </w:tr>
      <w:tr w:rsidR="00994326" w:rsidRPr="0031579F" w:rsidTr="00994326">
        <w:trPr>
          <w:trHeight w:val="402"/>
          <w:tblHeader/>
        </w:trPr>
        <w:tc>
          <w:tcPr>
            <w:tcW w:w="19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CONCEPTO</w:t>
            </w:r>
          </w:p>
        </w:tc>
        <w:tc>
          <w:tcPr>
            <w:tcW w:w="259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EGRESOS</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SUBEJERCICIO</w:t>
            </w:r>
          </w:p>
        </w:tc>
      </w:tr>
      <w:tr w:rsidR="00D60232" w:rsidRPr="0031579F" w:rsidTr="00994326">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APROBADO</w:t>
            </w:r>
          </w:p>
        </w:tc>
        <w:tc>
          <w:tcPr>
            <w:tcW w:w="547" w:type="pct"/>
            <w:tcBorders>
              <w:top w:val="nil"/>
              <w:left w:val="nil"/>
              <w:bottom w:val="nil"/>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MODIFICADO</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PAGADO</w:t>
            </w:r>
          </w:p>
        </w:tc>
        <w:tc>
          <w:tcPr>
            <w:tcW w:w="477"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r>
      <w:tr w:rsidR="00D60232" w:rsidRPr="0031579F" w:rsidTr="00994326">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47" w:type="pct"/>
            <w:tcBorders>
              <w:top w:val="nil"/>
              <w:left w:val="nil"/>
              <w:bottom w:val="single" w:sz="4" w:space="0" w:color="000000"/>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r>
      <w:tr w:rsidR="00D60232" w:rsidRPr="0031579F" w:rsidTr="00994326">
        <w:trPr>
          <w:trHeight w:val="402"/>
          <w:tblHeader/>
        </w:trPr>
        <w:tc>
          <w:tcPr>
            <w:tcW w:w="1926" w:type="pct"/>
            <w:gridSpan w:val="2"/>
            <w:vMerge/>
            <w:tcBorders>
              <w:top w:val="single" w:sz="4" w:space="0" w:color="000000"/>
              <w:left w:val="single" w:sz="4" w:space="0" w:color="000000"/>
              <w:bottom w:val="single" w:sz="4" w:space="0" w:color="auto"/>
              <w:right w:val="single" w:sz="4" w:space="0" w:color="000000"/>
            </w:tcBorders>
            <w:vAlign w:val="center"/>
            <w:hideMark/>
          </w:tcPr>
          <w:p w:rsidR="0031579F" w:rsidRPr="0031579F" w:rsidRDefault="0031579F" w:rsidP="0031579F">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w:t>
            </w:r>
          </w:p>
        </w:tc>
        <w:tc>
          <w:tcPr>
            <w:tcW w:w="547"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2</w:t>
            </w:r>
          </w:p>
        </w:tc>
        <w:tc>
          <w:tcPr>
            <w:tcW w:w="507"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 = (1 + 2)</w:t>
            </w:r>
          </w:p>
        </w:tc>
        <w:tc>
          <w:tcPr>
            <w:tcW w:w="507"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4</w:t>
            </w:r>
          </w:p>
        </w:tc>
        <w:tc>
          <w:tcPr>
            <w:tcW w:w="508"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5</w:t>
            </w:r>
          </w:p>
        </w:tc>
        <w:tc>
          <w:tcPr>
            <w:tcW w:w="477" w:type="pct"/>
            <w:tcBorders>
              <w:top w:val="nil"/>
              <w:left w:val="nil"/>
              <w:bottom w:val="single" w:sz="4" w:space="0" w:color="auto"/>
              <w:right w:val="single" w:sz="4" w:space="0" w:color="000000"/>
            </w:tcBorders>
            <w:shd w:val="clear" w:color="000000" w:fill="C8C8C8"/>
            <w:vAlign w:val="center"/>
            <w:hideMark/>
          </w:tcPr>
          <w:p w:rsidR="0031579F" w:rsidRPr="0031579F" w:rsidRDefault="0031579F" w:rsidP="0031579F">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6 = (3 - 4)</w:t>
            </w:r>
          </w:p>
        </w:tc>
      </w:tr>
      <w:tr w:rsidR="001C700D" w:rsidRPr="0031579F" w:rsidTr="001C700D">
        <w:trPr>
          <w:trHeight w:val="285"/>
        </w:trPr>
        <w:tc>
          <w:tcPr>
            <w:tcW w:w="535" w:type="pct"/>
            <w:vMerge w:val="restart"/>
            <w:tcBorders>
              <w:top w:val="single" w:sz="4" w:space="0" w:color="auto"/>
              <w:left w:val="single" w:sz="4" w:space="0" w:color="auto"/>
              <w:right w:val="single" w:sz="4" w:space="0" w:color="auto"/>
            </w:tcBorders>
            <w:shd w:val="clear" w:color="auto" w:fill="auto"/>
            <w:hideMark/>
          </w:tcPr>
          <w:p w:rsidR="001C700D" w:rsidRPr="00786946" w:rsidRDefault="001C700D" w:rsidP="001C700D">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GOBIERNO</w:t>
            </w: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p w:rsidR="001C700D" w:rsidRPr="0031579F" w:rsidRDefault="001C700D" w:rsidP="001C700D">
            <w:pPr>
              <w:spacing w:after="0"/>
              <w:jc w:val="center"/>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2,930,728,397.89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3,774,206,539.33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6,704,934,937.22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4,858,760,340.95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4,858,760,340.95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1,846,174,596.27</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LEGISLACIÓN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182,307,920.00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54,211,030.70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JUSTICIA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382,312,270.49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32,567,369.20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414,879,639.69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395,015,631.95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395,015,631.95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19,864,007.74</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COORDINACIÓN DE LA POLÍTICA DE GOBIERNO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241,782,722.41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50,476,995.61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292,259,718.02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267,462,536.70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267,462,536.70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24,797,181.32</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RELACIONES EXTERIORES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FINANCIEROS Y HACENDARIOS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1,495,171,407.12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377,152,032.45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1,872,323,439.57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257,387,674.21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257,387,674.21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1,614,935,765.36</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SEGURIDAD NACIONAL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DE ORDEN PÚBLICO Y DE SEGURIDAD INTERIOR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424,704,323.93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36,562,347.12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461,266,671.05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311,841,297.99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311,841,297.99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149,425,373.06</w:t>
            </w:r>
          </w:p>
        </w:tc>
      </w:tr>
      <w:tr w:rsidR="001C700D" w:rsidRPr="0031579F" w:rsidTr="008704D8">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OTROS SERVICIOS GENERALES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204,449,753.94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3,223,236,764.25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3,427,686,518.19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3,390,534,249.40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3,390,534,249.40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37,152,268.79</w:t>
            </w:r>
          </w:p>
        </w:tc>
      </w:tr>
      <w:tr w:rsidR="00786946" w:rsidRPr="0031579F" w:rsidTr="008704D8">
        <w:trPr>
          <w:trHeight w:val="285"/>
        </w:trPr>
        <w:tc>
          <w:tcPr>
            <w:tcW w:w="535" w:type="pct"/>
            <w:vMerge w:val="restart"/>
            <w:tcBorders>
              <w:top w:val="single" w:sz="4" w:space="0" w:color="auto"/>
              <w:left w:val="single" w:sz="4" w:space="0" w:color="auto"/>
              <w:right w:val="single" w:sz="4" w:space="0" w:color="auto"/>
            </w:tcBorders>
            <w:shd w:val="clear" w:color="auto" w:fill="auto"/>
            <w:vAlign w:val="bottom"/>
            <w:hideMark/>
          </w:tcPr>
          <w:p w:rsidR="00786946" w:rsidRPr="0031579F" w:rsidRDefault="00786946" w:rsidP="00C31F6E">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DESARROLLO SOCIAL</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786946" w:rsidRPr="0031579F" w:rsidRDefault="00786946" w:rsidP="0031579F">
            <w:pPr>
              <w:spacing w:after="0"/>
              <w:jc w:val="left"/>
              <w:rPr>
                <w:rFonts w:ascii="Calibri" w:hAnsi="Calibri" w:cs="Calibri"/>
                <w:b/>
                <w:color w:val="000000"/>
                <w:sz w:val="16"/>
                <w:szCs w:val="16"/>
                <w:lang w:eastAsia="es-MX"/>
              </w:rPr>
            </w:pPr>
            <w:r w:rsidRPr="0031579F">
              <w:rPr>
                <w:rFonts w:ascii="Calibri" w:hAnsi="Calibri" w:cs="Calibri"/>
                <w:color w:val="000000"/>
                <w:sz w:val="16"/>
                <w:szCs w:val="16"/>
                <w:lang w:eastAsia="es-MX"/>
              </w:rPr>
              <w:t>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b/>
                <w:color w:val="000000"/>
                <w:sz w:val="16"/>
                <w:szCs w:val="16"/>
                <w:lang w:eastAsia="es-MX"/>
              </w:rPr>
            </w:pPr>
            <w:r w:rsidRPr="0031579F">
              <w:rPr>
                <w:rFonts w:ascii="Calibri" w:hAnsi="Calibri" w:cs="Calibri"/>
                <w:b/>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7,709,880,111.20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1,779,966,087.86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9,489,846,199.06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8,418,165,709.71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8,416,968,601.09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1,071,680,489.35</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PROTECCIÓN AMBIENTAL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113,618,339.63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1,006,386.13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114,624,725.76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102,885,796.97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101,695,837.42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11,738,928.79</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VIVIENDA Y SERVICIOS A LA COMUNIDAD</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580,517,661.42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447,425,186.30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1,027,942,847.72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134,125,240.53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134,125,240.53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893,817,607.19</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SALUD</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1,499,435,036.65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855,827,653.15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2,355,262,689.80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2,345,031,292.41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2,345,024,143.34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10,231,397.39</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RECREACIÓN, CULTURA Y OTRAS MANIFESTACIONES SOCIALES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67,516,600.01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8,318,874.98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75,835,474.99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72,401,154.08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72,401,154.08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3,434,320.91</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EDUCACIÓN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5,297,288,445.79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409,030,088.74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5,706,318,534.53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5,579,887,704.42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5,579,887,704.42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126,430,830.11</w:t>
            </w:r>
          </w:p>
        </w:tc>
      </w:tr>
      <w:tr w:rsidR="00786946"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PROTECCIÓN SOCIAL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151,504,027.70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33,199,372.34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184,703,400.04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180,501,163.55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180,501,163.55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4,202,236.49</w:t>
            </w:r>
          </w:p>
        </w:tc>
      </w:tr>
      <w:tr w:rsidR="00786946" w:rsidRPr="0031579F" w:rsidTr="008704D8">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OTROS ASUNTOS SOCIALES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25,158,526.22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25,158,526.22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3,333,357.75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3,333,357.75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86946" w:rsidRPr="0031579F" w:rsidRDefault="00786946"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21,825,168.47</w:t>
            </w:r>
          </w:p>
        </w:tc>
      </w:tr>
      <w:tr w:rsidR="001C700D" w:rsidRPr="0031579F" w:rsidTr="00C31F6E">
        <w:trPr>
          <w:trHeight w:val="285"/>
        </w:trPr>
        <w:tc>
          <w:tcPr>
            <w:tcW w:w="535" w:type="pct"/>
            <w:vMerge w:val="restart"/>
            <w:tcBorders>
              <w:top w:val="single" w:sz="4" w:space="0" w:color="auto"/>
              <w:left w:val="single" w:sz="4" w:space="0" w:color="auto"/>
              <w:right w:val="single" w:sz="4" w:space="0" w:color="auto"/>
            </w:tcBorders>
            <w:shd w:val="clear" w:color="auto" w:fill="auto"/>
            <w:hideMark/>
          </w:tcPr>
          <w:p w:rsidR="001C700D" w:rsidRPr="00C31F6E" w:rsidRDefault="001C700D" w:rsidP="00C31F6E">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DESARROLLO ECONÓMICO</w:t>
            </w: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p w:rsidR="001C700D" w:rsidRPr="0031579F" w:rsidRDefault="001C700D" w:rsidP="00C31F6E">
            <w:pPr>
              <w:spacing w:after="0"/>
              <w:jc w:val="center"/>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344,975,370.74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145,684,122.18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490,659,492.92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378,289,516.51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378,289,516.51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112,369,976.41</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ECONÓMICOS, COMERCIALES Y LABORALES EN GENERAL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70,638,577.23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25,799,370.78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96,437,948.01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61,328,403.02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61,328,403.02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35,109,544.99</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AGROPECUARIA, SILVICULTURA, PESCA Y CAZA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166,563,506.44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103,224,188.50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269,787,694.94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222,634,478.57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222,634,478.57</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47,153,216.37</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COMBUSTIBLES Y ENERGÍA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MINERÍA, MANUFACTURAS Y CONSTRUCCIÓN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TRANSPORTE</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76,442,492.88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5,931,732.81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82,374,225.69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72,607,201.22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72,607,201.22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9,767,024.47</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COMUNICACIONES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TURISMO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28,579,189.08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10,935,730.09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39,514,919.17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19,174,728.59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19,174,728.59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20,340,190.58</w:t>
            </w:r>
          </w:p>
        </w:tc>
      </w:tr>
      <w:tr w:rsidR="001C700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CIENCIA, TECNOLOGÍA E INNOVACIÓN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1C700D" w:rsidRPr="0031579F" w:rsidTr="008704D8">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OTRAS INDUSTRIAS Y OTROS ASUNTOS ECONÓMICOS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2,751,605.11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-206,900.00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700D" w:rsidRPr="0031579F" w:rsidRDefault="001C700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4F4E2D" w:rsidRPr="0031579F" w:rsidTr="004F4E2D">
        <w:trPr>
          <w:trHeight w:val="285"/>
        </w:trPr>
        <w:tc>
          <w:tcPr>
            <w:tcW w:w="535" w:type="pct"/>
            <w:vMerge w:val="restart"/>
            <w:tcBorders>
              <w:top w:val="single" w:sz="4" w:space="0" w:color="auto"/>
              <w:left w:val="single" w:sz="4" w:space="0" w:color="auto"/>
              <w:right w:val="single" w:sz="4" w:space="0" w:color="auto"/>
            </w:tcBorders>
            <w:shd w:val="clear" w:color="auto" w:fill="auto"/>
            <w:hideMark/>
          </w:tcPr>
          <w:p w:rsidR="004F4E2D" w:rsidRPr="0031579F" w:rsidRDefault="004F4E2D" w:rsidP="004F4E2D">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OTRAS</w:t>
            </w:r>
          </w:p>
          <w:p w:rsidR="004F4E2D" w:rsidRPr="0031579F" w:rsidRDefault="004F4E2D" w:rsidP="004F4E2D">
            <w:pPr>
              <w:spacing w:after="0"/>
              <w:jc w:val="center"/>
              <w:rPr>
                <w:rFonts w:ascii="Calibri" w:hAnsi="Calibri" w:cs="Calibri"/>
                <w:color w:val="000000"/>
                <w:sz w:val="16"/>
                <w:szCs w:val="16"/>
                <w:lang w:eastAsia="es-MX"/>
              </w:rPr>
            </w:pPr>
          </w:p>
          <w:p w:rsidR="004F4E2D" w:rsidRPr="0031579F" w:rsidRDefault="004F4E2D" w:rsidP="004F4E2D">
            <w:pPr>
              <w:spacing w:after="0"/>
              <w:jc w:val="center"/>
              <w:rPr>
                <w:rFonts w:ascii="Calibri" w:hAnsi="Calibri" w:cs="Calibri"/>
                <w:color w:val="000000"/>
                <w:sz w:val="16"/>
                <w:szCs w:val="16"/>
                <w:lang w:eastAsia="es-MX"/>
              </w:rPr>
            </w:pPr>
          </w:p>
          <w:p w:rsidR="004F4E2D" w:rsidRPr="0031579F" w:rsidRDefault="004F4E2D" w:rsidP="004F4E2D">
            <w:pPr>
              <w:spacing w:after="0"/>
              <w:jc w:val="center"/>
              <w:rPr>
                <w:rFonts w:ascii="Calibri" w:hAnsi="Calibri" w:cs="Calibri"/>
                <w:color w:val="000000"/>
                <w:sz w:val="16"/>
                <w:szCs w:val="16"/>
                <w:lang w:eastAsia="es-MX"/>
              </w:rPr>
            </w:pPr>
          </w:p>
          <w:p w:rsidR="004F4E2D" w:rsidRPr="0031579F" w:rsidRDefault="004F4E2D" w:rsidP="004F4E2D">
            <w:pPr>
              <w:spacing w:after="0"/>
              <w:jc w:val="center"/>
              <w:rPr>
                <w:rFonts w:ascii="Calibri" w:hAnsi="Calibri" w:cs="Calibri"/>
                <w:b/>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b/>
                <w:color w:val="000000"/>
                <w:sz w:val="16"/>
                <w:szCs w:val="16"/>
                <w:lang w:eastAsia="es-MX"/>
              </w:rPr>
            </w:pPr>
            <w:r w:rsidRPr="0031579F">
              <w:rPr>
                <w:rFonts w:ascii="Calibri" w:hAnsi="Calibri" w:cs="Calibri"/>
                <w:b/>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2,560,803,434.68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-2,545,903,856.68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14,899,578.00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14,899,578.00</w:t>
            </w:r>
          </w:p>
        </w:tc>
      </w:tr>
      <w:tr w:rsidR="004F4E2D" w:rsidRPr="0031579F" w:rsidTr="008704D8">
        <w:trPr>
          <w:trHeight w:val="450"/>
        </w:trPr>
        <w:tc>
          <w:tcPr>
            <w:tcW w:w="535" w:type="pct"/>
            <w:vMerge/>
            <w:tcBorders>
              <w:left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TRANSACCIONES DE LA DEUDA PÚBLICA / COSTO FINANCIERO DE LA DEUDA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4F4E2D" w:rsidRPr="0031579F" w:rsidTr="008704D8">
        <w:trPr>
          <w:trHeight w:val="450"/>
        </w:trPr>
        <w:tc>
          <w:tcPr>
            <w:tcW w:w="535" w:type="pct"/>
            <w:vMerge/>
            <w:tcBorders>
              <w:left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TRANSFERENCIAS, PARTICIPACIONES Y APORTACIONES ENTRE DIFERENTES NIVELES Y ÓRDENES DE GOBIERNO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2,560,803,434.68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-2,545,903,856.68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14,899,578.00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14,899,578.00</w:t>
            </w:r>
          </w:p>
        </w:tc>
      </w:tr>
      <w:tr w:rsidR="004F4E2D"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SANEAMIENTO DEL SISTEMA FINANCIERO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4F4E2D" w:rsidRPr="0031579F" w:rsidTr="008704D8">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ADEUDOS DE EJERCICIOS FISCALES ANTERIORES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F4E2D" w:rsidRPr="0031579F" w:rsidRDefault="004F4E2D" w:rsidP="0031579F">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D60232" w:rsidRPr="0031579F" w:rsidTr="00D60232">
        <w:trPr>
          <w:trHeight w:val="402"/>
        </w:trPr>
        <w:tc>
          <w:tcPr>
            <w:tcW w:w="1926"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TOTAL DEL GASTO</w:t>
            </w:r>
          </w:p>
        </w:tc>
        <w:tc>
          <w:tcPr>
            <w:tcW w:w="528"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13,546,387,314.51</w:t>
            </w:r>
          </w:p>
        </w:tc>
        <w:tc>
          <w:tcPr>
            <w:tcW w:w="547"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3,153,952,892.69</w:t>
            </w:r>
          </w:p>
        </w:tc>
        <w:tc>
          <w:tcPr>
            <w:tcW w:w="507"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16,700,340,207.20</w:t>
            </w:r>
          </w:p>
        </w:tc>
        <w:tc>
          <w:tcPr>
            <w:tcW w:w="507"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13,655,215,567.17</w:t>
            </w:r>
          </w:p>
        </w:tc>
        <w:tc>
          <w:tcPr>
            <w:tcW w:w="508"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13,654,018,458.55</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31579F" w:rsidRPr="0031579F" w:rsidRDefault="0031579F" w:rsidP="0031579F">
            <w:pPr>
              <w:spacing w:after="0"/>
              <w:jc w:val="right"/>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3,045,124,640.03</w:t>
            </w:r>
          </w:p>
        </w:tc>
      </w:tr>
    </w:tbl>
    <w:p w:rsidR="0031579F" w:rsidRDefault="0031579F" w:rsidP="007B6CFC">
      <w:pPr>
        <w:autoSpaceDE w:val="0"/>
        <w:autoSpaceDN w:val="0"/>
        <w:adjustRightInd w:val="0"/>
        <w:spacing w:before="80" w:after="0" w:line="250" w:lineRule="exact"/>
        <w:rPr>
          <w:rFonts w:eastAsia="Calibri" w:cs="Arial"/>
          <w:sz w:val="18"/>
          <w:szCs w:val="18"/>
          <w:lang w:eastAsia="en-US"/>
        </w:rPr>
      </w:pPr>
    </w:p>
    <w:p w:rsidR="007B6CFC" w:rsidRPr="001E4968" w:rsidRDefault="00045C21" w:rsidP="007B6CFC">
      <w:pPr>
        <w:autoSpaceDE w:val="0"/>
        <w:autoSpaceDN w:val="0"/>
        <w:adjustRightInd w:val="0"/>
        <w:spacing w:before="80" w:after="200" w:line="250" w:lineRule="exact"/>
        <w:jc w:val="center"/>
        <w:rPr>
          <w:rFonts w:cs="Arial"/>
          <w:b/>
          <w:bCs/>
          <w:color w:val="800000"/>
          <w:sz w:val="18"/>
          <w:szCs w:val="18"/>
        </w:rPr>
      </w:pPr>
      <w:r>
        <w:rPr>
          <w:rFonts w:cs="Arial"/>
          <w:b/>
          <w:bCs/>
          <w:color w:val="800000"/>
          <w:sz w:val="18"/>
          <w:szCs w:val="18"/>
        </w:rPr>
        <w:br w:type="page"/>
      </w:r>
      <w:r w:rsidR="007B6CFC" w:rsidRPr="001E4968">
        <w:rPr>
          <w:rFonts w:cs="Arial"/>
          <w:b/>
          <w:bCs/>
          <w:color w:val="800000"/>
          <w:sz w:val="18"/>
          <w:szCs w:val="18"/>
        </w:rPr>
        <w:lastRenderedPageBreak/>
        <w:t>FUNCIONES DE DESARROLLO SOCIAL</w:t>
      </w:r>
    </w:p>
    <w:p w:rsidR="007B6CFC" w:rsidRPr="00A17D84"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funciones de Desarrollo Social sumaron  </w:t>
      </w:r>
      <w:r w:rsidR="00864141">
        <w:rPr>
          <w:rFonts w:eastAsia="Calibri" w:cs="Arial"/>
          <w:sz w:val="18"/>
          <w:szCs w:val="18"/>
          <w:lang w:eastAsia="en-US"/>
        </w:rPr>
        <w:t>8</w:t>
      </w:r>
      <w:r w:rsidRPr="00A17D84">
        <w:rPr>
          <w:rFonts w:eastAsia="Calibri" w:cs="Arial"/>
          <w:sz w:val="18"/>
          <w:szCs w:val="18"/>
          <w:lang w:eastAsia="en-US"/>
        </w:rPr>
        <w:t xml:space="preserve"> mil </w:t>
      </w:r>
      <w:r w:rsidR="00864141">
        <w:rPr>
          <w:rFonts w:eastAsia="Calibri" w:cs="Arial"/>
          <w:sz w:val="18"/>
          <w:szCs w:val="18"/>
          <w:lang w:eastAsia="en-US"/>
        </w:rPr>
        <w:t>418.1</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983522">
        <w:rPr>
          <w:rFonts w:eastAsia="Calibri" w:cs="Arial"/>
          <w:sz w:val="18"/>
          <w:szCs w:val="18"/>
          <w:lang w:eastAsia="en-US"/>
        </w:rPr>
        <w:t>100</w:t>
      </w:r>
      <w:r w:rsidR="007E33DB">
        <w:rPr>
          <w:rFonts w:eastAsia="Calibri" w:cs="Arial"/>
          <w:sz w:val="18"/>
          <w:szCs w:val="18"/>
          <w:lang w:eastAsia="en-US"/>
        </w:rPr>
        <w:t>.</w:t>
      </w:r>
      <w:r w:rsidR="00983522">
        <w:rPr>
          <w:rFonts w:eastAsia="Calibri" w:cs="Arial"/>
          <w:sz w:val="18"/>
          <w:szCs w:val="18"/>
          <w:lang w:eastAsia="en-US"/>
        </w:rPr>
        <w:t>0</w:t>
      </w:r>
      <w:r w:rsidRPr="00A17D84">
        <w:rPr>
          <w:rFonts w:eastAsia="Calibri" w:cs="Arial"/>
          <w:sz w:val="18"/>
          <w:szCs w:val="18"/>
          <w:lang w:eastAsia="en-US"/>
        </w:rPr>
        <w:t xml:space="preserve"> % se concentró en las funciones de Educación; Salud; </w:t>
      </w:r>
      <w:r w:rsidR="00983522" w:rsidRPr="00A17D84">
        <w:rPr>
          <w:rFonts w:eastAsia="Calibri" w:cs="Arial"/>
          <w:sz w:val="18"/>
          <w:szCs w:val="18"/>
          <w:lang w:eastAsia="en-US"/>
        </w:rPr>
        <w:t xml:space="preserve">Protección </w:t>
      </w:r>
      <w:proofErr w:type="gramStart"/>
      <w:r w:rsidR="00983522" w:rsidRPr="00A17D84">
        <w:rPr>
          <w:rFonts w:eastAsia="Calibri" w:cs="Arial"/>
          <w:sz w:val="18"/>
          <w:szCs w:val="18"/>
          <w:lang w:eastAsia="en-US"/>
        </w:rPr>
        <w:t xml:space="preserve">Social </w:t>
      </w:r>
      <w:r w:rsidR="00983522">
        <w:rPr>
          <w:rFonts w:eastAsia="Calibri" w:cs="Arial"/>
          <w:sz w:val="18"/>
          <w:szCs w:val="18"/>
          <w:lang w:eastAsia="en-US"/>
        </w:rPr>
        <w:t>;</w:t>
      </w:r>
      <w:proofErr w:type="gramEnd"/>
      <w:r w:rsidR="00983522">
        <w:rPr>
          <w:rFonts w:eastAsia="Calibri" w:cs="Arial"/>
          <w:sz w:val="18"/>
          <w:szCs w:val="18"/>
          <w:lang w:eastAsia="en-US"/>
        </w:rPr>
        <w:t xml:space="preserve"> </w:t>
      </w:r>
      <w:r w:rsidR="00A17D84" w:rsidRPr="00A17D84">
        <w:rPr>
          <w:rFonts w:eastAsia="Calibri" w:cs="Arial"/>
          <w:sz w:val="18"/>
          <w:szCs w:val="18"/>
          <w:lang w:eastAsia="en-US"/>
        </w:rPr>
        <w:t>Vivienda y Servicios a la Comunidad</w:t>
      </w:r>
      <w:r w:rsidRPr="00A17D84">
        <w:rPr>
          <w:rFonts w:eastAsia="Calibri" w:cs="Arial"/>
          <w:sz w:val="18"/>
          <w:szCs w:val="18"/>
          <w:lang w:eastAsia="en-US"/>
        </w:rPr>
        <w:t>; 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 otras Manifesta</w:t>
      </w:r>
      <w:r w:rsidR="00A17D84" w:rsidRPr="00A17D84">
        <w:rPr>
          <w:rFonts w:eastAsia="Calibri" w:cs="Arial"/>
          <w:sz w:val="18"/>
          <w:szCs w:val="18"/>
          <w:lang w:eastAsia="en-US"/>
        </w:rPr>
        <w:t>ciones Sociales</w:t>
      </w:r>
      <w:r w:rsidR="00983522">
        <w:rPr>
          <w:rFonts w:eastAsia="Calibri" w:cs="Arial"/>
          <w:sz w:val="18"/>
          <w:szCs w:val="18"/>
          <w:lang w:eastAsia="en-US"/>
        </w:rPr>
        <w:t>.</w:t>
      </w:r>
    </w:p>
    <w:p w:rsidR="007B6CFC" w:rsidRDefault="007B6CFC" w:rsidP="007B6CFC"/>
    <w:tbl>
      <w:tblPr>
        <w:tblW w:w="5000" w:type="pct"/>
        <w:tblCellMar>
          <w:left w:w="70" w:type="dxa"/>
          <w:right w:w="70" w:type="dxa"/>
        </w:tblCellMar>
        <w:tblLook w:val="04A0" w:firstRow="1" w:lastRow="0" w:firstColumn="1" w:lastColumn="0" w:noHBand="0" w:noVBand="1"/>
      </w:tblPr>
      <w:tblGrid>
        <w:gridCol w:w="1436"/>
        <w:gridCol w:w="3736"/>
        <w:gridCol w:w="1418"/>
        <w:gridCol w:w="1469"/>
        <w:gridCol w:w="1362"/>
        <w:gridCol w:w="1362"/>
        <w:gridCol w:w="1364"/>
        <w:gridCol w:w="1281"/>
      </w:tblGrid>
      <w:tr w:rsidR="008704D8" w:rsidRPr="0031579F" w:rsidTr="008704D8">
        <w:trPr>
          <w:trHeight w:val="285"/>
          <w:tblHeader/>
        </w:trPr>
        <w:tc>
          <w:tcPr>
            <w:tcW w:w="5000" w:type="pct"/>
            <w:gridSpan w:val="8"/>
            <w:tcBorders>
              <w:top w:val="nil"/>
              <w:left w:val="nil"/>
              <w:bottom w:val="nil"/>
              <w:right w:val="nil"/>
            </w:tcBorders>
            <w:shd w:val="clear" w:color="000000" w:fill="9A1C1D"/>
            <w:vAlign w:val="center"/>
            <w:hideMark/>
          </w:tcPr>
          <w:p w:rsidR="008704D8" w:rsidRPr="0031579F" w:rsidRDefault="008704D8" w:rsidP="008704D8">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CUENTA PUBLICA 2018</w:t>
            </w:r>
          </w:p>
        </w:tc>
      </w:tr>
      <w:tr w:rsidR="008704D8" w:rsidRPr="0031579F" w:rsidTr="008704D8">
        <w:trPr>
          <w:trHeight w:val="285"/>
          <w:tblHeader/>
        </w:trPr>
        <w:tc>
          <w:tcPr>
            <w:tcW w:w="5000" w:type="pct"/>
            <w:gridSpan w:val="8"/>
            <w:tcBorders>
              <w:top w:val="nil"/>
              <w:left w:val="nil"/>
              <w:bottom w:val="nil"/>
              <w:right w:val="nil"/>
            </w:tcBorders>
            <w:shd w:val="clear" w:color="000000" w:fill="9A1C1D"/>
            <w:vAlign w:val="center"/>
            <w:hideMark/>
          </w:tcPr>
          <w:p w:rsidR="008704D8" w:rsidRPr="0031579F" w:rsidRDefault="008704D8" w:rsidP="008704D8">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PODER EJECUTIVO</w:t>
            </w:r>
          </w:p>
        </w:tc>
      </w:tr>
      <w:tr w:rsidR="008704D8" w:rsidRPr="0031579F" w:rsidTr="008704D8">
        <w:trPr>
          <w:trHeight w:val="285"/>
          <w:tblHeader/>
        </w:trPr>
        <w:tc>
          <w:tcPr>
            <w:tcW w:w="5000" w:type="pct"/>
            <w:gridSpan w:val="8"/>
            <w:tcBorders>
              <w:top w:val="nil"/>
              <w:left w:val="nil"/>
              <w:bottom w:val="nil"/>
              <w:right w:val="nil"/>
            </w:tcBorders>
            <w:shd w:val="clear" w:color="000000" w:fill="9A1C1D"/>
            <w:vAlign w:val="center"/>
            <w:hideMark/>
          </w:tcPr>
          <w:p w:rsidR="008704D8" w:rsidRPr="0031579F" w:rsidRDefault="008704D8" w:rsidP="008704D8">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 xml:space="preserve">ESTADO </w:t>
            </w:r>
            <w:r w:rsidR="00386A96" w:rsidRPr="0031579F">
              <w:rPr>
                <w:rFonts w:ascii="Calibri" w:hAnsi="Calibri" w:cs="Calibri"/>
                <w:b/>
                <w:bCs/>
                <w:color w:val="FFFFFF"/>
                <w:sz w:val="16"/>
                <w:szCs w:val="16"/>
                <w:lang w:eastAsia="es-MX"/>
              </w:rPr>
              <w:t>ANALÍTICO</w:t>
            </w:r>
            <w:r w:rsidRPr="0031579F">
              <w:rPr>
                <w:rFonts w:ascii="Calibri" w:hAnsi="Calibri" w:cs="Calibri"/>
                <w:b/>
                <w:bCs/>
                <w:color w:val="FFFFFF"/>
                <w:sz w:val="16"/>
                <w:szCs w:val="16"/>
                <w:lang w:eastAsia="es-MX"/>
              </w:rPr>
              <w:t xml:space="preserve"> DEL EJERCICIO DEL PRESUPUESTO DE EGRESOS</w:t>
            </w:r>
          </w:p>
        </w:tc>
      </w:tr>
      <w:tr w:rsidR="008704D8" w:rsidRPr="0031579F" w:rsidTr="008704D8">
        <w:trPr>
          <w:trHeight w:val="285"/>
          <w:tblHeader/>
        </w:trPr>
        <w:tc>
          <w:tcPr>
            <w:tcW w:w="5000" w:type="pct"/>
            <w:gridSpan w:val="8"/>
            <w:tcBorders>
              <w:top w:val="nil"/>
              <w:left w:val="nil"/>
              <w:bottom w:val="nil"/>
              <w:right w:val="nil"/>
            </w:tcBorders>
            <w:shd w:val="clear" w:color="000000" w:fill="9A1C1D"/>
            <w:vAlign w:val="center"/>
            <w:hideMark/>
          </w:tcPr>
          <w:p w:rsidR="008704D8" w:rsidRPr="0031579F" w:rsidRDefault="00386A96" w:rsidP="008704D8">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CLASIFICACIÓN</w:t>
            </w:r>
            <w:r w:rsidR="008704D8" w:rsidRPr="0031579F">
              <w:rPr>
                <w:rFonts w:ascii="Calibri" w:hAnsi="Calibri" w:cs="Calibri"/>
                <w:b/>
                <w:bCs/>
                <w:color w:val="FFFFFF"/>
                <w:sz w:val="16"/>
                <w:szCs w:val="16"/>
                <w:lang w:eastAsia="es-MX"/>
              </w:rPr>
              <w:t xml:space="preserve"> FUNCIONAL (FINALIDAD Y </w:t>
            </w:r>
            <w:r w:rsidRPr="0031579F">
              <w:rPr>
                <w:rFonts w:ascii="Calibri" w:hAnsi="Calibri" w:cs="Calibri"/>
                <w:b/>
                <w:bCs/>
                <w:color w:val="FFFFFF"/>
                <w:sz w:val="16"/>
                <w:szCs w:val="16"/>
                <w:lang w:eastAsia="es-MX"/>
              </w:rPr>
              <w:t>FUNCIÓN</w:t>
            </w:r>
            <w:r w:rsidR="008704D8" w:rsidRPr="0031579F">
              <w:rPr>
                <w:rFonts w:ascii="Calibri" w:hAnsi="Calibri" w:cs="Calibri"/>
                <w:b/>
                <w:bCs/>
                <w:color w:val="FFFFFF"/>
                <w:sz w:val="16"/>
                <w:szCs w:val="16"/>
                <w:lang w:eastAsia="es-MX"/>
              </w:rPr>
              <w:t>)</w:t>
            </w:r>
          </w:p>
        </w:tc>
      </w:tr>
      <w:tr w:rsidR="008704D8" w:rsidRPr="0031579F" w:rsidTr="008704D8">
        <w:trPr>
          <w:trHeight w:val="285"/>
          <w:tblHeader/>
        </w:trPr>
        <w:tc>
          <w:tcPr>
            <w:tcW w:w="5000" w:type="pct"/>
            <w:gridSpan w:val="8"/>
            <w:tcBorders>
              <w:top w:val="nil"/>
              <w:left w:val="nil"/>
              <w:bottom w:val="nil"/>
              <w:right w:val="nil"/>
            </w:tcBorders>
            <w:shd w:val="clear" w:color="000000" w:fill="9A1C1D"/>
            <w:vAlign w:val="center"/>
            <w:hideMark/>
          </w:tcPr>
          <w:p w:rsidR="008704D8" w:rsidRPr="0031579F" w:rsidRDefault="008704D8" w:rsidP="008704D8">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DEL 01 DE ENERO DE 2018 AL 30 DE SEPTIEMBRE DE 2018</w:t>
            </w:r>
          </w:p>
        </w:tc>
      </w:tr>
      <w:tr w:rsidR="008704D8" w:rsidRPr="0031579F" w:rsidTr="008704D8">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8704D8" w:rsidRPr="0031579F" w:rsidRDefault="008704D8" w:rsidP="008704D8">
            <w:pPr>
              <w:spacing w:after="0"/>
              <w:jc w:val="left"/>
              <w:rPr>
                <w:rFonts w:cs="Arial"/>
                <w:color w:val="000000"/>
                <w:sz w:val="16"/>
                <w:szCs w:val="16"/>
                <w:lang w:eastAsia="es-MX"/>
              </w:rPr>
            </w:pPr>
            <w:r w:rsidRPr="0031579F">
              <w:rPr>
                <w:rFonts w:cs="Arial"/>
                <w:color w:val="000000"/>
                <w:sz w:val="16"/>
                <w:szCs w:val="16"/>
                <w:lang w:eastAsia="es-MX"/>
              </w:rPr>
              <w:t> </w:t>
            </w:r>
          </w:p>
        </w:tc>
      </w:tr>
      <w:tr w:rsidR="008704D8" w:rsidRPr="0031579F" w:rsidTr="008704D8">
        <w:trPr>
          <w:trHeight w:val="402"/>
          <w:tblHeader/>
        </w:trPr>
        <w:tc>
          <w:tcPr>
            <w:tcW w:w="19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CONCEPTO</w:t>
            </w:r>
          </w:p>
        </w:tc>
        <w:tc>
          <w:tcPr>
            <w:tcW w:w="259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EGRESOS</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SUBEJERCICIO</w:t>
            </w:r>
          </w:p>
        </w:tc>
      </w:tr>
      <w:tr w:rsidR="008704D8" w:rsidRPr="0031579F" w:rsidTr="008704D8">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APROBADO</w:t>
            </w:r>
          </w:p>
        </w:tc>
        <w:tc>
          <w:tcPr>
            <w:tcW w:w="547" w:type="pct"/>
            <w:tcBorders>
              <w:top w:val="nil"/>
              <w:left w:val="nil"/>
              <w:bottom w:val="nil"/>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MODIFICADO</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PAGADO</w:t>
            </w:r>
          </w:p>
        </w:tc>
        <w:tc>
          <w:tcPr>
            <w:tcW w:w="477"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r>
      <w:tr w:rsidR="008704D8" w:rsidRPr="0031579F" w:rsidTr="008704D8">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47" w:type="pct"/>
            <w:tcBorders>
              <w:top w:val="nil"/>
              <w:left w:val="nil"/>
              <w:bottom w:val="single" w:sz="4" w:space="0" w:color="000000"/>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r>
      <w:tr w:rsidR="008704D8" w:rsidRPr="0031579F" w:rsidTr="008704D8">
        <w:trPr>
          <w:trHeight w:val="402"/>
          <w:tblHeader/>
        </w:trPr>
        <w:tc>
          <w:tcPr>
            <w:tcW w:w="1926" w:type="pct"/>
            <w:gridSpan w:val="2"/>
            <w:vMerge/>
            <w:tcBorders>
              <w:top w:val="single" w:sz="4" w:space="0" w:color="000000"/>
              <w:left w:val="single" w:sz="4" w:space="0" w:color="000000"/>
              <w:bottom w:val="single" w:sz="4" w:space="0" w:color="auto"/>
              <w:right w:val="single" w:sz="4" w:space="0" w:color="000000"/>
            </w:tcBorders>
            <w:vAlign w:val="center"/>
            <w:hideMark/>
          </w:tcPr>
          <w:p w:rsidR="008704D8" w:rsidRPr="0031579F" w:rsidRDefault="008704D8" w:rsidP="008704D8">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w:t>
            </w:r>
          </w:p>
        </w:tc>
        <w:tc>
          <w:tcPr>
            <w:tcW w:w="547"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2</w:t>
            </w:r>
          </w:p>
        </w:tc>
        <w:tc>
          <w:tcPr>
            <w:tcW w:w="507"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 = (1 + 2)</w:t>
            </w:r>
          </w:p>
        </w:tc>
        <w:tc>
          <w:tcPr>
            <w:tcW w:w="507"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4</w:t>
            </w:r>
          </w:p>
        </w:tc>
        <w:tc>
          <w:tcPr>
            <w:tcW w:w="508"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5</w:t>
            </w:r>
          </w:p>
        </w:tc>
        <w:tc>
          <w:tcPr>
            <w:tcW w:w="477" w:type="pct"/>
            <w:tcBorders>
              <w:top w:val="nil"/>
              <w:left w:val="nil"/>
              <w:bottom w:val="single" w:sz="4" w:space="0" w:color="auto"/>
              <w:right w:val="single" w:sz="4" w:space="0" w:color="000000"/>
            </w:tcBorders>
            <w:shd w:val="clear" w:color="000000" w:fill="C8C8C8"/>
            <w:vAlign w:val="center"/>
            <w:hideMark/>
          </w:tcPr>
          <w:p w:rsidR="008704D8" w:rsidRPr="0031579F" w:rsidRDefault="008704D8" w:rsidP="008704D8">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6 = (3 - 4)</w:t>
            </w:r>
          </w:p>
        </w:tc>
      </w:tr>
      <w:tr w:rsidR="008704D8" w:rsidRPr="0031579F" w:rsidTr="008704D8">
        <w:trPr>
          <w:trHeight w:val="285"/>
        </w:trPr>
        <w:tc>
          <w:tcPr>
            <w:tcW w:w="535" w:type="pct"/>
            <w:vMerge w:val="restart"/>
            <w:tcBorders>
              <w:top w:val="single" w:sz="4" w:space="0" w:color="auto"/>
              <w:left w:val="single" w:sz="4" w:space="0" w:color="auto"/>
              <w:right w:val="single" w:sz="4" w:space="0" w:color="auto"/>
            </w:tcBorders>
            <w:shd w:val="clear" w:color="auto" w:fill="auto"/>
            <w:vAlign w:val="bottom"/>
            <w:hideMark/>
          </w:tcPr>
          <w:p w:rsidR="008704D8" w:rsidRPr="0031579F" w:rsidRDefault="008704D8" w:rsidP="008704D8">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DESARROLLO SOCIAL</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p w:rsidR="008704D8" w:rsidRPr="0031579F" w:rsidRDefault="008704D8" w:rsidP="008704D8">
            <w:pPr>
              <w:spacing w:after="0"/>
              <w:jc w:val="left"/>
              <w:rPr>
                <w:rFonts w:ascii="Calibri" w:hAnsi="Calibri" w:cs="Calibri"/>
                <w:b/>
                <w:color w:val="000000"/>
                <w:sz w:val="16"/>
                <w:szCs w:val="16"/>
                <w:lang w:eastAsia="es-MX"/>
              </w:rPr>
            </w:pPr>
            <w:r w:rsidRPr="0031579F">
              <w:rPr>
                <w:rFonts w:ascii="Calibri" w:hAnsi="Calibri" w:cs="Calibri"/>
                <w:color w:val="000000"/>
                <w:sz w:val="16"/>
                <w:szCs w:val="16"/>
                <w:lang w:eastAsia="es-MX"/>
              </w:rPr>
              <w:t> </w:t>
            </w: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b/>
                <w:color w:val="000000"/>
                <w:sz w:val="16"/>
                <w:szCs w:val="16"/>
                <w:lang w:eastAsia="es-MX"/>
              </w:rPr>
            </w:pPr>
            <w:r w:rsidRPr="0031579F">
              <w:rPr>
                <w:rFonts w:ascii="Calibri" w:hAnsi="Calibri" w:cs="Calibri"/>
                <w:b/>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7,709,880,111.20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1,779,966,087.86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9,489,846,199.06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8,418,165,709.71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8,416,968,601.09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1,071,680,489.35</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PROTECCIÓN AMBIENTAL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113,618,339.63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1,006,386.13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114,624,725.76</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102,885,796.97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101,695,837.42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11,738,928.79</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VIVIENDA Y SERVICIOS A LA COMUNIDAD</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580,517,661.42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447,425,186.30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1,027,942,847.72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134,125,240.53</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134,125,240.53</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893,817,607.19</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SALUD</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1,499,435,036.65</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855,827,653.15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2,355,262,689.80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2,345,031,292.41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2,345,024,143.34</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10,231,397.39</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RECREACIÓN, CULTURA Y OTRAS MANIFESTACIONES SOCIALES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67,516,600.01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8,318,874.98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75,835,474.99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72,401,154.08</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72,401,154.08</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3,434,320.91</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EDUCACIÓN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5,297,288,445.79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409,030,088.74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5,706,318,534.53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5,579,887,704.42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5,579,887,704.42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126,430,830.11</w:t>
            </w:r>
          </w:p>
        </w:tc>
      </w:tr>
      <w:tr w:rsidR="008704D8" w:rsidRPr="0031579F" w:rsidTr="008704D8">
        <w:trPr>
          <w:trHeight w:val="285"/>
        </w:trPr>
        <w:tc>
          <w:tcPr>
            <w:tcW w:w="535" w:type="pct"/>
            <w:vMerge/>
            <w:tcBorders>
              <w:left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PROTECCIÓN SOCIAL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151,504,027.70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33,199,372.34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184,703,400.04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180,501,163.55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180,501,163.55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4,202,236.49</w:t>
            </w:r>
          </w:p>
        </w:tc>
      </w:tr>
      <w:tr w:rsidR="008704D8" w:rsidRPr="0031579F" w:rsidTr="008704D8">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OTROS ASUNTOS SOCIALES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25,158,526.22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25,158,526.22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3,333,357.75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3,333,357.75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704D8" w:rsidRPr="0031579F" w:rsidRDefault="008704D8" w:rsidP="008704D8">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21,825,168.47</w:t>
            </w:r>
          </w:p>
        </w:tc>
      </w:tr>
    </w:tbl>
    <w:p w:rsidR="008704D8" w:rsidRDefault="008704D8" w:rsidP="007B6CFC"/>
    <w:p w:rsidR="008704D8" w:rsidRDefault="008704D8" w:rsidP="007B6CFC"/>
    <w:p w:rsidR="008704D8" w:rsidRDefault="008704D8" w:rsidP="007B6CFC"/>
    <w:p w:rsidR="00415042" w:rsidRDefault="00415042" w:rsidP="007B6CFC"/>
    <w:p w:rsidR="00923205" w:rsidRDefault="0092320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3503F4">
        <w:rPr>
          <w:rFonts w:eastAsia="Calibri" w:cs="Arial"/>
          <w:sz w:val="18"/>
          <w:szCs w:val="18"/>
          <w:lang w:eastAsia="en-US"/>
        </w:rPr>
        <w:t>378.2</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1F4BD6">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1F4BD6">
        <w:rPr>
          <w:rFonts w:eastAsia="Calibri" w:cs="Arial"/>
          <w:sz w:val="18"/>
          <w:szCs w:val="18"/>
          <w:shd w:val="clear" w:color="auto" w:fill="FFFFFF"/>
          <w:lang w:eastAsia="en-US"/>
        </w:rPr>
        <w:t>3</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Agropecuaria, Silvicultura, Pesca y Caza; Transporte;</w:t>
      </w:r>
      <w:r w:rsidRPr="00C06B01">
        <w:rPr>
          <w:rFonts w:eastAsia="Calibri" w:cs="Arial"/>
          <w:sz w:val="18"/>
          <w:szCs w:val="18"/>
          <w:lang w:eastAsia="en-US"/>
        </w:rPr>
        <w:t xml:space="preserve"> Asuntos Económicos, Comerciales y Laborales en General;</w:t>
      </w:r>
      <w:r w:rsidR="00C06B01" w:rsidRPr="00C06B01">
        <w:rPr>
          <w:rFonts w:eastAsia="Calibri" w:cs="Arial"/>
          <w:sz w:val="18"/>
          <w:szCs w:val="18"/>
          <w:lang w:eastAsia="en-US"/>
        </w:rPr>
        <w:t xml:space="preserve"> </w:t>
      </w:r>
      <w:r w:rsidRPr="00C06B01">
        <w:rPr>
          <w:rFonts w:eastAsia="Calibri" w:cs="Arial"/>
          <w:sz w:val="18"/>
          <w:szCs w:val="18"/>
          <w:lang w:eastAsia="en-US"/>
        </w:rPr>
        <w:t xml:space="preserve">Turismo; y el restante </w:t>
      </w:r>
      <w:r w:rsidR="001F4BD6">
        <w:rPr>
          <w:rFonts w:eastAsia="Calibri" w:cs="Arial"/>
          <w:sz w:val="18"/>
          <w:szCs w:val="18"/>
          <w:lang w:eastAsia="en-US"/>
        </w:rPr>
        <w:t>0</w:t>
      </w:r>
      <w:r w:rsidRPr="00C06B01">
        <w:rPr>
          <w:rFonts w:eastAsia="Calibri" w:cs="Arial"/>
          <w:sz w:val="18"/>
          <w:szCs w:val="18"/>
          <w:lang w:eastAsia="en-US"/>
        </w:rPr>
        <w:t>.</w:t>
      </w:r>
      <w:r w:rsidR="001F4BD6">
        <w:rPr>
          <w:rFonts w:eastAsia="Calibri" w:cs="Arial"/>
          <w:sz w:val="18"/>
          <w:szCs w:val="18"/>
          <w:lang w:eastAsia="en-US"/>
        </w:rPr>
        <w:t>7</w:t>
      </w:r>
      <w:r w:rsidRPr="00C06B01">
        <w:rPr>
          <w:rFonts w:eastAsia="Calibri" w:cs="Arial"/>
          <w:sz w:val="18"/>
          <w:szCs w:val="18"/>
          <w:lang w:eastAsia="en-US"/>
        </w:rPr>
        <w:t xml:space="preserve"> % en otras funciones.</w:t>
      </w:r>
    </w:p>
    <w:p w:rsidR="00184C84" w:rsidRDefault="00184C84" w:rsidP="007B6CFC"/>
    <w:tbl>
      <w:tblPr>
        <w:tblW w:w="5000" w:type="pct"/>
        <w:tblCellMar>
          <w:left w:w="70" w:type="dxa"/>
          <w:right w:w="70" w:type="dxa"/>
        </w:tblCellMar>
        <w:tblLook w:val="04A0" w:firstRow="1" w:lastRow="0" w:firstColumn="1" w:lastColumn="0" w:noHBand="0" w:noVBand="1"/>
      </w:tblPr>
      <w:tblGrid>
        <w:gridCol w:w="1436"/>
        <w:gridCol w:w="3736"/>
        <w:gridCol w:w="1418"/>
        <w:gridCol w:w="1469"/>
        <w:gridCol w:w="1362"/>
        <w:gridCol w:w="1362"/>
        <w:gridCol w:w="1364"/>
        <w:gridCol w:w="1281"/>
      </w:tblGrid>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CUENTA PUBLICA 2018</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PODER EJECUTIVO</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ESTADO ANALÍTICO DEL EJERCICIO DEL PRESUPUESTO DE EGRESOS</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CLASIFICACIÓN FUNCIONAL (FINALIDAD Y FUNCIÓN)</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DEL 01 DE ENERO DE 2018 AL 30 DE SEPTIEMBRE DE 2018</w:t>
            </w:r>
          </w:p>
        </w:tc>
      </w:tr>
      <w:tr w:rsidR="006A79E5" w:rsidRPr="0031579F" w:rsidTr="00A02FCD">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6A79E5" w:rsidRPr="0031579F" w:rsidRDefault="006A79E5" w:rsidP="00A02FCD">
            <w:pPr>
              <w:spacing w:after="0"/>
              <w:jc w:val="left"/>
              <w:rPr>
                <w:rFonts w:cs="Arial"/>
                <w:color w:val="000000"/>
                <w:sz w:val="16"/>
                <w:szCs w:val="16"/>
                <w:lang w:eastAsia="es-MX"/>
              </w:rPr>
            </w:pPr>
            <w:r w:rsidRPr="0031579F">
              <w:rPr>
                <w:rFonts w:cs="Arial"/>
                <w:color w:val="000000"/>
                <w:sz w:val="16"/>
                <w:szCs w:val="16"/>
                <w:lang w:eastAsia="es-MX"/>
              </w:rPr>
              <w:t> </w:t>
            </w:r>
          </w:p>
        </w:tc>
      </w:tr>
      <w:tr w:rsidR="006A79E5" w:rsidRPr="0031579F" w:rsidTr="00A02FCD">
        <w:trPr>
          <w:trHeight w:val="402"/>
          <w:tblHeader/>
        </w:trPr>
        <w:tc>
          <w:tcPr>
            <w:tcW w:w="19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CONCEPTO</w:t>
            </w:r>
          </w:p>
        </w:tc>
        <w:tc>
          <w:tcPr>
            <w:tcW w:w="259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EGRESOS</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SUBEJERCICIO</w:t>
            </w:r>
          </w:p>
        </w:tc>
      </w:tr>
      <w:tr w:rsidR="006A79E5" w:rsidRPr="0031579F" w:rsidTr="00A02FCD">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APROBADO</w:t>
            </w:r>
          </w:p>
        </w:tc>
        <w:tc>
          <w:tcPr>
            <w:tcW w:w="547" w:type="pct"/>
            <w:tcBorders>
              <w:top w:val="nil"/>
              <w:left w:val="nil"/>
              <w:bottom w:val="nil"/>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MODIFICADO</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PAGADO</w:t>
            </w:r>
          </w:p>
        </w:tc>
        <w:tc>
          <w:tcPr>
            <w:tcW w:w="47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r>
      <w:tr w:rsidR="006A79E5" w:rsidRPr="0031579F" w:rsidTr="00A02FCD">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47" w:type="pct"/>
            <w:tcBorders>
              <w:top w:val="nil"/>
              <w:left w:val="nil"/>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r>
      <w:tr w:rsidR="006A79E5" w:rsidRPr="0031579F" w:rsidTr="00A02FCD">
        <w:trPr>
          <w:trHeight w:val="402"/>
          <w:tblHeader/>
        </w:trPr>
        <w:tc>
          <w:tcPr>
            <w:tcW w:w="1926" w:type="pct"/>
            <w:gridSpan w:val="2"/>
            <w:vMerge/>
            <w:tcBorders>
              <w:top w:val="single" w:sz="4" w:space="0" w:color="000000"/>
              <w:left w:val="single" w:sz="4" w:space="0" w:color="000000"/>
              <w:bottom w:val="single" w:sz="4" w:space="0" w:color="auto"/>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w:t>
            </w:r>
          </w:p>
        </w:tc>
        <w:tc>
          <w:tcPr>
            <w:tcW w:w="54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2</w:t>
            </w:r>
          </w:p>
        </w:tc>
        <w:tc>
          <w:tcPr>
            <w:tcW w:w="50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 = (1 + 2)</w:t>
            </w:r>
          </w:p>
        </w:tc>
        <w:tc>
          <w:tcPr>
            <w:tcW w:w="50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4</w:t>
            </w:r>
          </w:p>
        </w:tc>
        <w:tc>
          <w:tcPr>
            <w:tcW w:w="508"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5</w:t>
            </w:r>
          </w:p>
        </w:tc>
        <w:tc>
          <w:tcPr>
            <w:tcW w:w="47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6 = (3 - 4)</w:t>
            </w:r>
          </w:p>
        </w:tc>
      </w:tr>
      <w:tr w:rsidR="006A79E5" w:rsidRPr="0031579F" w:rsidTr="00A02FCD">
        <w:trPr>
          <w:trHeight w:val="285"/>
        </w:trPr>
        <w:tc>
          <w:tcPr>
            <w:tcW w:w="535" w:type="pct"/>
            <w:vMerge w:val="restart"/>
            <w:tcBorders>
              <w:top w:val="single" w:sz="4" w:space="0" w:color="auto"/>
              <w:left w:val="single" w:sz="4" w:space="0" w:color="auto"/>
              <w:right w:val="single" w:sz="4" w:space="0" w:color="auto"/>
            </w:tcBorders>
            <w:shd w:val="clear" w:color="auto" w:fill="auto"/>
            <w:hideMark/>
          </w:tcPr>
          <w:p w:rsidR="006A79E5" w:rsidRPr="00C31F6E" w:rsidRDefault="006A79E5" w:rsidP="00A02FCD">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DESARROLLO ECONÓMICO</w:t>
            </w: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344,975,370.74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145,684,122.18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490,659,492.92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378,289,516.51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378,289,516.51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112,369,976.41</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ECONÓMICOS, COMERCIALES Y LABORALES EN GENERAL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70,638,577.23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25,799,370.78</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96,437,948.01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61,328,403.02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61,328,403.02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35,109,544.99</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AGROPECUARIA, SILVICULTURA, PESCA Y CAZA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166,563,506.44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103,224,188.50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269,787,694.94</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222,634,478.57</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222,634,478.57</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47,153,216.37</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COMBUSTIBLES Y ENERGÍA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MINERÍA, MANUFACTURAS Y CONSTRUCCIÓN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TRANSPORTE</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76,442,492.88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5,931,732.81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82,374,225.69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72,607,201.22</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72,607,201.22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9,767,024.47</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COMUNICACIONES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TURISMO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28,579,189.08</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10,935,730.09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39,514,919.17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19,174,728.59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19,174,728.59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20,340,190.58</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CIENCIA, TECNOLOGÍA E INNOVACIÓN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OTRAS INDUSTRIAS Y OTROS ASUNTOS ECONÓMICOS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2,751,605.11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-206,900.00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2,544,705.11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bl>
    <w:p w:rsidR="006A79E5" w:rsidRDefault="006A79E5" w:rsidP="007B6CFC"/>
    <w:p w:rsidR="006A79E5" w:rsidRDefault="006A79E5" w:rsidP="007B6CFC"/>
    <w:p w:rsidR="00983522" w:rsidRDefault="00983522" w:rsidP="007B6CFC"/>
    <w:p w:rsidR="00260833" w:rsidRDefault="00260833"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Pr="00260833"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426912">
        <w:rPr>
          <w:rFonts w:eastAsia="Calibri" w:cs="Arial"/>
          <w:sz w:val="18"/>
          <w:szCs w:val="18"/>
          <w:lang w:eastAsia="en-US"/>
        </w:rPr>
        <w:t>4</w:t>
      </w:r>
      <w:r w:rsidRPr="00260833">
        <w:rPr>
          <w:rFonts w:eastAsia="Calibri" w:cs="Arial"/>
          <w:sz w:val="18"/>
          <w:szCs w:val="18"/>
          <w:lang w:eastAsia="en-US"/>
        </w:rPr>
        <w:t>,</w:t>
      </w:r>
      <w:r w:rsidR="00393D92">
        <w:rPr>
          <w:rFonts w:eastAsia="Calibri" w:cs="Arial"/>
          <w:sz w:val="18"/>
          <w:szCs w:val="18"/>
          <w:lang w:eastAsia="en-US"/>
        </w:rPr>
        <w:t>858.7</w:t>
      </w:r>
      <w:r w:rsidRPr="00260833">
        <w:rPr>
          <w:rFonts w:eastAsia="Calibri" w:cs="Arial"/>
          <w:sz w:val="18"/>
          <w:szCs w:val="18"/>
          <w:lang w:eastAsia="en-US"/>
        </w:rPr>
        <w:t xml:space="preserve"> millones de pesos. Del total, </w:t>
      </w:r>
      <w:r w:rsidR="00AF7F6E">
        <w:rPr>
          <w:rFonts w:eastAsia="Calibri" w:cs="Arial"/>
          <w:sz w:val="18"/>
          <w:szCs w:val="18"/>
          <w:lang w:eastAsia="en-US"/>
        </w:rPr>
        <w:t>30</w:t>
      </w:r>
      <w:r w:rsidRPr="00260833">
        <w:rPr>
          <w:rFonts w:eastAsia="Calibri" w:cs="Arial"/>
          <w:sz w:val="18"/>
          <w:szCs w:val="18"/>
          <w:lang w:eastAsia="en-US"/>
        </w:rPr>
        <w:t>.</w:t>
      </w:r>
      <w:r w:rsidR="00AF7F6E">
        <w:rPr>
          <w:rFonts w:eastAsia="Calibri" w:cs="Arial"/>
          <w:sz w:val="18"/>
          <w:szCs w:val="18"/>
          <w:lang w:eastAsia="en-US"/>
        </w:rPr>
        <w:t>2</w:t>
      </w:r>
      <w:r w:rsidRPr="00260833">
        <w:rPr>
          <w:rFonts w:eastAsia="Calibri" w:cs="Arial"/>
          <w:sz w:val="18"/>
          <w:szCs w:val="18"/>
          <w:lang w:eastAsia="en-US"/>
        </w:rPr>
        <w:t xml:space="preserve"> % se concentró en las funciones de</w:t>
      </w:r>
      <w:r w:rsidR="004916B9">
        <w:rPr>
          <w:rFonts w:eastAsia="Calibri" w:cs="Arial"/>
          <w:sz w:val="18"/>
          <w:szCs w:val="18"/>
          <w:lang w:eastAsia="en-US"/>
        </w:rPr>
        <w:t xml:space="preserve"> </w:t>
      </w:r>
      <w:r w:rsidR="004916B9" w:rsidRPr="00260833">
        <w:rPr>
          <w:rFonts w:eastAsia="Calibri" w:cs="Arial"/>
          <w:sz w:val="18"/>
          <w:szCs w:val="18"/>
          <w:lang w:eastAsia="en-US"/>
        </w:rPr>
        <w:t xml:space="preserve">Justicia; </w:t>
      </w:r>
      <w:r w:rsidRPr="00260833">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4916B9" w:rsidRPr="00260833">
        <w:rPr>
          <w:rFonts w:eastAsia="Calibri" w:cs="Arial"/>
          <w:sz w:val="18"/>
          <w:szCs w:val="18"/>
          <w:lang w:eastAsia="en-US"/>
        </w:rPr>
        <w:t xml:space="preserve">Coordinación de la Política de Gobierno; </w:t>
      </w:r>
      <w:r w:rsidR="00FD0111" w:rsidRPr="00260833">
        <w:rPr>
          <w:rFonts w:eastAsia="Calibri" w:cs="Arial"/>
          <w:sz w:val="18"/>
          <w:szCs w:val="18"/>
          <w:lang w:eastAsia="en-US"/>
        </w:rPr>
        <w:t xml:space="preserve">Asuntos de Orden Público y de Seguridad Interior;  </w:t>
      </w:r>
      <w:r w:rsidRPr="00260833">
        <w:rPr>
          <w:rFonts w:eastAsia="Calibri" w:cs="Arial"/>
          <w:sz w:val="18"/>
          <w:szCs w:val="18"/>
          <w:lang w:eastAsia="en-US"/>
        </w:rPr>
        <w:t xml:space="preserve">Legislación; y el restante </w:t>
      </w:r>
      <w:r w:rsidR="00AF7F6E">
        <w:rPr>
          <w:rFonts w:eastAsia="Calibri" w:cs="Arial"/>
          <w:sz w:val="18"/>
          <w:szCs w:val="18"/>
          <w:lang w:eastAsia="en-US"/>
        </w:rPr>
        <w:t>69</w:t>
      </w:r>
      <w:r w:rsidRPr="00260833">
        <w:rPr>
          <w:rFonts w:eastAsia="Calibri" w:cs="Arial"/>
          <w:sz w:val="18"/>
          <w:szCs w:val="18"/>
          <w:lang w:eastAsia="en-US"/>
        </w:rPr>
        <w:t>.</w:t>
      </w:r>
      <w:r w:rsidR="00AF7F6E">
        <w:rPr>
          <w:rFonts w:eastAsia="Calibri" w:cs="Arial"/>
          <w:sz w:val="18"/>
          <w:szCs w:val="18"/>
          <w:lang w:eastAsia="en-US"/>
        </w:rPr>
        <w:t>8 %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p>
    <w:tbl>
      <w:tblPr>
        <w:tblW w:w="5000" w:type="pct"/>
        <w:tblCellMar>
          <w:left w:w="70" w:type="dxa"/>
          <w:right w:w="70" w:type="dxa"/>
        </w:tblCellMar>
        <w:tblLook w:val="04A0" w:firstRow="1" w:lastRow="0" w:firstColumn="1" w:lastColumn="0" w:noHBand="0" w:noVBand="1"/>
      </w:tblPr>
      <w:tblGrid>
        <w:gridCol w:w="1436"/>
        <w:gridCol w:w="3736"/>
        <w:gridCol w:w="1418"/>
        <w:gridCol w:w="1469"/>
        <w:gridCol w:w="1362"/>
        <w:gridCol w:w="1362"/>
        <w:gridCol w:w="1364"/>
        <w:gridCol w:w="1281"/>
      </w:tblGrid>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CUENTA PUBLICA 2018</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PODER EJECUTIVO</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ESTADO ANALÍTICO DEL EJERCICIO DEL PRESUPUESTO DE EGRESOS</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CLASIFICACIÓN FUNCIONAL (FINALIDAD Y FUNCIÓN)</w:t>
            </w:r>
          </w:p>
        </w:tc>
      </w:tr>
      <w:tr w:rsidR="006A79E5" w:rsidRPr="0031579F" w:rsidTr="00A02FCD">
        <w:trPr>
          <w:trHeight w:val="285"/>
          <w:tblHeader/>
        </w:trPr>
        <w:tc>
          <w:tcPr>
            <w:tcW w:w="5000" w:type="pct"/>
            <w:gridSpan w:val="8"/>
            <w:tcBorders>
              <w:top w:val="nil"/>
              <w:left w:val="nil"/>
              <w:bottom w:val="nil"/>
              <w:right w:val="nil"/>
            </w:tcBorders>
            <w:shd w:val="clear" w:color="000000" w:fill="9A1C1D"/>
            <w:vAlign w:val="center"/>
            <w:hideMark/>
          </w:tcPr>
          <w:p w:rsidR="006A79E5" w:rsidRPr="0031579F" w:rsidRDefault="006A79E5" w:rsidP="00A02FCD">
            <w:pPr>
              <w:spacing w:after="0"/>
              <w:jc w:val="center"/>
              <w:rPr>
                <w:rFonts w:ascii="Calibri" w:hAnsi="Calibri" w:cs="Calibri"/>
                <w:b/>
                <w:bCs/>
                <w:color w:val="FFFFFF"/>
                <w:sz w:val="16"/>
                <w:szCs w:val="16"/>
                <w:lang w:eastAsia="es-MX"/>
              </w:rPr>
            </w:pPr>
            <w:r w:rsidRPr="0031579F">
              <w:rPr>
                <w:rFonts w:ascii="Calibri" w:hAnsi="Calibri" w:cs="Calibri"/>
                <w:b/>
                <w:bCs/>
                <w:color w:val="FFFFFF"/>
                <w:sz w:val="16"/>
                <w:szCs w:val="16"/>
                <w:lang w:eastAsia="es-MX"/>
              </w:rPr>
              <w:t>DEL 01 DE ENERO DE 2018 AL 30 DE SEPTIEMBRE DE 2018</w:t>
            </w:r>
          </w:p>
        </w:tc>
      </w:tr>
      <w:tr w:rsidR="006A79E5" w:rsidRPr="0031579F" w:rsidTr="00A02FCD">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6A79E5" w:rsidRPr="0031579F" w:rsidRDefault="006A79E5" w:rsidP="00A02FCD">
            <w:pPr>
              <w:spacing w:after="0"/>
              <w:jc w:val="left"/>
              <w:rPr>
                <w:rFonts w:cs="Arial"/>
                <w:color w:val="000000"/>
                <w:sz w:val="16"/>
                <w:szCs w:val="16"/>
                <w:lang w:eastAsia="es-MX"/>
              </w:rPr>
            </w:pPr>
            <w:r w:rsidRPr="0031579F">
              <w:rPr>
                <w:rFonts w:cs="Arial"/>
                <w:color w:val="000000"/>
                <w:sz w:val="16"/>
                <w:szCs w:val="16"/>
                <w:lang w:eastAsia="es-MX"/>
              </w:rPr>
              <w:t> </w:t>
            </w:r>
          </w:p>
        </w:tc>
      </w:tr>
      <w:tr w:rsidR="006A79E5" w:rsidRPr="0031579F" w:rsidTr="00A02FCD">
        <w:trPr>
          <w:trHeight w:val="402"/>
          <w:tblHeader/>
        </w:trPr>
        <w:tc>
          <w:tcPr>
            <w:tcW w:w="19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CONCEPTO</w:t>
            </w:r>
          </w:p>
        </w:tc>
        <w:tc>
          <w:tcPr>
            <w:tcW w:w="259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EGRESOS</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SUBEJERCICIO</w:t>
            </w:r>
          </w:p>
        </w:tc>
      </w:tr>
      <w:tr w:rsidR="006A79E5" w:rsidRPr="0031579F" w:rsidTr="00A02FCD">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APROBADO</w:t>
            </w:r>
          </w:p>
        </w:tc>
        <w:tc>
          <w:tcPr>
            <w:tcW w:w="547" w:type="pct"/>
            <w:tcBorders>
              <w:top w:val="nil"/>
              <w:left w:val="nil"/>
              <w:bottom w:val="nil"/>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MODIFICADO</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DEVENGADO</w:t>
            </w:r>
          </w:p>
        </w:tc>
        <w:tc>
          <w:tcPr>
            <w:tcW w:w="50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PAGADO</w:t>
            </w:r>
          </w:p>
        </w:tc>
        <w:tc>
          <w:tcPr>
            <w:tcW w:w="47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r>
      <w:tr w:rsidR="006A79E5" w:rsidRPr="0031579F" w:rsidTr="00A02FCD">
        <w:trPr>
          <w:trHeight w:val="300"/>
          <w:tblHeader/>
        </w:trPr>
        <w:tc>
          <w:tcPr>
            <w:tcW w:w="1926" w:type="pct"/>
            <w:gridSpan w:val="2"/>
            <w:vMerge/>
            <w:tcBorders>
              <w:top w:val="single" w:sz="4" w:space="0" w:color="000000"/>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47" w:type="pct"/>
            <w:tcBorders>
              <w:top w:val="nil"/>
              <w:left w:val="nil"/>
              <w:bottom w:val="single" w:sz="4" w:space="0" w:color="000000"/>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08"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r>
      <w:tr w:rsidR="006A79E5" w:rsidRPr="0031579F" w:rsidTr="00A02FCD">
        <w:trPr>
          <w:trHeight w:val="402"/>
          <w:tblHeader/>
        </w:trPr>
        <w:tc>
          <w:tcPr>
            <w:tcW w:w="1926" w:type="pct"/>
            <w:gridSpan w:val="2"/>
            <w:vMerge/>
            <w:tcBorders>
              <w:top w:val="single" w:sz="4" w:space="0" w:color="000000"/>
              <w:left w:val="single" w:sz="4" w:space="0" w:color="000000"/>
              <w:bottom w:val="single" w:sz="4" w:space="0" w:color="auto"/>
              <w:right w:val="single" w:sz="4" w:space="0" w:color="000000"/>
            </w:tcBorders>
            <w:vAlign w:val="center"/>
            <w:hideMark/>
          </w:tcPr>
          <w:p w:rsidR="006A79E5" w:rsidRPr="0031579F" w:rsidRDefault="006A79E5" w:rsidP="00A02FCD">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1</w:t>
            </w:r>
          </w:p>
        </w:tc>
        <w:tc>
          <w:tcPr>
            <w:tcW w:w="54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2</w:t>
            </w:r>
          </w:p>
        </w:tc>
        <w:tc>
          <w:tcPr>
            <w:tcW w:w="50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3 = (1 + 2)</w:t>
            </w:r>
          </w:p>
        </w:tc>
        <w:tc>
          <w:tcPr>
            <w:tcW w:w="50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4</w:t>
            </w:r>
          </w:p>
        </w:tc>
        <w:tc>
          <w:tcPr>
            <w:tcW w:w="508"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5</w:t>
            </w:r>
          </w:p>
        </w:tc>
        <w:tc>
          <w:tcPr>
            <w:tcW w:w="477" w:type="pct"/>
            <w:tcBorders>
              <w:top w:val="nil"/>
              <w:left w:val="nil"/>
              <w:bottom w:val="single" w:sz="4" w:space="0" w:color="auto"/>
              <w:right w:val="single" w:sz="4" w:space="0" w:color="000000"/>
            </w:tcBorders>
            <w:shd w:val="clear" w:color="000000" w:fill="C8C8C8"/>
            <w:vAlign w:val="center"/>
            <w:hideMark/>
          </w:tcPr>
          <w:p w:rsidR="006A79E5" w:rsidRPr="0031579F" w:rsidRDefault="006A79E5" w:rsidP="00A02FCD">
            <w:pPr>
              <w:spacing w:after="0"/>
              <w:jc w:val="center"/>
              <w:rPr>
                <w:rFonts w:ascii="Calibri" w:hAnsi="Calibri" w:cs="Calibri"/>
                <w:b/>
                <w:bCs/>
                <w:color w:val="000000"/>
                <w:sz w:val="16"/>
                <w:szCs w:val="16"/>
                <w:lang w:eastAsia="es-MX"/>
              </w:rPr>
            </w:pPr>
            <w:r w:rsidRPr="0031579F">
              <w:rPr>
                <w:rFonts w:ascii="Calibri" w:hAnsi="Calibri" w:cs="Calibri"/>
                <w:b/>
                <w:bCs/>
                <w:color w:val="000000"/>
                <w:sz w:val="16"/>
                <w:szCs w:val="16"/>
                <w:lang w:eastAsia="es-MX"/>
              </w:rPr>
              <w:t>6 = (3 - 4)</w:t>
            </w:r>
          </w:p>
        </w:tc>
      </w:tr>
      <w:tr w:rsidR="006A79E5" w:rsidRPr="0031579F" w:rsidTr="00A02FCD">
        <w:trPr>
          <w:trHeight w:val="285"/>
        </w:trPr>
        <w:tc>
          <w:tcPr>
            <w:tcW w:w="535" w:type="pct"/>
            <w:vMerge w:val="restart"/>
            <w:tcBorders>
              <w:top w:val="single" w:sz="4" w:space="0" w:color="auto"/>
              <w:left w:val="single" w:sz="4" w:space="0" w:color="auto"/>
              <w:right w:val="single" w:sz="4" w:space="0" w:color="auto"/>
            </w:tcBorders>
            <w:shd w:val="clear" w:color="auto" w:fill="auto"/>
            <w:hideMark/>
          </w:tcPr>
          <w:p w:rsidR="006A79E5" w:rsidRPr="00786946" w:rsidRDefault="006A79E5" w:rsidP="00A02FCD">
            <w:pPr>
              <w:spacing w:after="0"/>
              <w:jc w:val="center"/>
              <w:rPr>
                <w:rFonts w:ascii="Calibri" w:hAnsi="Calibri" w:cs="Calibri"/>
                <w:b/>
                <w:color w:val="000000"/>
                <w:sz w:val="16"/>
                <w:szCs w:val="16"/>
                <w:lang w:eastAsia="es-MX"/>
              </w:rPr>
            </w:pPr>
            <w:r w:rsidRPr="0031579F">
              <w:rPr>
                <w:rFonts w:ascii="Calibri" w:hAnsi="Calibri" w:cs="Calibri"/>
                <w:b/>
                <w:color w:val="000000"/>
                <w:sz w:val="16"/>
                <w:szCs w:val="16"/>
                <w:lang w:eastAsia="es-MX"/>
              </w:rPr>
              <w:t>GOBIERNO</w:t>
            </w: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p w:rsidR="006A79E5" w:rsidRPr="0031579F" w:rsidRDefault="006A79E5" w:rsidP="00A02FCD">
            <w:pPr>
              <w:spacing w:after="0"/>
              <w:jc w:val="center"/>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 </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2,930,728,397.89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3,774,206,539.33</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6,704,934,937.22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4,858,760,340.95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4,858,760,340.95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b/>
                <w:color w:val="000000"/>
                <w:sz w:val="16"/>
                <w:szCs w:val="16"/>
                <w:lang w:eastAsia="es-MX"/>
              </w:rPr>
            </w:pPr>
            <w:r w:rsidRPr="0031579F">
              <w:rPr>
                <w:rFonts w:ascii="Calibri" w:hAnsi="Calibri" w:cs="Calibri"/>
                <w:b/>
                <w:color w:val="000000"/>
                <w:sz w:val="16"/>
                <w:szCs w:val="16"/>
                <w:lang w:eastAsia="es-MX"/>
              </w:rPr>
              <w:t>1,846,174,596.27</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LEGISLACIÓN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182,307,920.00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54,211,030.70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236,518,950.70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JUSTICIA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382,312,270.49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32,567,369.20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414,879,639.69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395,015,631.95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395,015,631.95</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19,864,007.74</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COORDINACIÓN DE LA POLÍTICA DE GOBIERNO</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241,782,722.41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50,476,995.61</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292,259,718.02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267,462,536.70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267,462,536.70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24,797,181.32</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RELACIONES EXTERIORES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FINANCIEROS Y HACENDARIOS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1,495,171,407.12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377,152,032.45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1,872,323,439.57</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257,387,674.21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257,387,674.21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1,614,935,765.36</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SEGURIDAD NACIONAL</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0.00</w:t>
            </w:r>
          </w:p>
        </w:tc>
      </w:tr>
      <w:tr w:rsidR="006A79E5" w:rsidRPr="0031579F" w:rsidTr="00A02FCD">
        <w:trPr>
          <w:trHeight w:val="285"/>
        </w:trPr>
        <w:tc>
          <w:tcPr>
            <w:tcW w:w="535" w:type="pct"/>
            <w:vMerge/>
            <w:tcBorders>
              <w:left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ASUNTOS DE ORDEN PÚBLICO Y DE SEGURIDAD INTERIOR</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424,704,323.93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36,562,347.12</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461,266,671.05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311,841,297.99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311,841,297.99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149,425,373.06</w:t>
            </w:r>
          </w:p>
        </w:tc>
      </w:tr>
      <w:tr w:rsidR="006A79E5" w:rsidRPr="0031579F" w:rsidTr="00A02FCD">
        <w:trPr>
          <w:trHeight w:val="285"/>
        </w:trPr>
        <w:tc>
          <w:tcPr>
            <w:tcW w:w="535" w:type="pct"/>
            <w:vMerge/>
            <w:tcBorders>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p>
        </w:tc>
        <w:tc>
          <w:tcPr>
            <w:tcW w:w="13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left"/>
              <w:rPr>
                <w:rFonts w:ascii="Calibri" w:hAnsi="Calibri" w:cs="Calibri"/>
                <w:color w:val="000000"/>
                <w:sz w:val="16"/>
                <w:szCs w:val="16"/>
                <w:lang w:eastAsia="es-MX"/>
              </w:rPr>
            </w:pPr>
            <w:r w:rsidRPr="0031579F">
              <w:rPr>
                <w:rFonts w:ascii="Calibri" w:hAnsi="Calibri" w:cs="Calibri"/>
                <w:color w:val="000000"/>
                <w:sz w:val="16"/>
                <w:szCs w:val="16"/>
                <w:lang w:eastAsia="es-MX"/>
              </w:rPr>
              <w:t>OTROS SERVICIOS GENERALES</w:t>
            </w:r>
          </w:p>
        </w:tc>
        <w:tc>
          <w:tcPr>
            <w:tcW w:w="5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204,449,753.94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3,223,236,764.25</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3,427,686,518.19</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3,390,534,249.40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3,390,534,249.40</w:t>
            </w:r>
          </w:p>
        </w:tc>
        <w:tc>
          <w:tcPr>
            <w:tcW w:w="47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A79E5" w:rsidRPr="0031579F" w:rsidRDefault="006A79E5" w:rsidP="00A02FCD">
            <w:pPr>
              <w:spacing w:after="0"/>
              <w:jc w:val="right"/>
              <w:rPr>
                <w:rFonts w:ascii="Calibri" w:hAnsi="Calibri" w:cs="Calibri"/>
                <w:color w:val="000000"/>
                <w:sz w:val="16"/>
                <w:szCs w:val="16"/>
                <w:lang w:eastAsia="es-MX"/>
              </w:rPr>
            </w:pPr>
            <w:r w:rsidRPr="0031579F">
              <w:rPr>
                <w:rFonts w:ascii="Calibri" w:hAnsi="Calibri" w:cs="Calibri"/>
                <w:color w:val="000000"/>
                <w:sz w:val="16"/>
                <w:szCs w:val="16"/>
                <w:lang w:eastAsia="es-MX"/>
              </w:rPr>
              <w:t>37,152,268.79</w:t>
            </w:r>
          </w:p>
        </w:tc>
      </w:tr>
    </w:tbl>
    <w:p w:rsidR="000C245B" w:rsidRDefault="000C245B" w:rsidP="007B6CFC"/>
    <w:p w:rsidR="006A79E5" w:rsidRDefault="006A79E5" w:rsidP="007B6CFC"/>
    <w:p w:rsidR="006A79E5" w:rsidRDefault="006A79E5" w:rsidP="007B6CFC"/>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 xml:space="preserve">En congruencia con lo anterior, </w:t>
      </w:r>
      <w:r w:rsidR="00186739">
        <w:rPr>
          <w:rFonts w:eastAsia="Calibri" w:cs="Arial"/>
          <w:sz w:val="18"/>
          <w:szCs w:val="18"/>
          <w:lang w:eastAsia="en-US"/>
        </w:rPr>
        <w:t xml:space="preserve">el Ejecutivo Estatal emitió el </w:t>
      </w:r>
      <w:r w:rsidRPr="0004140A">
        <w:rPr>
          <w:rFonts w:eastAsia="Calibri" w:cs="Arial"/>
          <w:sz w:val="18"/>
          <w:szCs w:val="18"/>
          <w:lang w:eastAsia="en-US"/>
        </w:rPr>
        <w:t>1</w:t>
      </w:r>
      <w:r w:rsidR="00186739">
        <w:rPr>
          <w:rFonts w:eastAsia="Calibri" w:cs="Arial"/>
          <w:sz w:val="18"/>
          <w:szCs w:val="18"/>
          <w:lang w:eastAsia="en-US"/>
        </w:rPr>
        <w:t>5</w:t>
      </w:r>
      <w:r w:rsidRPr="0004140A">
        <w:rPr>
          <w:rFonts w:eastAsia="Calibri" w:cs="Arial"/>
          <w:sz w:val="18"/>
          <w:szCs w:val="18"/>
          <w:lang w:eastAsia="en-US"/>
        </w:rPr>
        <w:t xml:space="preserve"> de </w:t>
      </w:r>
      <w:r w:rsidR="00186739">
        <w:rPr>
          <w:rFonts w:eastAsia="Calibri" w:cs="Arial"/>
          <w:sz w:val="18"/>
          <w:szCs w:val="18"/>
          <w:lang w:eastAsia="en-US"/>
        </w:rPr>
        <w:t>febr</w:t>
      </w:r>
      <w:r w:rsidRPr="0004140A">
        <w:rPr>
          <w:rFonts w:eastAsia="Calibri" w:cs="Arial"/>
          <w:sz w:val="18"/>
          <w:szCs w:val="18"/>
          <w:lang w:eastAsia="en-US"/>
        </w:rPr>
        <w:t>ero de 201</w:t>
      </w:r>
      <w:r w:rsidR="00186739">
        <w:rPr>
          <w:rFonts w:eastAsia="Calibri" w:cs="Arial"/>
          <w:sz w:val="18"/>
          <w:szCs w:val="18"/>
          <w:lang w:eastAsia="en-US"/>
        </w:rPr>
        <w:t>8</w:t>
      </w:r>
      <w:r w:rsidRPr="0004140A">
        <w:rPr>
          <w:rFonts w:eastAsia="Calibri" w:cs="Arial"/>
          <w:sz w:val="18"/>
          <w:szCs w:val="18"/>
          <w:lang w:eastAsia="en-US"/>
        </w:rPr>
        <w:t xml:space="preserve"> el “Acuerdo que establece los Lineamientos y Políticas Generales del Ejercicio del Presupuesto, las Medidas de Mejora y Modernización</w:t>
      </w:r>
      <w:r w:rsidR="007900E5">
        <w:rPr>
          <w:rFonts w:eastAsia="Calibri" w:cs="Arial"/>
          <w:sz w:val="18"/>
          <w:szCs w:val="18"/>
          <w:lang w:eastAsia="en-US"/>
        </w:rPr>
        <w:t>, así como</w:t>
      </w:r>
      <w:r w:rsidRPr="0004140A">
        <w:rPr>
          <w:rFonts w:eastAsia="Calibri" w:cs="Arial"/>
          <w:sz w:val="18"/>
          <w:szCs w:val="18"/>
          <w:lang w:eastAsia="en-US"/>
        </w:rPr>
        <w:t xml:space="preserve"> de Austeridad del Gasto Púbico </w:t>
      </w:r>
      <w:r w:rsidR="007900E5">
        <w:rPr>
          <w:rFonts w:eastAsia="Calibri" w:cs="Arial"/>
          <w:sz w:val="18"/>
          <w:szCs w:val="18"/>
          <w:lang w:eastAsia="en-US"/>
        </w:rPr>
        <w:t xml:space="preserve">de la Gestión </w:t>
      </w:r>
      <w:proofErr w:type="spellStart"/>
      <w:r w:rsidR="007900E5">
        <w:rPr>
          <w:rFonts w:eastAsia="Calibri" w:cs="Arial"/>
          <w:sz w:val="18"/>
          <w:szCs w:val="18"/>
          <w:lang w:eastAsia="en-US"/>
        </w:rPr>
        <w:t>Administrtiva</w:t>
      </w:r>
      <w:proofErr w:type="spellEnd"/>
      <w:r w:rsidRPr="0004140A">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7B6CFC" w:rsidRPr="0004140A" w:rsidRDefault="00420825" w:rsidP="007B6CFC">
      <w:p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Dependencias y Entidades en materia de servicios personales, deberán observar lo siguiente</w:t>
      </w:r>
      <w:r w:rsidR="007B6CFC" w:rsidRPr="0004140A">
        <w:rPr>
          <w:rFonts w:eastAsia="Calibri" w:cs="Arial"/>
          <w:sz w:val="18"/>
          <w:szCs w:val="18"/>
          <w:lang w:eastAsia="en-US"/>
        </w:rPr>
        <w:t xml:space="preserve">: </w:t>
      </w:r>
      <w:r w:rsidR="007B6CFC" w:rsidRPr="0004140A">
        <w:rPr>
          <w:rFonts w:eastAsia="Calibri" w:cs="Arial"/>
          <w:sz w:val="18"/>
          <w:szCs w:val="18"/>
          <w:lang w:eastAsia="en-US"/>
        </w:rPr>
        <w:tab/>
      </w:r>
    </w:p>
    <w:p w:rsidR="00420825" w:rsidRPr="00420825" w:rsidRDefault="00420825" w:rsidP="00C51E37">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Apegarse estrictamente a la asignación global de recursos para servicios personales que se apruebe en el </w:t>
      </w:r>
      <w:r w:rsidR="00C51E37" w:rsidRPr="00C51E37">
        <w:rPr>
          <w:rFonts w:eastAsia="Calibri" w:cs="Arial"/>
          <w:sz w:val="18"/>
          <w:szCs w:val="18"/>
          <w:lang w:eastAsia="en-US"/>
        </w:rPr>
        <w:t xml:space="preserve">Presupuesto de Egresos del Estado de Tlaxcala del Ejercicio Fiscal correspondiente </w:t>
      </w:r>
      <w:r w:rsidR="00C51E37">
        <w:rPr>
          <w:rFonts w:eastAsia="Calibri" w:cs="Arial"/>
          <w:sz w:val="18"/>
          <w:szCs w:val="18"/>
          <w:lang w:eastAsia="en-US"/>
        </w:rPr>
        <w:t>(</w:t>
      </w:r>
      <w:r w:rsidRPr="00420825">
        <w:rPr>
          <w:rFonts w:eastAsia="Calibri" w:cs="Arial"/>
          <w:sz w:val="18"/>
          <w:szCs w:val="18"/>
          <w:lang w:eastAsia="en-US"/>
        </w:rPr>
        <w:t>PEET</w:t>
      </w:r>
      <w:r w:rsidR="00C51E37">
        <w:rPr>
          <w:rFonts w:eastAsia="Calibri" w:cs="Arial"/>
          <w:sz w:val="18"/>
          <w:szCs w:val="18"/>
          <w:lang w:eastAsia="en-US"/>
        </w:rPr>
        <w:t>)</w:t>
      </w:r>
      <w:r w:rsidRPr="00420825">
        <w:rPr>
          <w:rFonts w:eastAsia="Calibri" w:cs="Arial"/>
          <w:sz w:val="18"/>
          <w:szCs w:val="18"/>
          <w:lang w:eastAsia="en-US"/>
        </w:rPr>
        <w:t>, misma que tendrá como límite, el producto que resulte de aplicar al monto aprobado en el Presupuesto de Egresos del ejercicio inmediato anterior, una tasa de crecimiento equivalente al valor que resulte menor entre:</w:t>
      </w:r>
    </w:p>
    <w:p w:rsidR="00420825" w:rsidRPr="00420825" w:rsidRDefault="00420825" w:rsidP="00565BEA">
      <w:pPr>
        <w:numPr>
          <w:ilvl w:val="0"/>
          <w:numId w:val="30"/>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3 por ciento de crecimiento real.</w:t>
      </w:r>
    </w:p>
    <w:p w:rsidR="00420825" w:rsidRPr="00420825" w:rsidRDefault="00420825" w:rsidP="00565BEA">
      <w:pPr>
        <w:numPr>
          <w:ilvl w:val="0"/>
          <w:numId w:val="30"/>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Se exceptúa del cumplimiento de la presente fracción, el monto erogado por sentencias laborales definitivas emitidas por la autoridad competente.</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Así como a los criterios que en la materia establezca el Ejecutivo por conducto de la Oficialía Mayor</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Contar con la autorización expresa de la Contraloría respecto de los organigramas y de Oficialía Mayor a lo que corresponde a los tabuladores de percepciones respectivamente;</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Reducir al mínimo indispensable el personal por honorarios y cancelar los interinatos administrativos y los comisionados no justificados. Esta acción será coordinada y controlada por la Oficialía Mayor para garantizar su cumplimiento.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No crear plazas, salvo los Ramos y Entidades que cuenten expresamente con recursos federales aprobados para tal fin en el Presupuesto, las que correspondan a la policía estatal acreditable o a médicos de hospitales y centros de salud, por tratarse de temas de seguridad nacional y salud pública, así como aquellas por disposición de Ley, previo acuerdo de la Oficialía Mayor.</w:t>
      </w:r>
    </w:p>
    <w:p w:rsidR="00420825" w:rsidRPr="00420825" w:rsidRDefault="00420825" w:rsidP="00420825">
      <w:pPr>
        <w:autoSpaceDE w:val="0"/>
        <w:autoSpaceDN w:val="0"/>
        <w:adjustRightInd w:val="0"/>
        <w:spacing w:before="80" w:after="0" w:line="276" w:lineRule="auto"/>
        <w:rPr>
          <w:rFonts w:eastAsia="Calibri" w:cs="Arial"/>
          <w:sz w:val="18"/>
          <w:szCs w:val="18"/>
          <w:lang w:eastAsia="en-US"/>
        </w:rPr>
      </w:pPr>
    </w:p>
    <w:p w:rsidR="00420825" w:rsidRPr="00420825" w:rsidRDefault="00420825" w:rsidP="00565BEA">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Las plazas operativas del área de seguridad que estén utilizadas en actividades administrativas, deberán regresar a su tarea sustantiva, garantizando que se cubra el perfil del puesto.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No habrá incrementos salariales, excepto los previstos en el presupuesto para el personal operativo con la autorización de la Oficialía Mayor y la Secretaría.</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lastRenderedPageBreak/>
        <w:t>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En el Poder Ejecutivo, ningún salario podrá ser superior al asignado al Gobernador del Estado.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Las Entidades deberán contar además, con la aprobación de su Órgano de Gobierno.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Transferencias.- No se podrán transferir recursos de otros capítulos de gasto al de servicios personales.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Plazas vacantes.- Con excepción de las plazas pertenecientes a áreas que por la naturaleza de su función o por determinación de Ley requieren de todo su personal; las plazas no sustantivas que se encuentran vacantes se mantendrán congeladas.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Retiro voluntario.- Atender las disposiciones que emita la Oficialía Mayor, para promover la aportación de recursos para el Fondo de retiro, el retiro voluntario de los servidores públicos de acuerdo al programa que apruebe la Secretaría en razón de la disponibilidad financiera.</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Establecer sistemas de administración de personal y reportar trimestralmente a la Oficialía Mayor, el número de plazas por tipo de relación laboral, nivel, sueldo, prestaciones y costo.</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w:t>
      </w:r>
    </w:p>
    <w:p w:rsidR="00420825" w:rsidRPr="00420825" w:rsidRDefault="00420825" w:rsidP="00696F87">
      <w:pPr>
        <w:autoSpaceDE w:val="0"/>
        <w:autoSpaceDN w:val="0"/>
        <w:adjustRightInd w:val="0"/>
        <w:spacing w:before="80" w:after="0" w:line="276" w:lineRule="auto"/>
        <w:ind w:left="720"/>
        <w:rPr>
          <w:rFonts w:eastAsia="Calibri" w:cs="Arial"/>
          <w:sz w:val="18"/>
          <w:szCs w:val="18"/>
          <w:lang w:eastAsia="en-US"/>
        </w:rPr>
      </w:pPr>
      <w:r w:rsidRPr="00420825">
        <w:rPr>
          <w:rFonts w:eastAsia="Calibri" w:cs="Arial"/>
          <w:sz w:val="18"/>
          <w:szCs w:val="18"/>
          <w:lang w:eastAsia="en-US"/>
        </w:rPr>
        <w:t xml:space="preserve">Asimismo, deberán promover la capacitación de sus servidores públicos y diseñar procedimientos para evaluar su desempeño; </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Las plazas de apoyo.- La Oficialía Mayor determinará la asignación de plazas de secretarios particulares, asesores o choferes, a los Titulares  de Dependencias y Entidades, y por excepción, cuando la operación lo amerite, a los mandos medios.</w:t>
      </w:r>
    </w:p>
    <w:p w:rsidR="00420825" w:rsidRPr="00420825" w:rsidRDefault="00420825" w:rsidP="00694A7D">
      <w:pPr>
        <w:numPr>
          <w:ilvl w:val="0"/>
          <w:numId w:val="29"/>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Servicios Médicos.- En la prestación de servicios médicos, se deberá revisar, racionalizar y transparentar el gasto, sin afectar el derecho de los trabajadores, mediante:</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verificación del padrón de beneficiarios, garantizando que sean derechohabientes, conforme a  la normatividad.</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utilización del Cuadro Básico de medicamentos establecido por el Sector Salud.</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El registro y seguimiento puntual del expediente de cada paciente, a fin de verificar la racionalidad y congruencia del tratamiento y medicamentos recetados.</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La promoción por la Oficialía Mayor para que se utilicen, en primera instancia, los servicios de las instituciones públicas y sólo en caso de excepción, las privadas.</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lastRenderedPageBreak/>
        <w:t>Los servidores públicos que cuenten con plaza federal, sólo tendrán derecho a los servicios médicos del Instituto de Seguridad y Servicios Sociales de los Trabajadores del Estado (ISSSTE), no podrán recibir servicio médico estatal.</w:t>
      </w:r>
    </w:p>
    <w:p w:rsidR="00420825" w:rsidRPr="00420825" w:rsidRDefault="00420825" w:rsidP="00696F87">
      <w:pPr>
        <w:numPr>
          <w:ilvl w:val="0"/>
          <w:numId w:val="31"/>
        </w:numPr>
        <w:autoSpaceDE w:val="0"/>
        <w:autoSpaceDN w:val="0"/>
        <w:adjustRightInd w:val="0"/>
        <w:spacing w:before="80" w:after="0" w:line="276" w:lineRule="auto"/>
        <w:rPr>
          <w:rFonts w:eastAsia="Calibri" w:cs="Arial"/>
          <w:sz w:val="18"/>
          <w:szCs w:val="18"/>
          <w:lang w:eastAsia="en-US"/>
        </w:rPr>
      </w:pPr>
      <w:r w:rsidRPr="00420825">
        <w:rPr>
          <w:rFonts w:eastAsia="Calibri" w:cs="Arial"/>
          <w:sz w:val="18"/>
          <w:szCs w:val="18"/>
          <w:lang w:eastAsia="en-US"/>
        </w:rPr>
        <w:t xml:space="preserve">El reembolso de gastos médicos erogados por los servidores públicos se realizará de manera eficiente y transparente en sus cuentas bancarias de nómina.       </w:t>
      </w:r>
    </w:p>
    <w:p w:rsidR="00694A7D" w:rsidRPr="00420825" w:rsidRDefault="00694A7D"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 xml:space="preserve">En materia de recursos materiales </w:t>
      </w:r>
      <w:r w:rsidR="00737586" w:rsidRPr="00737586">
        <w:rPr>
          <w:rFonts w:eastAsia="Calibri" w:cs="Arial"/>
          <w:sz w:val="18"/>
          <w:szCs w:val="18"/>
          <w:lang w:eastAsia="en-US"/>
        </w:rPr>
        <w:t>deberán observar lo siguiente</w:t>
      </w:r>
      <w:r w:rsidRPr="0004140A">
        <w:rPr>
          <w:rFonts w:eastAsia="Calibri" w:cs="Arial"/>
          <w:sz w:val="18"/>
          <w:szCs w:val="18"/>
          <w:lang w:eastAsia="en-US"/>
        </w:rPr>
        <w:t>:</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Reproducción.- Se reducirá el gasto de impresión y fotocopiado, se aumentarán los procesos electrónicos de gestión de documentos.</w:t>
      </w:r>
    </w:p>
    <w:p w:rsidR="00737586" w:rsidRPr="00737586" w:rsidRDefault="00737586" w:rsidP="00737586">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Queda prohibida la impresión y fotocopiado de documentos que no tengan relación con las funciones de las Dependencias y Entidades.</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Actualización tecnológica.- La adquisición y actualización de tecnologías de información y comunicación deberá cumplir con las especificaciones y estándares establecidas por la Contraloría, conforme a la política de estrategia digital implementada por el Ejecutivo.</w:t>
      </w:r>
    </w:p>
    <w:p w:rsidR="00737586" w:rsidRPr="00737586" w:rsidRDefault="00737586" w:rsidP="00442DD1">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El equipo informático debe estar debidamente inventariado, asegurado, contar con las licencias actualizadas para su uso y estar integrado a un programa permanente de mantenimiento.</w:t>
      </w:r>
    </w:p>
    <w:p w:rsidR="00737586" w:rsidRPr="00737586" w:rsidRDefault="00737586" w:rsidP="00737586">
      <w:pPr>
        <w:numPr>
          <w:ilvl w:val="0"/>
          <w:numId w:val="32"/>
        </w:numPr>
        <w:autoSpaceDE w:val="0"/>
        <w:autoSpaceDN w:val="0"/>
        <w:adjustRightInd w:val="0"/>
        <w:spacing w:before="80" w:after="0" w:line="276" w:lineRule="auto"/>
        <w:rPr>
          <w:rFonts w:eastAsia="Calibri" w:cs="Arial"/>
          <w:sz w:val="18"/>
          <w:szCs w:val="18"/>
          <w:lang w:eastAsia="en-US"/>
        </w:rPr>
      </w:pPr>
      <w:r w:rsidRPr="00737586">
        <w:rPr>
          <w:rFonts w:eastAsia="Calibri" w:cs="Arial"/>
          <w:sz w:val="18"/>
          <w:szCs w:val="18"/>
          <w:lang w:eastAsia="en-US"/>
        </w:rPr>
        <w:t>Combustibles.- La dotación de combustible a los vehículos propiedad del Gobierno del Estado, se hará invariablemente, mediante el sistema de tarjetas electrónicas, el cual debe ser de amplia cobertura, ágil y que garantice el control del suministro.</w:t>
      </w:r>
    </w:p>
    <w:p w:rsidR="00737586" w:rsidRPr="00737586" w:rsidRDefault="00737586" w:rsidP="008837A8">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La comprobación se hará mensualmente por medio de una bitácora de servicio, debidamente revisada y firmada por el jefe del área correspondiente a la de asignación del vehículo.</w:t>
      </w:r>
    </w:p>
    <w:p w:rsidR="00737586" w:rsidRPr="00737586" w:rsidRDefault="00737586" w:rsidP="008837A8">
      <w:pPr>
        <w:autoSpaceDE w:val="0"/>
        <w:autoSpaceDN w:val="0"/>
        <w:adjustRightInd w:val="0"/>
        <w:spacing w:before="80" w:after="0" w:line="276" w:lineRule="auto"/>
        <w:ind w:left="720"/>
        <w:rPr>
          <w:rFonts w:eastAsia="Calibri" w:cs="Arial"/>
          <w:sz w:val="18"/>
          <w:szCs w:val="18"/>
          <w:lang w:eastAsia="en-US"/>
        </w:rPr>
      </w:pPr>
      <w:r w:rsidRPr="00737586">
        <w:rPr>
          <w:rFonts w:eastAsia="Calibri" w:cs="Arial"/>
          <w:sz w:val="18"/>
          <w:szCs w:val="18"/>
          <w:lang w:eastAsia="en-US"/>
        </w:rPr>
        <w:t>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E843B3" w:rsidP="007B6CFC">
      <w:pPr>
        <w:autoSpaceDE w:val="0"/>
        <w:autoSpaceDN w:val="0"/>
        <w:adjustRightInd w:val="0"/>
        <w:spacing w:before="80" w:after="0" w:line="276" w:lineRule="auto"/>
        <w:rPr>
          <w:rFonts w:eastAsia="Calibri" w:cs="Arial"/>
          <w:sz w:val="18"/>
          <w:szCs w:val="18"/>
          <w:lang w:eastAsia="en-US"/>
        </w:rPr>
      </w:pPr>
      <w:r w:rsidRPr="00E843B3">
        <w:rPr>
          <w:rFonts w:eastAsia="Calibri" w:cs="Arial"/>
          <w:sz w:val="18"/>
          <w:szCs w:val="18"/>
          <w:lang w:eastAsia="en-US"/>
        </w:rPr>
        <w:t>En</w:t>
      </w:r>
      <w:r>
        <w:rPr>
          <w:rFonts w:eastAsia="Calibri" w:cs="Arial"/>
          <w:sz w:val="18"/>
          <w:szCs w:val="18"/>
          <w:lang w:eastAsia="en-US"/>
        </w:rPr>
        <w:t xml:space="preserve"> </w:t>
      </w:r>
      <w:r w:rsidRPr="00E843B3">
        <w:rPr>
          <w:rFonts w:eastAsia="Calibri" w:cs="Arial"/>
          <w:sz w:val="18"/>
          <w:szCs w:val="18"/>
          <w:lang w:eastAsia="en-US"/>
        </w:rPr>
        <w:t>materia de servicios generales deberán observar lo siguiente</w:t>
      </w:r>
      <w:r w:rsidR="007B6CFC" w:rsidRPr="0004140A">
        <w:rPr>
          <w:rFonts w:eastAsia="Calibri" w:cs="Arial"/>
          <w:sz w:val="18"/>
          <w:szCs w:val="18"/>
          <w:lang w:eastAsia="en-US"/>
        </w:rPr>
        <w:t>:</w:t>
      </w:r>
    </w:p>
    <w:p w:rsidR="00543C15" w:rsidRPr="00543C15" w:rsidRDefault="00543C15" w:rsidP="00C51E37">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 xml:space="preserve">Comunicación.- Para disminuir el gasto de telefonía, la Oficialía Mayor, en coordinación con la </w:t>
      </w:r>
      <w:r w:rsidR="00C51E37" w:rsidRPr="00C51E37">
        <w:rPr>
          <w:rFonts w:eastAsia="Calibri" w:cs="Arial"/>
          <w:sz w:val="18"/>
          <w:szCs w:val="18"/>
          <w:lang w:eastAsia="en-US"/>
        </w:rPr>
        <w:t xml:space="preserve">Secretaría de Comunicaciones y Transportes </w:t>
      </w:r>
      <w:r w:rsidR="00A33BE0">
        <w:rPr>
          <w:rFonts w:eastAsia="Calibri" w:cs="Arial"/>
          <w:sz w:val="18"/>
          <w:szCs w:val="18"/>
          <w:lang w:eastAsia="en-US"/>
        </w:rPr>
        <w:t>(</w:t>
      </w:r>
      <w:r w:rsidRPr="00543C15">
        <w:rPr>
          <w:rFonts w:eastAsia="Calibri" w:cs="Arial"/>
          <w:sz w:val="18"/>
          <w:szCs w:val="18"/>
          <w:lang w:eastAsia="en-US"/>
        </w:rPr>
        <w:t>SECTE</w:t>
      </w:r>
      <w:r w:rsidR="00A33BE0">
        <w:rPr>
          <w:rFonts w:eastAsia="Calibri" w:cs="Arial"/>
          <w:sz w:val="18"/>
          <w:szCs w:val="18"/>
          <w:lang w:eastAsia="en-US"/>
        </w:rPr>
        <w:t>)</w:t>
      </w:r>
      <w:r w:rsidRPr="00543C15">
        <w:rPr>
          <w:rFonts w:eastAsia="Calibri" w:cs="Arial"/>
          <w:sz w:val="18"/>
          <w:szCs w:val="18"/>
          <w:lang w:eastAsia="en-US"/>
        </w:rPr>
        <w:t>,  realizarán acciones para:</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Promover la utilización  del correo electrónico.</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Verificar  el consumo en cada Dependencia y Entidad, contra el recibo correspondiente, dictar medidas para evitar excesos y determinar el procedimiento para el cobro de llamadas personales de larga distancia a los usuarios.</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Revisar las tarifas y cuotas establecidas por la empresa prestadora del servicio a fin de verificar que estén establecidos de acuerdo a los precios del mercado.</w:t>
      </w:r>
    </w:p>
    <w:p w:rsidR="00543C15" w:rsidRPr="00543C15" w:rsidRDefault="00543C15" w:rsidP="00036535">
      <w:pPr>
        <w:numPr>
          <w:ilvl w:val="0"/>
          <w:numId w:val="34"/>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El servicio de internet será contratado centralmente por SECTE, la cual verificará el servicio en escuelas y centros de salud sin conectividad.</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 xml:space="preserve">Servicio de agua potable y eléctrico.- Para racionalizar los consumos y aplicar medidas de protección del medio ambiente, se deberán efectuar revisiones periódicas a las instalaciones </w:t>
      </w:r>
      <w:proofErr w:type="spellStart"/>
      <w:r w:rsidRPr="00543C15">
        <w:rPr>
          <w:rFonts w:eastAsia="Calibri" w:cs="Arial"/>
          <w:sz w:val="18"/>
          <w:szCs w:val="18"/>
          <w:lang w:eastAsia="en-US"/>
        </w:rPr>
        <w:t>hidrosanitarias</w:t>
      </w:r>
      <w:proofErr w:type="spellEnd"/>
      <w:r w:rsidRPr="00543C15">
        <w:rPr>
          <w:rFonts w:eastAsia="Calibri" w:cs="Arial"/>
          <w:sz w:val="18"/>
          <w:szCs w:val="18"/>
          <w:lang w:eastAsia="en-US"/>
        </w:rPr>
        <w:t>, a fin de detectar fugas y proceder a su inmediata reparación, así como instalar llaves especiales en lavamanos y mingitorios para evitar que se mantengan abiertas.</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lastRenderedPageBreak/>
        <w:t xml:space="preserve">La </w:t>
      </w:r>
      <w:r w:rsidR="00A33BE0" w:rsidRPr="00A33BE0">
        <w:rPr>
          <w:rFonts w:eastAsia="Calibri" w:cs="Arial"/>
          <w:sz w:val="18"/>
          <w:szCs w:val="18"/>
          <w:lang w:eastAsia="en-US"/>
        </w:rPr>
        <w:t xml:space="preserve">Secretaría de Obras Públicas, Desarrollo Urbano y Vivienda </w:t>
      </w:r>
      <w:r w:rsidR="00A33BE0">
        <w:rPr>
          <w:rFonts w:eastAsia="Calibri" w:cs="Arial"/>
          <w:sz w:val="18"/>
          <w:szCs w:val="18"/>
          <w:lang w:eastAsia="en-US"/>
        </w:rPr>
        <w:t>(</w:t>
      </w:r>
      <w:r w:rsidRPr="00543C15">
        <w:rPr>
          <w:rFonts w:eastAsia="Calibri" w:cs="Arial"/>
          <w:sz w:val="18"/>
          <w:szCs w:val="18"/>
          <w:lang w:eastAsia="en-US"/>
        </w:rPr>
        <w:t>SECODUVI</w:t>
      </w:r>
      <w:r w:rsidR="00A33BE0">
        <w:rPr>
          <w:rFonts w:eastAsia="Calibri" w:cs="Arial"/>
          <w:sz w:val="18"/>
          <w:szCs w:val="18"/>
          <w:lang w:eastAsia="en-US"/>
        </w:rPr>
        <w:t>)</w:t>
      </w:r>
      <w:r w:rsidRPr="00543C15">
        <w:rPr>
          <w:rFonts w:eastAsia="Calibri" w:cs="Arial"/>
          <w:sz w:val="18"/>
          <w:szCs w:val="18"/>
          <w:lang w:eastAsia="en-US"/>
        </w:rPr>
        <w:t>,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Asimismo, para prevenir accidentes y controlar el consumo, queda prohibida, en las oficinas de las Dependencias y Entidades, la utilización de parrillas eléctricas, ornamentos y cualquier otro aparato ajeno a las labores de oficina.</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Para racionalizar el gasto destinado al mantenimiento de vehículos, se deberá cumplir de manera estricta con las normas administrativas para asignación, uso y control de los vehículos propiedad del Ejecutivo, emitidas por la Oficialía Mayor.</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 xml:space="preserve">Queda prohibida la asignación de vehículos para uso personal de mandos medios, en caso de requerirse el servicio, cada Dependencia o Entidad deberá establecer una reserva de vehículos para cubrir sus necesidades.        </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w:t>
      </w:r>
    </w:p>
    <w:p w:rsidR="00543C15" w:rsidRPr="00543C15" w:rsidRDefault="00543C15" w:rsidP="004B386D">
      <w:pPr>
        <w:autoSpaceDE w:val="0"/>
        <w:autoSpaceDN w:val="0"/>
        <w:adjustRightInd w:val="0"/>
        <w:spacing w:before="80" w:after="0" w:line="276" w:lineRule="auto"/>
        <w:ind w:left="720"/>
        <w:rPr>
          <w:rFonts w:eastAsia="Calibri" w:cs="Arial"/>
          <w:sz w:val="18"/>
          <w:szCs w:val="18"/>
          <w:lang w:eastAsia="en-US"/>
        </w:rPr>
      </w:pPr>
      <w:r w:rsidRPr="00543C15">
        <w:rPr>
          <w:rFonts w:eastAsia="Calibri" w:cs="Arial"/>
          <w:sz w:val="18"/>
          <w:szCs w:val="18"/>
          <w:lang w:eastAsia="en-US"/>
        </w:rPr>
        <w:t>Los gastos de difusión deberán sujetarse a las reglas y tiempos señalados en la Ley General de Instituciones y Procedimientos Electorales vigente.</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Pasajes y viáticos.- El otorgamiento de pasajes y viáticos para viajes nacionales e internacionales, se ajustará invariablemente a la normatividad y tabulador autorizado, bajo los criterios de racionalidad.</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Pasajes terrestres.- Los recibos que comprueben el pago de pasajes deberán ser acompañados por la bitácora de traslados correspondiente, los pagos por este concepto no pueden ser utilizados como compensación salarial.</w:t>
      </w:r>
    </w:p>
    <w:p w:rsidR="00543C15" w:rsidRPr="00543C15" w:rsidRDefault="00543C15" w:rsidP="00036535">
      <w:pPr>
        <w:numPr>
          <w:ilvl w:val="0"/>
          <w:numId w:val="33"/>
        </w:numPr>
        <w:autoSpaceDE w:val="0"/>
        <w:autoSpaceDN w:val="0"/>
        <w:adjustRightInd w:val="0"/>
        <w:spacing w:before="80" w:after="0" w:line="276" w:lineRule="auto"/>
        <w:rPr>
          <w:rFonts w:eastAsia="Calibri" w:cs="Arial"/>
          <w:sz w:val="18"/>
          <w:szCs w:val="18"/>
          <w:lang w:eastAsia="en-US"/>
        </w:rPr>
      </w:pPr>
      <w:r w:rsidRPr="00543C15">
        <w:rPr>
          <w:rFonts w:eastAsia="Calibri" w:cs="Arial"/>
          <w:sz w:val="18"/>
          <w:szCs w:val="18"/>
          <w:lang w:eastAsia="en-US"/>
        </w:rPr>
        <w:t>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w:t>
      </w:r>
    </w:p>
    <w:p w:rsidR="007B6CFC" w:rsidRPr="00543C15" w:rsidRDefault="007B6CFC" w:rsidP="007B6CFC">
      <w:pPr>
        <w:autoSpaceDE w:val="0"/>
        <w:autoSpaceDN w:val="0"/>
        <w:adjustRightInd w:val="0"/>
        <w:spacing w:before="80" w:after="0" w:line="276" w:lineRule="auto"/>
        <w:rPr>
          <w:rFonts w:cs="Arial"/>
          <w:sz w:val="18"/>
          <w:szCs w:val="18"/>
        </w:rPr>
      </w:pPr>
    </w:p>
    <w:p w:rsidR="007B6CFC" w:rsidRPr="0004140A" w:rsidRDefault="00885197" w:rsidP="007B6CFC">
      <w:pPr>
        <w:autoSpaceDE w:val="0"/>
        <w:autoSpaceDN w:val="0"/>
        <w:adjustRightInd w:val="0"/>
        <w:spacing w:before="80" w:after="0" w:line="276" w:lineRule="auto"/>
        <w:rPr>
          <w:rFonts w:cs="Arial"/>
          <w:sz w:val="18"/>
          <w:szCs w:val="18"/>
        </w:rPr>
      </w:pPr>
      <w:r w:rsidRPr="00E74B24">
        <w:rPr>
          <w:rFonts w:cs="Arial"/>
          <w:sz w:val="18"/>
          <w:szCs w:val="18"/>
        </w:rPr>
        <w:t>E</w:t>
      </w:r>
      <w:r w:rsidR="00E74B24" w:rsidRPr="00E74B24">
        <w:rPr>
          <w:rFonts w:cs="Arial"/>
          <w:sz w:val="18"/>
          <w:szCs w:val="18"/>
        </w:rPr>
        <w:t>n</w:t>
      </w:r>
      <w:r>
        <w:rPr>
          <w:rFonts w:cs="Arial"/>
          <w:sz w:val="18"/>
          <w:szCs w:val="18"/>
        </w:rPr>
        <w:t xml:space="preserve"> </w:t>
      </w:r>
      <w:r w:rsidR="00E74B24" w:rsidRPr="00E74B24">
        <w:rPr>
          <w:rFonts w:cs="Arial"/>
          <w:sz w:val="18"/>
          <w:szCs w:val="18"/>
        </w:rPr>
        <w:t>materia de bienes muebles e inmuebles deberán observar lo siguiente</w:t>
      </w:r>
      <w:r w:rsidR="007B6CFC" w:rsidRPr="0004140A">
        <w:rPr>
          <w:rFonts w:cs="Arial"/>
          <w:sz w:val="18"/>
          <w:szCs w:val="18"/>
        </w:rPr>
        <w:t>:</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Adquisiciones de mobiliario y equipo.- Deberán reducirse al mínimo indispensable.</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autorizados por la Oficialía Mayor y por su Órgano de Gobierno tratándose de las Entidades. No podrán comprarse vehículos de lujo para uso de funcionarios.               </w:t>
      </w:r>
    </w:p>
    <w:p w:rsidR="00885197" w:rsidRPr="00885197" w:rsidRDefault="00885197" w:rsidP="0012516F">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La operación deberá apegarse a las reglas generales de asignación, uso y mantenimiento de vehículos de la Oficialía Mayor.</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Inventarios.- Los bienes propiedad del Estado, deberán ser inventariados, asegurados, conciliados en la contabilidad y resguardados por los usuarios conforme al procedimiento establecido.</w:t>
      </w:r>
    </w:p>
    <w:p w:rsidR="00885197" w:rsidRPr="00885197" w:rsidRDefault="00885197" w:rsidP="0012516F">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Los bienes inmuebles patrimonio del Estado, se registrarán, controlarán, resguardarán y, en su caso, se regularizará la situación legal de los mismos.</w:t>
      </w:r>
    </w:p>
    <w:p w:rsidR="00885197" w:rsidRPr="00885197"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Almacenes.- Las Dependencias y Entidades establecerán un sistema permanente de depuración de almacenes, a fin de que los recursos existentes sean utilizados, se eviten compras innecesarias, y se enajenen los bienes que estén obsoletos o en desuso.</w:t>
      </w:r>
    </w:p>
    <w:p w:rsidR="00885197" w:rsidRPr="00885197" w:rsidRDefault="00885197" w:rsidP="004051C1">
      <w:p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lastRenderedPageBreak/>
        <w:t>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w:t>
      </w:r>
    </w:p>
    <w:p w:rsidR="007B6CFC" w:rsidRPr="0004140A" w:rsidRDefault="00885197" w:rsidP="00885197">
      <w:pPr>
        <w:numPr>
          <w:ilvl w:val="0"/>
          <w:numId w:val="35"/>
        </w:numPr>
        <w:autoSpaceDE w:val="0"/>
        <w:autoSpaceDN w:val="0"/>
        <w:adjustRightInd w:val="0"/>
        <w:spacing w:before="80" w:after="0" w:line="276" w:lineRule="auto"/>
        <w:ind w:left="709"/>
        <w:rPr>
          <w:rFonts w:eastAsia="Calibri" w:cs="Arial"/>
          <w:sz w:val="18"/>
          <w:szCs w:val="18"/>
          <w:lang w:eastAsia="en-US"/>
        </w:rPr>
      </w:pPr>
      <w:r w:rsidRPr="00885197">
        <w:rPr>
          <w:rFonts w:eastAsia="Calibri" w:cs="Arial"/>
          <w:sz w:val="18"/>
          <w:szCs w:val="18"/>
          <w:lang w:eastAsia="en-US"/>
        </w:rPr>
        <w:t>Inmuebles.- La adquisición y/o arrendamiento de inmuebles se realizará por conducto de la Oficialía Mayor y procederá exclusivamente cuando no se cuente con bienes propios aptos para cubrir las necesidades y previo análisis del costo – beneficio.</w:t>
      </w:r>
    </w:p>
    <w:p w:rsidR="004051C1" w:rsidRDefault="004051C1" w:rsidP="007B6CFC">
      <w:pPr>
        <w:autoSpaceDE w:val="0"/>
        <w:autoSpaceDN w:val="0"/>
        <w:adjustRightInd w:val="0"/>
        <w:spacing w:before="80" w:after="0" w:line="276" w:lineRule="auto"/>
        <w:rPr>
          <w:rFonts w:eastAsia="Calibri" w:cs="Arial"/>
          <w:sz w:val="18"/>
          <w:szCs w:val="18"/>
          <w:lang w:eastAsia="en-US"/>
        </w:rPr>
      </w:pPr>
    </w:p>
    <w:p w:rsidR="00691E49" w:rsidRPr="0004140A" w:rsidRDefault="00691E49" w:rsidP="00691E49">
      <w:pPr>
        <w:autoSpaceDE w:val="0"/>
        <w:autoSpaceDN w:val="0"/>
        <w:adjustRightInd w:val="0"/>
        <w:spacing w:before="80" w:after="0" w:line="276" w:lineRule="auto"/>
        <w:rPr>
          <w:rFonts w:cs="Arial"/>
          <w:sz w:val="18"/>
          <w:szCs w:val="18"/>
        </w:rPr>
      </w:pPr>
      <w:r w:rsidRPr="00E74B24">
        <w:rPr>
          <w:rFonts w:cs="Arial"/>
          <w:sz w:val="18"/>
          <w:szCs w:val="18"/>
        </w:rPr>
        <w:t>En</w:t>
      </w:r>
      <w:r>
        <w:rPr>
          <w:rFonts w:cs="Arial"/>
          <w:sz w:val="18"/>
          <w:szCs w:val="18"/>
        </w:rPr>
        <w:t xml:space="preserve"> </w:t>
      </w:r>
      <w:r w:rsidRPr="00E74B24">
        <w:rPr>
          <w:rFonts w:cs="Arial"/>
          <w:sz w:val="18"/>
          <w:szCs w:val="18"/>
        </w:rPr>
        <w:t xml:space="preserve">materia de </w:t>
      </w:r>
      <w:r>
        <w:rPr>
          <w:rFonts w:cs="Arial"/>
          <w:sz w:val="18"/>
          <w:szCs w:val="18"/>
        </w:rPr>
        <w:t>obra pública</w:t>
      </w:r>
      <w:r w:rsidRPr="00E74B24">
        <w:rPr>
          <w:rFonts w:cs="Arial"/>
          <w:sz w:val="18"/>
          <w:szCs w:val="18"/>
        </w:rPr>
        <w:t xml:space="preserve"> deberán observar lo siguiente</w:t>
      </w:r>
      <w:r w:rsidRPr="0004140A">
        <w:rPr>
          <w:rFonts w:cs="Arial"/>
          <w:sz w:val="18"/>
          <w:szCs w:val="18"/>
        </w:rPr>
        <w:t>:</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w:t>
      </w:r>
      <w:r w:rsidR="00AC339D">
        <w:rPr>
          <w:rFonts w:eastAsia="Calibri" w:cs="Arial"/>
          <w:sz w:val="18"/>
          <w:szCs w:val="18"/>
          <w:lang w:eastAsia="en-US"/>
        </w:rPr>
        <w:t>grama Anual de Obras autorizado</w:t>
      </w:r>
      <w:r w:rsidRPr="00691E49">
        <w:rPr>
          <w:rFonts w:eastAsia="Calibri" w:cs="Arial"/>
          <w:sz w:val="18"/>
          <w:szCs w:val="18"/>
          <w:lang w:eastAsia="en-US"/>
        </w:rPr>
        <w:t xml:space="preserve">.  </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En tratándose de infraestructura educativa, esta se realizará por conducto del Instituto Tlaxcalteca de la Infraestructura Física Educativa, conforme al Programa Anual de Obras respectivo.</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Las contrataciones deberán apegarse estrictamente a lo establecido en la Ley de la materia, contar con suficiencia presupuestaria, integrar en cada caso, los expedientes técnicos y del proceso de adjudicación correspondientes, transparentando la operación realizada.</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Las Entidades para la ejecución de obra pública o servicios relacionados con la misma, deberán convenir con la SECODUVI, la ejecución de la misma.</w:t>
      </w:r>
    </w:p>
    <w:p w:rsidR="00691E49" w:rsidRPr="00691E49"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 xml:space="preserve">La SECODUVI y el Instituto Tlaxcalteca de la Infraestructura Física Educativa, al llevar a cabo procesos licitatorios y de contratación, </w:t>
      </w:r>
      <w:proofErr w:type="gramStart"/>
      <w:r w:rsidRPr="00691E49">
        <w:rPr>
          <w:rFonts w:eastAsia="Calibri" w:cs="Arial"/>
          <w:sz w:val="18"/>
          <w:szCs w:val="18"/>
          <w:lang w:eastAsia="en-US"/>
        </w:rPr>
        <w:t>deberá</w:t>
      </w:r>
      <w:proofErr w:type="gramEnd"/>
      <w:r w:rsidRPr="00691E49">
        <w:rPr>
          <w:rFonts w:eastAsia="Calibri" w:cs="Arial"/>
          <w:sz w:val="18"/>
          <w:szCs w:val="18"/>
          <w:lang w:eastAsia="en-US"/>
        </w:rPr>
        <w:t xml:space="preserve">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AC339D" w:rsidRDefault="00691E49" w:rsidP="00691E49">
      <w:pPr>
        <w:autoSpaceDE w:val="0"/>
        <w:autoSpaceDN w:val="0"/>
        <w:adjustRightInd w:val="0"/>
        <w:spacing w:before="80" w:after="0" w:line="276" w:lineRule="auto"/>
        <w:rPr>
          <w:rFonts w:eastAsia="Calibri" w:cs="Arial"/>
          <w:sz w:val="18"/>
          <w:szCs w:val="18"/>
          <w:lang w:eastAsia="en-US"/>
        </w:rPr>
      </w:pPr>
      <w:r w:rsidRPr="00691E49">
        <w:rPr>
          <w:rFonts w:eastAsia="Calibri" w:cs="Arial"/>
          <w:sz w:val="18"/>
          <w:szCs w:val="18"/>
          <w:lang w:eastAsia="en-US"/>
        </w:rPr>
        <w:t xml:space="preserve">Los programas de obras del ejercicio correspondiente, deberán quedar presupuestariamente comprometidos y ejecutados, conforme a disponibilidad financiera y en su caso, a la calendarización establecida atendiendo a la fuente y </w:t>
      </w:r>
      <w:proofErr w:type="spellStart"/>
      <w:r w:rsidRPr="00691E49">
        <w:rPr>
          <w:rFonts w:eastAsia="Calibri" w:cs="Arial"/>
          <w:sz w:val="18"/>
          <w:szCs w:val="18"/>
          <w:lang w:eastAsia="en-US"/>
        </w:rPr>
        <w:t>subfuente</w:t>
      </w:r>
      <w:proofErr w:type="spellEnd"/>
      <w:r w:rsidRPr="00691E49">
        <w:rPr>
          <w:rFonts w:eastAsia="Calibri" w:cs="Arial"/>
          <w:sz w:val="18"/>
          <w:szCs w:val="18"/>
          <w:lang w:eastAsia="en-US"/>
        </w:rPr>
        <w:t xml:space="preserv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5700BC" w:rsidRDefault="005700BC" w:rsidP="00691E49">
      <w:pPr>
        <w:autoSpaceDE w:val="0"/>
        <w:autoSpaceDN w:val="0"/>
        <w:adjustRightInd w:val="0"/>
        <w:spacing w:before="80" w:after="0" w:line="276" w:lineRule="auto"/>
        <w:rPr>
          <w:rFonts w:eastAsia="Calibri" w:cs="Arial"/>
          <w:sz w:val="18"/>
          <w:szCs w:val="18"/>
          <w:lang w:eastAsia="en-US"/>
        </w:rPr>
      </w:pPr>
    </w:p>
    <w:p w:rsidR="007B6CFC" w:rsidRPr="0004140A" w:rsidRDefault="00F06DD0" w:rsidP="00691E49">
      <w:pPr>
        <w:autoSpaceDE w:val="0"/>
        <w:autoSpaceDN w:val="0"/>
        <w:adjustRightInd w:val="0"/>
        <w:spacing w:before="80" w:after="0" w:line="276" w:lineRule="auto"/>
        <w:rPr>
          <w:rFonts w:eastAsia="Calibri" w:cs="Arial"/>
          <w:sz w:val="18"/>
          <w:szCs w:val="18"/>
          <w:lang w:eastAsia="en-US"/>
        </w:rPr>
      </w:pPr>
      <w:r w:rsidRPr="00F06DD0">
        <w:rPr>
          <w:rFonts w:eastAsia="Calibri" w:cs="Arial"/>
          <w:sz w:val="18"/>
          <w:szCs w:val="18"/>
          <w:lang w:eastAsia="en-US"/>
        </w:rPr>
        <w:t xml:space="preserve">Las Dependencias y Entidades en cumplimiento a la legislación en materia de transparencia tanto federal como estatal deberán difundir en sus páginas o sitios electrónicos oficiales de manera enunciativa </w:t>
      </w:r>
      <w:r w:rsidR="00EE44D6" w:rsidRPr="00F06DD0">
        <w:rPr>
          <w:rFonts w:eastAsia="Calibri" w:cs="Arial"/>
          <w:sz w:val="18"/>
          <w:szCs w:val="18"/>
          <w:lang w:eastAsia="en-US"/>
        </w:rPr>
        <w:t>más</w:t>
      </w:r>
      <w:r w:rsidRPr="00F06DD0">
        <w:rPr>
          <w:rFonts w:eastAsia="Calibri" w:cs="Arial"/>
          <w:sz w:val="18"/>
          <w:szCs w:val="18"/>
          <w:lang w:eastAsia="en-US"/>
        </w:rPr>
        <w:t xml:space="preserve"> no limitativa, los siguientes informes</w:t>
      </w:r>
      <w:r w:rsidR="007B6CFC" w:rsidRPr="0004140A">
        <w:rPr>
          <w:rFonts w:eastAsia="Calibri" w:cs="Arial"/>
          <w:sz w:val="18"/>
          <w:szCs w:val="18"/>
          <w:lang w:eastAsia="en-US"/>
        </w:rPr>
        <w:t xml:space="preserve">: </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 xml:space="preserve">Clasificadores presupuestarios: rubro de ingresos, administrativo, funcional del gasto, programático, tipo de gasto, objeto de gasto, fuentes y </w:t>
      </w:r>
      <w:proofErr w:type="spellStart"/>
      <w:r w:rsidRPr="00F06DD0">
        <w:rPr>
          <w:rFonts w:eastAsia="Calibri" w:cs="Arial"/>
          <w:sz w:val="18"/>
          <w:szCs w:val="18"/>
          <w:lang w:eastAsia="en-US"/>
        </w:rPr>
        <w:t>subfuentes</w:t>
      </w:r>
      <w:proofErr w:type="spellEnd"/>
      <w:r w:rsidRPr="00F06DD0">
        <w:rPr>
          <w:rFonts w:eastAsia="Calibri" w:cs="Arial"/>
          <w:sz w:val="18"/>
          <w:szCs w:val="18"/>
          <w:lang w:eastAsia="en-US"/>
        </w:rPr>
        <w:t xml:space="preserve"> de financiamiento.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Tabulador de sueldos.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Analítico de plazas y remuneraciones.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Avance trimestral del ejercicio del presupuesto.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Cuenta Pública.</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 xml:space="preserve">Convenios. </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lastRenderedPageBreak/>
        <w:t>Reglas de operación de los programas sociales (federales y estatales).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Estudios, diagnósticos e investigaciones.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Manuales de organización y procedimientos.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Diagramas de operación.</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Padrones de beneficiarios de programas.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Informes de actividades.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Reportes oficiales del ejercicio del presupuesto de los fondos federales.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 de evaluaciones internas y externas.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Resultados de las evaluaciones con base en los formatos que emita el Consejo Nacional de Armonización Contable.</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Programa Operativo Anual.</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Matriz de Indicadores para Resultados.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Indicadores de resultados y gestión.</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Fichas Técnicas de Indicadores.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Proyectos de infraestructura aprobados en el Ramo General 23 Provisiones Salariales y Económicas, incluyendo el monto aprobado y pagado, su ubicación geográfica y los lineamientos aplicables a dichos recursos.</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Informe de evaluación de resultados Presupuesto basado en Resultados y Sistema de Evaluación del Desempeño.</w:t>
      </w:r>
    </w:p>
    <w:p w:rsidR="00F06DD0" w:rsidRPr="00F06DD0" w:rsidRDefault="00F06DD0" w:rsidP="00957874">
      <w:pPr>
        <w:numPr>
          <w:ilvl w:val="0"/>
          <w:numId w:val="24"/>
        </w:numPr>
        <w:autoSpaceDE w:val="0"/>
        <w:autoSpaceDN w:val="0"/>
        <w:adjustRightInd w:val="0"/>
        <w:spacing w:before="80" w:after="0" w:line="276" w:lineRule="auto"/>
        <w:ind w:left="709"/>
        <w:rPr>
          <w:rFonts w:eastAsia="Calibri" w:cs="Arial"/>
          <w:sz w:val="18"/>
          <w:szCs w:val="18"/>
          <w:lang w:eastAsia="en-US"/>
        </w:rPr>
      </w:pPr>
      <w:r w:rsidRPr="00F06DD0">
        <w:rPr>
          <w:rFonts w:eastAsia="Calibri" w:cs="Arial"/>
          <w:sz w:val="18"/>
          <w:szCs w:val="18"/>
          <w:lang w:eastAsia="en-US"/>
        </w:rPr>
        <w:t>Los demás informes y reportes que correspondan, en términos de lo previsto en las disposiciones legales federales y locales aplicables.</w:t>
      </w:r>
    </w:p>
    <w:p w:rsidR="007B6CFC" w:rsidRPr="0004140A" w:rsidRDefault="007B6CFC" w:rsidP="007B6CFC">
      <w:pPr>
        <w:autoSpaceDE w:val="0"/>
        <w:autoSpaceDN w:val="0"/>
        <w:adjustRightInd w:val="0"/>
        <w:spacing w:before="80" w:after="0" w:line="276" w:lineRule="auto"/>
        <w:ind w:left="1080"/>
        <w:rPr>
          <w:rFonts w:eastAsia="Calibri" w:cs="Arial"/>
          <w:sz w:val="18"/>
          <w:szCs w:val="18"/>
          <w:lang w:eastAsia="en-US"/>
        </w:rPr>
      </w:pPr>
    </w:p>
    <w:p w:rsidR="006663F9" w:rsidRDefault="006663F9" w:rsidP="007B6CFC">
      <w:pPr>
        <w:autoSpaceDE w:val="0"/>
        <w:autoSpaceDN w:val="0"/>
        <w:adjustRightInd w:val="0"/>
        <w:spacing w:before="80" w:after="0" w:line="276" w:lineRule="auto"/>
        <w:rPr>
          <w:rFonts w:eastAsia="Calibri" w:cs="Arial"/>
          <w:sz w:val="18"/>
          <w:szCs w:val="18"/>
          <w:lang w:eastAsia="en-US"/>
        </w:rPr>
      </w:pPr>
      <w:r w:rsidRPr="006663F9">
        <w:rPr>
          <w:rFonts w:eastAsia="Calibri" w:cs="Arial"/>
          <w:sz w:val="18"/>
          <w:szCs w:val="18"/>
          <w:lang w:eastAsia="en-US"/>
        </w:rPr>
        <w:t>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w:t>
      </w:r>
    </w:p>
    <w:p w:rsidR="006663F9" w:rsidRDefault="006663F9" w:rsidP="007B6CFC">
      <w:pPr>
        <w:autoSpaceDE w:val="0"/>
        <w:autoSpaceDN w:val="0"/>
        <w:adjustRightInd w:val="0"/>
        <w:spacing w:before="80" w:after="0" w:line="276" w:lineRule="auto"/>
        <w:rPr>
          <w:rFonts w:eastAsia="Calibri" w:cs="Arial"/>
          <w:sz w:val="18"/>
          <w:szCs w:val="18"/>
          <w:lang w:eastAsia="en-US"/>
        </w:rPr>
      </w:pPr>
      <w:r w:rsidRPr="006663F9">
        <w:rPr>
          <w:rFonts w:eastAsia="Calibri" w:cs="Arial"/>
          <w:sz w:val="18"/>
          <w:szCs w:val="18"/>
          <w:lang w:eastAsia="en-US"/>
        </w:rPr>
        <w:t>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w:t>
      </w:r>
    </w:p>
    <w:p w:rsidR="008D20E6" w:rsidRDefault="008D20E6" w:rsidP="007B6CFC">
      <w:pPr>
        <w:autoSpaceDE w:val="0"/>
        <w:autoSpaceDN w:val="0"/>
        <w:adjustRightInd w:val="0"/>
        <w:spacing w:before="80" w:after="0" w:line="276" w:lineRule="auto"/>
        <w:rPr>
          <w:rFonts w:eastAsia="Calibri" w:cs="Arial"/>
          <w:sz w:val="18"/>
          <w:szCs w:val="18"/>
          <w:lang w:eastAsia="en-US"/>
        </w:rPr>
      </w:pPr>
      <w:r w:rsidRPr="008D20E6">
        <w:rPr>
          <w:rFonts w:eastAsia="Calibri" w:cs="Arial"/>
          <w:sz w:val="18"/>
          <w:szCs w:val="18"/>
          <w:lang w:eastAsia="en-US"/>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así como por los Lineamientos y Reglas de Operación de cada programa y los propios Convenios.</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En lo relativo  a Evaluación, Vigilancia y Sanciones</w:t>
      </w:r>
    </w:p>
    <w:p w:rsidR="00013889" w:rsidRPr="00013889" w:rsidRDefault="00013889" w:rsidP="00013889">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w:t>
      </w:r>
      <w:r w:rsidRPr="00013889">
        <w:rPr>
          <w:rFonts w:eastAsia="Calibri" w:cs="Arial"/>
          <w:sz w:val="18"/>
          <w:szCs w:val="18"/>
          <w:lang w:eastAsia="en-US"/>
        </w:rPr>
        <w:lastRenderedPageBreak/>
        <w:t>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w:t>
      </w:r>
    </w:p>
    <w:p w:rsidR="007B6CFC" w:rsidRPr="0004140A" w:rsidRDefault="00013889" w:rsidP="00013889">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Las evaluaciones se apegarán a los principios de objetividad, independencia, imparcialidad y transparencia y serán coordinadas por la Secretaría y la Contraloría, en el ámbito de sus respectivas competencias.</w:t>
      </w:r>
    </w:p>
    <w:p w:rsidR="007B6CFC" w:rsidRPr="0004140A" w:rsidRDefault="00013889" w:rsidP="007B6CFC">
      <w:pPr>
        <w:autoSpaceDE w:val="0"/>
        <w:autoSpaceDN w:val="0"/>
        <w:adjustRightInd w:val="0"/>
        <w:spacing w:before="80" w:after="0" w:line="276" w:lineRule="auto"/>
        <w:rPr>
          <w:rFonts w:eastAsia="Calibri" w:cs="Arial"/>
          <w:sz w:val="18"/>
          <w:szCs w:val="18"/>
          <w:lang w:eastAsia="en-US"/>
        </w:rPr>
      </w:pPr>
      <w:r w:rsidRPr="00013889">
        <w:rPr>
          <w:rFonts w:eastAsia="Calibri" w:cs="Arial"/>
          <w:sz w:val="18"/>
          <w:szCs w:val="18"/>
          <w:lang w:eastAsia="en-US"/>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r>
        <w:rPr>
          <w:rFonts w:eastAsia="Calibri" w:cs="Arial"/>
          <w:sz w:val="18"/>
          <w:szCs w:val="18"/>
          <w:lang w:eastAsia="en-US"/>
        </w:rPr>
        <w:t>.</w:t>
      </w:r>
    </w:p>
    <w:p w:rsidR="00232E28" w:rsidRPr="00232E28" w:rsidRDefault="00232E28" w:rsidP="00232E28">
      <w:pPr>
        <w:autoSpaceDE w:val="0"/>
        <w:autoSpaceDN w:val="0"/>
        <w:adjustRightInd w:val="0"/>
        <w:spacing w:before="80" w:after="0" w:line="276" w:lineRule="auto"/>
        <w:rPr>
          <w:rFonts w:eastAsia="Calibri" w:cs="Arial"/>
          <w:sz w:val="18"/>
          <w:szCs w:val="18"/>
          <w:lang w:eastAsia="en-US"/>
        </w:rPr>
      </w:pPr>
      <w:r w:rsidRPr="00232E28">
        <w:rPr>
          <w:rFonts w:eastAsia="Calibri" w:cs="Arial"/>
          <w:sz w:val="18"/>
          <w:szCs w:val="18"/>
          <w:lang w:eastAsia="en-US"/>
        </w:rPr>
        <w:t>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w:t>
      </w:r>
    </w:p>
    <w:p w:rsidR="007B6CFC" w:rsidRPr="0004140A" w:rsidRDefault="00232E28" w:rsidP="00232E28">
      <w:pPr>
        <w:autoSpaceDE w:val="0"/>
        <w:autoSpaceDN w:val="0"/>
        <w:adjustRightInd w:val="0"/>
        <w:spacing w:before="80" w:after="0" w:line="276" w:lineRule="auto"/>
        <w:rPr>
          <w:rFonts w:eastAsia="Calibri" w:cs="Arial"/>
          <w:sz w:val="18"/>
          <w:szCs w:val="18"/>
          <w:lang w:eastAsia="en-US"/>
        </w:rPr>
      </w:pPr>
      <w:r w:rsidRPr="00232E28">
        <w:rPr>
          <w:rFonts w:eastAsia="Calibri" w:cs="Arial"/>
          <w:sz w:val="18"/>
          <w:szCs w:val="18"/>
          <w:lang w:eastAsia="en-US"/>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p w:rsidR="007B6CFC" w:rsidRDefault="007B6CFC"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30" w:rsidRDefault="00000C30">
      <w:r>
        <w:separator/>
      </w:r>
    </w:p>
  </w:endnote>
  <w:endnote w:type="continuationSeparator" w:id="0">
    <w:p w:rsidR="00000C30" w:rsidRDefault="0000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8" w:rsidRPr="00897E7A" w:rsidRDefault="008704D8"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A7284"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8" w:rsidRPr="00897E7A" w:rsidRDefault="008704D8"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C809A1"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8" w:rsidRPr="002809DB" w:rsidRDefault="008704D8" w:rsidP="00897E7A">
    <w:pPr>
      <w:pBdr>
        <w:bottom w:val="single" w:sz="18" w:space="1" w:color="006600"/>
      </w:pBdr>
      <w:spacing w:after="0" w:line="20" w:lineRule="exact"/>
      <w:jc w:val="center"/>
      <w:rPr>
        <w:rFonts w:ascii="Soberana Sans Light" w:hAnsi="Soberana Sans Light"/>
        <w:b/>
        <w:sz w:val="20"/>
        <w:szCs w:val="20"/>
      </w:rPr>
    </w:pPr>
  </w:p>
  <w:p w:rsidR="008704D8" w:rsidRPr="00897E7A" w:rsidRDefault="008704D8"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30" w:rsidRPr="00DB70B2" w:rsidRDefault="00000C30"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000C30" w:rsidRDefault="00000C30">
      <w:r>
        <w:continuationSeparator/>
      </w:r>
    </w:p>
  </w:footnote>
  <w:footnote w:type="continuationNotice" w:id="1">
    <w:p w:rsidR="00000C30" w:rsidRDefault="00000C3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8" w:rsidRPr="00897E7A" w:rsidRDefault="008704D8"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8752" behindDoc="0" locked="0" layoutInCell="1" allowOverlap="1">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D682B"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4656" behindDoc="0" locked="0" layoutInCell="1" allowOverlap="1">
              <wp:simplePos x="0" y="0"/>
              <wp:positionH relativeFrom="column">
                <wp:posOffset>2690495</wp:posOffset>
              </wp:positionH>
              <wp:positionV relativeFrom="paragraph">
                <wp:posOffset>-223520</wp:posOffset>
              </wp:positionV>
              <wp:extent cx="1940560" cy="490855"/>
              <wp:effectExtent l="0" t="0" r="254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4D8" w:rsidRPr="00793BAE" w:rsidRDefault="008704D8" w:rsidP="00897E7A">
                          <w:pPr>
                            <w:jc w:val="right"/>
                            <w:rPr>
                              <w:rFonts w:ascii="Soberana Titular" w:hAnsi="Soberana Titular" w:cs="Arial"/>
                              <w:color w:val="808080"/>
                              <w:sz w:val="20"/>
                              <w:szCs w:val="20"/>
                            </w:rPr>
                          </w:pPr>
                          <w:r w:rsidRPr="00793BAE">
                            <w:rPr>
                              <w:rFonts w:ascii="Soberana Titular" w:hAnsi="Soberana Titular" w:cs="Arial"/>
                              <w:color w:val="808080"/>
                              <w:sz w:val="20"/>
                              <w:szCs w:val="20"/>
                            </w:rPr>
                            <w:t xml:space="preserve">Cuenta </w:t>
                          </w:r>
                          <w:r>
                            <w:rPr>
                              <w:rFonts w:ascii="Soberana Titular" w:hAnsi="Soberana Titular" w:cs="Arial"/>
                              <w:color w:val="808080"/>
                              <w:sz w:val="20"/>
                              <w:szCs w:val="20"/>
                            </w:rPr>
                            <w:t xml:space="preserve">de la hacienda </w:t>
                          </w:r>
                          <w:r w:rsidRPr="00793BAE">
                            <w:rPr>
                              <w:rFonts w:ascii="Soberana Titular" w:hAnsi="Soberana Titular" w:cs="Arial"/>
                              <w:color w:val="808080"/>
                              <w:sz w:val="20"/>
                              <w:szCs w:val="20"/>
                            </w:rPr>
                            <w:t xml:space="preserve">Pública </w:t>
                          </w:r>
                          <w:r>
                            <w:rPr>
                              <w:rFonts w:ascii="Soberana Titular" w:hAnsi="Soberana Titular" w:cs="Arial"/>
                              <w:color w:val="808080"/>
                              <w:sz w:val="20"/>
                              <w:szCs w:val="20"/>
                            </w:rPr>
                            <w:t>Estata</w:t>
                          </w:r>
                          <w:r w:rsidRPr="00793BAE">
                            <w:rPr>
                              <w:rFonts w:ascii="Soberana Titular" w:hAnsi="Soberana Titular" w:cs="Arial"/>
                              <w:color w:val="808080"/>
                              <w:sz w:val="20"/>
                              <w:szCs w:val="20"/>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11.85pt;margin-top:-17.6pt;width:152.8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" stroked="f">
              <v:textbox>
                <w:txbxContent>
                  <w:p w:rsidR="008704D8" w:rsidRPr="00793BAE" w:rsidRDefault="008704D8" w:rsidP="00897E7A">
                    <w:pPr>
                      <w:jc w:val="right"/>
                      <w:rPr>
                        <w:rFonts w:ascii="Soberana Titular" w:hAnsi="Soberana Titular" w:cs="Arial"/>
                        <w:color w:val="808080"/>
                        <w:sz w:val="20"/>
                        <w:szCs w:val="20"/>
                      </w:rPr>
                    </w:pPr>
                    <w:r w:rsidRPr="00793BAE">
                      <w:rPr>
                        <w:rFonts w:ascii="Soberana Titular" w:hAnsi="Soberana Titular" w:cs="Arial"/>
                        <w:color w:val="808080"/>
                        <w:sz w:val="20"/>
                        <w:szCs w:val="20"/>
                      </w:rPr>
                      <w:t xml:space="preserve">Cuenta </w:t>
                    </w:r>
                    <w:r>
                      <w:rPr>
                        <w:rFonts w:ascii="Soberana Titular" w:hAnsi="Soberana Titular" w:cs="Arial"/>
                        <w:color w:val="808080"/>
                        <w:sz w:val="20"/>
                        <w:szCs w:val="20"/>
                      </w:rPr>
                      <w:t xml:space="preserve">de la hacienda </w:t>
                    </w:r>
                    <w:r w:rsidRPr="00793BAE">
                      <w:rPr>
                        <w:rFonts w:ascii="Soberana Titular" w:hAnsi="Soberana Titular" w:cs="Arial"/>
                        <w:color w:val="808080"/>
                        <w:sz w:val="20"/>
                        <w:szCs w:val="20"/>
                      </w:rPr>
                      <w:t xml:space="preserve">Pública </w:t>
                    </w:r>
                    <w:r>
                      <w:rPr>
                        <w:rFonts w:ascii="Soberana Titular" w:hAnsi="Soberana Titular" w:cs="Arial"/>
                        <w:color w:val="808080"/>
                        <w:sz w:val="20"/>
                        <w:szCs w:val="20"/>
                      </w:rPr>
                      <w:t>Estata</w:t>
                    </w:r>
                    <w:r w:rsidRPr="00793BAE">
                      <w:rPr>
                        <w:rFonts w:ascii="Soberana Titular" w:hAnsi="Soberana Titular" w:cs="Arial"/>
                        <w:color w:val="808080"/>
                        <w:sz w:val="20"/>
                        <w:szCs w:val="20"/>
                      </w:rPr>
                      <w:t>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4D8" w:rsidRPr="00793BAE" w:rsidRDefault="008704D8"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8704D8" w:rsidRPr="00793BAE" w:rsidRDefault="008704D8"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8</w:t>
                    </w:r>
                  </w:p>
                </w:txbxContent>
              </v:textbox>
            </v:shape>
          </w:pict>
        </mc:Fallback>
      </mc:AlternateContent>
    </w:r>
    <w:r>
      <w:rPr>
        <w:rFonts w:ascii="Times New Roman" w:hAnsi="Times New Roman"/>
        <w:noProof/>
        <w:lang w:eastAsia="es-MX"/>
      </w:rPr>
      <w:drawing>
        <wp:anchor distT="0" distB="0" distL="114300" distR="114300" simplePos="0" relativeHeight="251660800" behindDoc="1" locked="0" layoutInCell="1" allowOverlap="1">
          <wp:simplePos x="0" y="0"/>
          <wp:positionH relativeFrom="column">
            <wp:posOffset>64135</wp:posOffset>
          </wp:positionH>
          <wp:positionV relativeFrom="paragraph">
            <wp:posOffset>-195580</wp:posOffset>
          </wp:positionV>
          <wp:extent cx="8312150" cy="431800"/>
          <wp:effectExtent l="0" t="0" r="0" b="6350"/>
          <wp:wrapThrough wrapText="bothSides">
            <wp:wrapPolygon edited="0">
              <wp:start x="0" y="0"/>
              <wp:lineTo x="0" y="20965"/>
              <wp:lineTo x="21534" y="20965"/>
              <wp:lineTo x="21534" y="0"/>
              <wp:lineTo x="0" y="0"/>
            </wp:wrapPolygon>
          </wp:wrapThrough>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6187" b="87175"/>
                  <a:stretch>
                    <a:fillRect/>
                  </a:stretch>
                </pic:blipFill>
                <pic:spPr bwMode="auto">
                  <a:xfrm>
                    <a:off x="0" y="0"/>
                    <a:ext cx="8312150"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4D8" w:rsidRDefault="008704D8"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8704D8" w:rsidRPr="00897E7A" w:rsidRDefault="008704D8"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7E307"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2">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5">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8"/>
  </w:num>
  <w:num w:numId="5">
    <w:abstractNumId w:val="34"/>
  </w:num>
  <w:num w:numId="6">
    <w:abstractNumId w:val="11"/>
  </w:num>
  <w:num w:numId="7">
    <w:abstractNumId w:val="24"/>
  </w:num>
  <w:num w:numId="8">
    <w:abstractNumId w:val="32"/>
  </w:num>
  <w:num w:numId="9">
    <w:abstractNumId w:val="0"/>
  </w:num>
  <w:num w:numId="10">
    <w:abstractNumId w:val="29"/>
  </w:num>
  <w:num w:numId="11">
    <w:abstractNumId w:val="15"/>
  </w:num>
  <w:num w:numId="12">
    <w:abstractNumId w:val="4"/>
  </w:num>
  <w:num w:numId="13">
    <w:abstractNumId w:val="10"/>
  </w:num>
  <w:num w:numId="14">
    <w:abstractNumId w:val="19"/>
  </w:num>
  <w:num w:numId="15">
    <w:abstractNumId w:val="30"/>
  </w:num>
  <w:num w:numId="16">
    <w:abstractNumId w:val="16"/>
  </w:num>
  <w:num w:numId="17">
    <w:abstractNumId w:val="28"/>
  </w:num>
  <w:num w:numId="18">
    <w:abstractNumId w:val="3"/>
  </w:num>
  <w:num w:numId="19">
    <w:abstractNumId w:val="17"/>
  </w:num>
  <w:num w:numId="20">
    <w:abstractNumId w:val="1"/>
  </w:num>
  <w:num w:numId="21">
    <w:abstractNumId w:val="25"/>
  </w:num>
  <w:num w:numId="22">
    <w:abstractNumId w:val="31"/>
  </w:num>
  <w:num w:numId="23">
    <w:abstractNumId w:val="12"/>
  </w:num>
  <w:num w:numId="24">
    <w:abstractNumId w:val="23"/>
  </w:num>
  <w:num w:numId="25">
    <w:abstractNumId w:val="2"/>
  </w:num>
  <w:num w:numId="26">
    <w:abstractNumId w:val="14"/>
  </w:num>
  <w:num w:numId="27">
    <w:abstractNumId w:val="26"/>
  </w:num>
  <w:num w:numId="28">
    <w:abstractNumId w:val="9"/>
  </w:num>
  <w:num w:numId="29">
    <w:abstractNumId w:val="33"/>
  </w:num>
  <w:num w:numId="30">
    <w:abstractNumId w:val="6"/>
  </w:num>
  <w:num w:numId="31">
    <w:abstractNumId w:val="13"/>
  </w:num>
  <w:num w:numId="32">
    <w:abstractNumId w:val="21"/>
  </w:num>
  <w:num w:numId="33">
    <w:abstractNumId w:val="27"/>
  </w:num>
  <w:num w:numId="34">
    <w:abstractNumId w:val="22"/>
  </w:num>
  <w:num w:numId="3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30"/>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CCD"/>
    <w:rsid w:val="00020EC5"/>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406E"/>
    <w:rsid w:val="000B4155"/>
    <w:rsid w:val="000B4368"/>
    <w:rsid w:val="000B44AC"/>
    <w:rsid w:val="000B463A"/>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74A3"/>
    <w:rsid w:val="000C74B8"/>
    <w:rsid w:val="000C778D"/>
    <w:rsid w:val="000C797F"/>
    <w:rsid w:val="000C7B68"/>
    <w:rsid w:val="000D0180"/>
    <w:rsid w:val="000D076B"/>
    <w:rsid w:val="000D0D4D"/>
    <w:rsid w:val="000D2906"/>
    <w:rsid w:val="000D3825"/>
    <w:rsid w:val="000D3BC2"/>
    <w:rsid w:val="000D432A"/>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FFD"/>
    <w:rsid w:val="00193FFF"/>
    <w:rsid w:val="00194AE9"/>
    <w:rsid w:val="00194D72"/>
    <w:rsid w:val="00195AF7"/>
    <w:rsid w:val="00196CAE"/>
    <w:rsid w:val="001973E5"/>
    <w:rsid w:val="00197DE9"/>
    <w:rsid w:val="00197FAE"/>
    <w:rsid w:val="001A047A"/>
    <w:rsid w:val="001A0A18"/>
    <w:rsid w:val="001A0B60"/>
    <w:rsid w:val="001A0E81"/>
    <w:rsid w:val="001A1527"/>
    <w:rsid w:val="001A1870"/>
    <w:rsid w:val="001A2457"/>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E59"/>
    <w:rsid w:val="001E7933"/>
    <w:rsid w:val="001E7A22"/>
    <w:rsid w:val="001F01DC"/>
    <w:rsid w:val="001F0A01"/>
    <w:rsid w:val="001F0B5A"/>
    <w:rsid w:val="001F0C8D"/>
    <w:rsid w:val="001F15EB"/>
    <w:rsid w:val="001F1D04"/>
    <w:rsid w:val="001F2AB4"/>
    <w:rsid w:val="001F2D99"/>
    <w:rsid w:val="001F3052"/>
    <w:rsid w:val="001F3170"/>
    <w:rsid w:val="001F3971"/>
    <w:rsid w:val="001F39E1"/>
    <w:rsid w:val="001F3D44"/>
    <w:rsid w:val="001F3D51"/>
    <w:rsid w:val="001F41DC"/>
    <w:rsid w:val="001F45E6"/>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E83"/>
    <w:rsid w:val="002B68FA"/>
    <w:rsid w:val="002B6B04"/>
    <w:rsid w:val="002B74BC"/>
    <w:rsid w:val="002B7A61"/>
    <w:rsid w:val="002B7A9A"/>
    <w:rsid w:val="002B7AFC"/>
    <w:rsid w:val="002C0673"/>
    <w:rsid w:val="002C08D0"/>
    <w:rsid w:val="002C0951"/>
    <w:rsid w:val="002C21F2"/>
    <w:rsid w:val="002C22F9"/>
    <w:rsid w:val="002C25AF"/>
    <w:rsid w:val="002C3187"/>
    <w:rsid w:val="002C3C98"/>
    <w:rsid w:val="002C41D7"/>
    <w:rsid w:val="002C42B0"/>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BD"/>
    <w:rsid w:val="00300C49"/>
    <w:rsid w:val="003012C9"/>
    <w:rsid w:val="003013FC"/>
    <w:rsid w:val="00301778"/>
    <w:rsid w:val="00301953"/>
    <w:rsid w:val="00301A3B"/>
    <w:rsid w:val="00302229"/>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832"/>
    <w:rsid w:val="00333934"/>
    <w:rsid w:val="003339E3"/>
    <w:rsid w:val="00334283"/>
    <w:rsid w:val="0033450F"/>
    <w:rsid w:val="00334755"/>
    <w:rsid w:val="003349E0"/>
    <w:rsid w:val="00334ADF"/>
    <w:rsid w:val="00334E28"/>
    <w:rsid w:val="00335100"/>
    <w:rsid w:val="00335280"/>
    <w:rsid w:val="0033547B"/>
    <w:rsid w:val="00335A1B"/>
    <w:rsid w:val="00335EE4"/>
    <w:rsid w:val="00335F18"/>
    <w:rsid w:val="0033658D"/>
    <w:rsid w:val="00336590"/>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AC6"/>
    <w:rsid w:val="00371E02"/>
    <w:rsid w:val="00372E66"/>
    <w:rsid w:val="003730B5"/>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B21"/>
    <w:rsid w:val="003A3292"/>
    <w:rsid w:val="003A3559"/>
    <w:rsid w:val="003A37EB"/>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B88"/>
    <w:rsid w:val="00407B91"/>
    <w:rsid w:val="00407C77"/>
    <w:rsid w:val="0041029F"/>
    <w:rsid w:val="00410C0A"/>
    <w:rsid w:val="004112A9"/>
    <w:rsid w:val="00411C0C"/>
    <w:rsid w:val="0041204C"/>
    <w:rsid w:val="00412104"/>
    <w:rsid w:val="0041234F"/>
    <w:rsid w:val="0041375C"/>
    <w:rsid w:val="004142A1"/>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BBA"/>
    <w:rsid w:val="00426EA3"/>
    <w:rsid w:val="004270E5"/>
    <w:rsid w:val="004276AE"/>
    <w:rsid w:val="004304DA"/>
    <w:rsid w:val="00430A17"/>
    <w:rsid w:val="00430B33"/>
    <w:rsid w:val="00430C36"/>
    <w:rsid w:val="00431040"/>
    <w:rsid w:val="00432BF7"/>
    <w:rsid w:val="00432D13"/>
    <w:rsid w:val="00432DF8"/>
    <w:rsid w:val="00434006"/>
    <w:rsid w:val="00434780"/>
    <w:rsid w:val="00434945"/>
    <w:rsid w:val="00434BA2"/>
    <w:rsid w:val="0043506E"/>
    <w:rsid w:val="004366DF"/>
    <w:rsid w:val="00436C7A"/>
    <w:rsid w:val="00437223"/>
    <w:rsid w:val="0043786E"/>
    <w:rsid w:val="00437D19"/>
    <w:rsid w:val="004400E0"/>
    <w:rsid w:val="00440B41"/>
    <w:rsid w:val="00440F90"/>
    <w:rsid w:val="00441276"/>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671"/>
    <w:rsid w:val="004516D1"/>
    <w:rsid w:val="00452533"/>
    <w:rsid w:val="00452598"/>
    <w:rsid w:val="004526AC"/>
    <w:rsid w:val="0045277D"/>
    <w:rsid w:val="00452C17"/>
    <w:rsid w:val="00452DBB"/>
    <w:rsid w:val="0045375D"/>
    <w:rsid w:val="00453ABE"/>
    <w:rsid w:val="00453DC2"/>
    <w:rsid w:val="00454442"/>
    <w:rsid w:val="0045492B"/>
    <w:rsid w:val="00454993"/>
    <w:rsid w:val="0045579F"/>
    <w:rsid w:val="00455E99"/>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FD3"/>
    <w:rsid w:val="00493885"/>
    <w:rsid w:val="00493905"/>
    <w:rsid w:val="0049458F"/>
    <w:rsid w:val="00494A95"/>
    <w:rsid w:val="00494EB1"/>
    <w:rsid w:val="00494ED7"/>
    <w:rsid w:val="00495133"/>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511"/>
    <w:rsid w:val="004B1688"/>
    <w:rsid w:val="004B1D47"/>
    <w:rsid w:val="004B1E6E"/>
    <w:rsid w:val="004B2832"/>
    <w:rsid w:val="004B3354"/>
    <w:rsid w:val="004B386D"/>
    <w:rsid w:val="004B3F2C"/>
    <w:rsid w:val="004B3F97"/>
    <w:rsid w:val="004B4A56"/>
    <w:rsid w:val="004B552D"/>
    <w:rsid w:val="004B5546"/>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77F7"/>
    <w:rsid w:val="004F7CC9"/>
    <w:rsid w:val="004F7E0D"/>
    <w:rsid w:val="004F7E4F"/>
    <w:rsid w:val="004F7F93"/>
    <w:rsid w:val="005018B7"/>
    <w:rsid w:val="00501C9F"/>
    <w:rsid w:val="00501F86"/>
    <w:rsid w:val="005028B3"/>
    <w:rsid w:val="0050408B"/>
    <w:rsid w:val="0050429B"/>
    <w:rsid w:val="00504362"/>
    <w:rsid w:val="005044CB"/>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E3D"/>
    <w:rsid w:val="00563D72"/>
    <w:rsid w:val="00563E1C"/>
    <w:rsid w:val="00564B8B"/>
    <w:rsid w:val="00564E83"/>
    <w:rsid w:val="00564EA8"/>
    <w:rsid w:val="00564FAB"/>
    <w:rsid w:val="00565490"/>
    <w:rsid w:val="0056591E"/>
    <w:rsid w:val="00565BEA"/>
    <w:rsid w:val="00565C4C"/>
    <w:rsid w:val="00565FC1"/>
    <w:rsid w:val="00566358"/>
    <w:rsid w:val="00566635"/>
    <w:rsid w:val="00566960"/>
    <w:rsid w:val="005672CF"/>
    <w:rsid w:val="005700BC"/>
    <w:rsid w:val="0057027B"/>
    <w:rsid w:val="00570BD7"/>
    <w:rsid w:val="00570FD9"/>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C06"/>
    <w:rsid w:val="00580674"/>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2505"/>
    <w:rsid w:val="005E2876"/>
    <w:rsid w:val="005E2FF6"/>
    <w:rsid w:val="005E3869"/>
    <w:rsid w:val="005E3EBE"/>
    <w:rsid w:val="005E406F"/>
    <w:rsid w:val="005E43E5"/>
    <w:rsid w:val="005E4B62"/>
    <w:rsid w:val="005E4C15"/>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B5"/>
    <w:rsid w:val="00615711"/>
    <w:rsid w:val="00616566"/>
    <w:rsid w:val="006166EE"/>
    <w:rsid w:val="006167BF"/>
    <w:rsid w:val="00616E0E"/>
    <w:rsid w:val="00617ED7"/>
    <w:rsid w:val="00620655"/>
    <w:rsid w:val="00620693"/>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CB"/>
    <w:rsid w:val="00695326"/>
    <w:rsid w:val="006959E1"/>
    <w:rsid w:val="00695E51"/>
    <w:rsid w:val="00696495"/>
    <w:rsid w:val="00696A0F"/>
    <w:rsid w:val="00696ED0"/>
    <w:rsid w:val="00696F87"/>
    <w:rsid w:val="006972A4"/>
    <w:rsid w:val="0069738D"/>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53EF"/>
    <w:rsid w:val="0071574A"/>
    <w:rsid w:val="00715C79"/>
    <w:rsid w:val="007160BF"/>
    <w:rsid w:val="0071680D"/>
    <w:rsid w:val="00716D2C"/>
    <w:rsid w:val="00716DB0"/>
    <w:rsid w:val="0071712E"/>
    <w:rsid w:val="0071767B"/>
    <w:rsid w:val="00717783"/>
    <w:rsid w:val="007200EB"/>
    <w:rsid w:val="0072029B"/>
    <w:rsid w:val="00720344"/>
    <w:rsid w:val="007205C7"/>
    <w:rsid w:val="007205E6"/>
    <w:rsid w:val="00720A69"/>
    <w:rsid w:val="00720E59"/>
    <w:rsid w:val="00720FC2"/>
    <w:rsid w:val="0072118B"/>
    <w:rsid w:val="007211D6"/>
    <w:rsid w:val="00722287"/>
    <w:rsid w:val="00722365"/>
    <w:rsid w:val="00722B8D"/>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11CC"/>
    <w:rsid w:val="007D18B2"/>
    <w:rsid w:val="007D19A5"/>
    <w:rsid w:val="007D27E3"/>
    <w:rsid w:val="007D3635"/>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5338"/>
    <w:rsid w:val="00895790"/>
    <w:rsid w:val="008957D3"/>
    <w:rsid w:val="00895963"/>
    <w:rsid w:val="0089597D"/>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815"/>
    <w:rsid w:val="0093131C"/>
    <w:rsid w:val="00931E3C"/>
    <w:rsid w:val="00931E7B"/>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92C"/>
    <w:rsid w:val="00950BD1"/>
    <w:rsid w:val="00950CFA"/>
    <w:rsid w:val="00950E52"/>
    <w:rsid w:val="00950E9D"/>
    <w:rsid w:val="0095110B"/>
    <w:rsid w:val="00951223"/>
    <w:rsid w:val="0095202F"/>
    <w:rsid w:val="00952190"/>
    <w:rsid w:val="009532F3"/>
    <w:rsid w:val="00953562"/>
    <w:rsid w:val="009537B9"/>
    <w:rsid w:val="00953F6F"/>
    <w:rsid w:val="009540CC"/>
    <w:rsid w:val="00954C8B"/>
    <w:rsid w:val="0095561B"/>
    <w:rsid w:val="00955998"/>
    <w:rsid w:val="00955E73"/>
    <w:rsid w:val="0095617E"/>
    <w:rsid w:val="009564A6"/>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CE8"/>
    <w:rsid w:val="009C219B"/>
    <w:rsid w:val="009C2424"/>
    <w:rsid w:val="009C3264"/>
    <w:rsid w:val="009C413C"/>
    <w:rsid w:val="009C4C0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C9B"/>
    <w:rsid w:val="00A56708"/>
    <w:rsid w:val="00A572C9"/>
    <w:rsid w:val="00A57C29"/>
    <w:rsid w:val="00A57D05"/>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9B"/>
    <w:rsid w:val="00A82ADA"/>
    <w:rsid w:val="00A82E15"/>
    <w:rsid w:val="00A82E89"/>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8C6"/>
    <w:rsid w:val="00A97BD6"/>
    <w:rsid w:val="00AA01BC"/>
    <w:rsid w:val="00AA02C6"/>
    <w:rsid w:val="00AA04C5"/>
    <w:rsid w:val="00AA0835"/>
    <w:rsid w:val="00AA0C52"/>
    <w:rsid w:val="00AA1218"/>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8EE"/>
    <w:rsid w:val="00AE7C1F"/>
    <w:rsid w:val="00AF0935"/>
    <w:rsid w:val="00AF097C"/>
    <w:rsid w:val="00AF0EFC"/>
    <w:rsid w:val="00AF1DFA"/>
    <w:rsid w:val="00AF1FD1"/>
    <w:rsid w:val="00AF20F4"/>
    <w:rsid w:val="00AF2777"/>
    <w:rsid w:val="00AF29F5"/>
    <w:rsid w:val="00AF389D"/>
    <w:rsid w:val="00AF4DC6"/>
    <w:rsid w:val="00AF4DF2"/>
    <w:rsid w:val="00AF568C"/>
    <w:rsid w:val="00AF5830"/>
    <w:rsid w:val="00AF5B7A"/>
    <w:rsid w:val="00AF5F70"/>
    <w:rsid w:val="00AF5FFB"/>
    <w:rsid w:val="00AF606C"/>
    <w:rsid w:val="00AF607D"/>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679A"/>
    <w:rsid w:val="00B56B7A"/>
    <w:rsid w:val="00B577F9"/>
    <w:rsid w:val="00B6063D"/>
    <w:rsid w:val="00B60682"/>
    <w:rsid w:val="00B609A9"/>
    <w:rsid w:val="00B60BD0"/>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CB4"/>
    <w:rsid w:val="00BA5E7D"/>
    <w:rsid w:val="00BA6317"/>
    <w:rsid w:val="00BA6432"/>
    <w:rsid w:val="00BA66A8"/>
    <w:rsid w:val="00BA6705"/>
    <w:rsid w:val="00BA6E5E"/>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7F82"/>
    <w:rsid w:val="00BD0553"/>
    <w:rsid w:val="00BD079D"/>
    <w:rsid w:val="00BD08DE"/>
    <w:rsid w:val="00BD10D4"/>
    <w:rsid w:val="00BD11D8"/>
    <w:rsid w:val="00BD1756"/>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EB9"/>
    <w:rsid w:val="00BE4647"/>
    <w:rsid w:val="00BE48CB"/>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6848"/>
    <w:rsid w:val="00C171CB"/>
    <w:rsid w:val="00C1781B"/>
    <w:rsid w:val="00C20159"/>
    <w:rsid w:val="00C208FB"/>
    <w:rsid w:val="00C20C87"/>
    <w:rsid w:val="00C20CEE"/>
    <w:rsid w:val="00C211CD"/>
    <w:rsid w:val="00C219F3"/>
    <w:rsid w:val="00C21B5B"/>
    <w:rsid w:val="00C22465"/>
    <w:rsid w:val="00C225DE"/>
    <w:rsid w:val="00C241D9"/>
    <w:rsid w:val="00C24409"/>
    <w:rsid w:val="00C24A7B"/>
    <w:rsid w:val="00C24CF6"/>
    <w:rsid w:val="00C251F2"/>
    <w:rsid w:val="00C25647"/>
    <w:rsid w:val="00C26DD6"/>
    <w:rsid w:val="00C27588"/>
    <w:rsid w:val="00C2788D"/>
    <w:rsid w:val="00C27CA6"/>
    <w:rsid w:val="00C27D4C"/>
    <w:rsid w:val="00C27E9C"/>
    <w:rsid w:val="00C30B0E"/>
    <w:rsid w:val="00C31292"/>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1409"/>
    <w:rsid w:val="00D518B9"/>
    <w:rsid w:val="00D51F90"/>
    <w:rsid w:val="00D52357"/>
    <w:rsid w:val="00D5271F"/>
    <w:rsid w:val="00D530CD"/>
    <w:rsid w:val="00D53827"/>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2C"/>
    <w:rsid w:val="00D92645"/>
    <w:rsid w:val="00D931AF"/>
    <w:rsid w:val="00D93417"/>
    <w:rsid w:val="00D93AAC"/>
    <w:rsid w:val="00D93D72"/>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631B"/>
    <w:rsid w:val="00DE6688"/>
    <w:rsid w:val="00DE76F6"/>
    <w:rsid w:val="00DE7CD8"/>
    <w:rsid w:val="00DE7DC1"/>
    <w:rsid w:val="00DF0059"/>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43B"/>
    <w:rsid w:val="00DF71EE"/>
    <w:rsid w:val="00DF7576"/>
    <w:rsid w:val="00DF79C2"/>
    <w:rsid w:val="00DF7FBF"/>
    <w:rsid w:val="00E00538"/>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D47"/>
    <w:rsid w:val="00E31E02"/>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600F7"/>
    <w:rsid w:val="00E60959"/>
    <w:rsid w:val="00E60A07"/>
    <w:rsid w:val="00E61210"/>
    <w:rsid w:val="00E614E1"/>
    <w:rsid w:val="00E61642"/>
    <w:rsid w:val="00E624E7"/>
    <w:rsid w:val="00E62C40"/>
    <w:rsid w:val="00E631E0"/>
    <w:rsid w:val="00E63754"/>
    <w:rsid w:val="00E644B4"/>
    <w:rsid w:val="00E64FC7"/>
    <w:rsid w:val="00E65867"/>
    <w:rsid w:val="00E65A3D"/>
    <w:rsid w:val="00E65C41"/>
    <w:rsid w:val="00E65E7A"/>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25E"/>
    <w:rsid w:val="00F1091B"/>
    <w:rsid w:val="00F1142B"/>
    <w:rsid w:val="00F115E4"/>
    <w:rsid w:val="00F12540"/>
    <w:rsid w:val="00F133EE"/>
    <w:rsid w:val="00F13976"/>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7DF"/>
    <w:rsid w:val="00F467EC"/>
    <w:rsid w:val="00F46AAA"/>
    <w:rsid w:val="00F46D71"/>
    <w:rsid w:val="00F46DA6"/>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4025"/>
    <w:rsid w:val="00F6451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4C64"/>
    <w:rsid w:val="00FC4FCA"/>
    <w:rsid w:val="00FC5585"/>
    <w:rsid w:val="00FC5590"/>
    <w:rsid w:val="00FC5C4D"/>
    <w:rsid w:val="00FC5C76"/>
    <w:rsid w:val="00FC5FD5"/>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4F1B1CFC-52FA-41E0-9793-845EE25A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usuario\Mis%20documentos\Registros%20de%20Calidad%202018\Cierre%20Mensual\Junio\Armonizada%20V.2\Tipo%20de%20Gast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s-MX"/>
              <a:t>Evolución del Gasto Neto</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5.5555555555555558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2592592592592504E-2"/>
                </c:manualLayout>
              </c:layout>
              <c:tx>
                <c:rich>
                  <a:bodyPr/>
                  <a:lstStyle/>
                  <a:p>
                    <a:r>
                      <a:rPr lang="en-US"/>
                      <a:t>23.28%</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3332E-3"/>
                  <c:y val="8.7962962962962965E-2"/>
                </c:manualLayout>
              </c:layout>
              <c:tx>
                <c:rich>
                  <a:bodyPr/>
                  <a:lstStyle/>
                  <a:p>
                    <a:r>
                      <a:rPr lang="en-US"/>
                      <a:t>123.28%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(2)'!$B$19:$B$21</c:f>
              <c:strCache>
                <c:ptCount val="3"/>
                <c:pt idx="0">
                  <c:v>APROBADO</c:v>
                </c:pt>
                <c:pt idx="1">
                  <c:v>ADECUACIONES</c:v>
                </c:pt>
                <c:pt idx="2">
                  <c:v>MODIFICADO</c:v>
                </c:pt>
              </c:strCache>
            </c:strRef>
          </c:cat>
          <c:val>
            <c:numRef>
              <c:f>'Tipo de Gasto (2)'!$D$19:$D$21</c:f>
              <c:numCache>
                <c:formatCode>0.00%</c:formatCode>
                <c:ptCount val="3"/>
                <c:pt idx="0">
                  <c:v>1</c:v>
                </c:pt>
                <c:pt idx="1">
                  <c:v>0.23233264287240885</c:v>
                </c:pt>
                <c:pt idx="2">
                  <c:v>1.2323326428724088</c:v>
                </c:pt>
              </c:numCache>
            </c:numRef>
          </c:val>
        </c:ser>
        <c:dLbls>
          <c:showLegendKey val="0"/>
          <c:showVal val="0"/>
          <c:showCatName val="0"/>
          <c:showSerName val="0"/>
          <c:showPercent val="0"/>
          <c:showBubbleSize val="0"/>
        </c:dLbls>
        <c:gapWidth val="150"/>
        <c:shape val="box"/>
        <c:axId val="21179600"/>
        <c:axId val="21181232"/>
        <c:axId val="0"/>
      </c:bar3DChart>
      <c:catAx>
        <c:axId val="21179600"/>
        <c:scaling>
          <c:orientation val="minMax"/>
        </c:scaling>
        <c:delete val="0"/>
        <c:axPos val="b"/>
        <c:numFmt formatCode="General" sourceLinked="1"/>
        <c:majorTickMark val="none"/>
        <c:minorTickMark val="none"/>
        <c:tickLblPos val="nextTo"/>
        <c:txPr>
          <a:bodyPr/>
          <a:lstStyle/>
          <a:p>
            <a:pPr>
              <a:defRPr b="1"/>
            </a:pPr>
            <a:endParaRPr lang="es-MX"/>
          </a:p>
        </c:txPr>
        <c:crossAx val="21181232"/>
        <c:crosses val="autoZero"/>
        <c:auto val="1"/>
        <c:lblAlgn val="ctr"/>
        <c:lblOffset val="100"/>
        <c:noMultiLvlLbl val="0"/>
      </c:catAx>
      <c:valAx>
        <c:axId val="21181232"/>
        <c:scaling>
          <c:orientation val="minMax"/>
        </c:scaling>
        <c:delete val="1"/>
        <c:axPos val="l"/>
        <c:majorGridlines/>
        <c:numFmt formatCode="0.00%" sourceLinked="1"/>
        <c:majorTickMark val="none"/>
        <c:minorTickMark val="none"/>
        <c:tickLblPos val="nextTo"/>
        <c:crossAx val="211796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A99B75C2-BE35-4ABE-97A2-CE01C8CB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7510</Words>
  <Characters>41306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Windows User</cp:lastModifiedBy>
  <cp:revision>2</cp:revision>
  <cp:lastPrinted>2016-01-08T00:17:00Z</cp:lastPrinted>
  <dcterms:created xsi:type="dcterms:W3CDTF">2018-10-16T02:12:00Z</dcterms:created>
  <dcterms:modified xsi:type="dcterms:W3CDTF">2018-10-16T02:12:00Z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