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03426"/>
    <w:bookmarkEnd w:id="0"/>
    <w:p w:rsidR="007D6E9A" w:rsidRDefault="00A03B9F" w:rsidP="003D5DBF">
      <w:pPr>
        <w:jc w:val="center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75pt;height:425.25pt" o:ole="">
            <v:imagedata r:id="rId8" o:title=""/>
          </v:shape>
          <o:OLEObject Type="Embed" ProgID="Excel.Sheet.12" ShapeID="_x0000_i1025" DrawAspect="Content" ObjectID="_1640153337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A03B9F" w:rsidP="0044253C">
      <w:pPr>
        <w:jc w:val="center"/>
      </w:pPr>
      <w:r>
        <w:object w:dxaOrig="25153" w:dyaOrig="18931">
          <v:shape id="_x0000_i1026" type="#_x0000_t75" style="width:651.75pt;height:449.25pt" o:ole="">
            <v:imagedata r:id="rId10" o:title=""/>
          </v:shape>
          <o:OLEObject Type="Embed" ProgID="Excel.Sheet.12" ShapeID="_x0000_i1026" DrawAspect="Content" ObjectID="_1640153338" r:id="rId11"/>
        </w:object>
      </w:r>
    </w:p>
    <w:bookmarkStart w:id="2" w:name="_MON_1470806992"/>
    <w:bookmarkEnd w:id="2"/>
    <w:p w:rsidR="00372F40" w:rsidRDefault="00955EFC" w:rsidP="003E7FD0">
      <w:pPr>
        <w:jc w:val="center"/>
      </w:pPr>
      <w:r>
        <w:object w:dxaOrig="21993" w:dyaOrig="15482">
          <v:shape id="_x0000_i1030" type="#_x0000_t75" style="width:648.75pt;height:457.5pt" o:ole="">
            <v:imagedata r:id="rId12" o:title=""/>
          </v:shape>
          <o:OLEObject Type="Embed" ProgID="Excel.Sheet.12" ShapeID="_x0000_i1030" DrawAspect="Content" ObjectID="_1640153339" r:id="rId13"/>
        </w:object>
      </w:r>
    </w:p>
    <w:bookmarkStart w:id="3" w:name="_MON_1470807348"/>
    <w:bookmarkEnd w:id="3"/>
    <w:p w:rsidR="00372F40" w:rsidRDefault="00CF7F90" w:rsidP="008E3652">
      <w:pPr>
        <w:jc w:val="center"/>
      </w:pPr>
      <w:r>
        <w:object w:dxaOrig="17711" w:dyaOrig="12476">
          <v:shape id="_x0000_i1027" type="#_x0000_t75" style="width:645pt;height:455.25pt" o:ole="">
            <v:imagedata r:id="rId14" o:title=""/>
          </v:shape>
          <o:OLEObject Type="Embed" ProgID="Excel.Sheet.12" ShapeID="_x0000_i1027" DrawAspect="Content" ObjectID="_1640153340" r:id="rId15"/>
        </w:object>
      </w:r>
    </w:p>
    <w:bookmarkStart w:id="4" w:name="_MON_1470809138"/>
    <w:bookmarkEnd w:id="4"/>
    <w:p w:rsidR="00372F40" w:rsidRDefault="00A03B9F" w:rsidP="00522632">
      <w:pPr>
        <w:jc w:val="center"/>
      </w:pPr>
      <w:r>
        <w:object w:dxaOrig="17805" w:dyaOrig="12251">
          <v:shape id="_x0000_i1028" type="#_x0000_t75" style="width:632.25pt;height:6in" o:ole="">
            <v:imagedata r:id="rId16" o:title=""/>
          </v:shape>
          <o:OLEObject Type="Embed" ProgID="Excel.Sheet.12" ShapeID="_x0000_i1028" DrawAspect="Content" ObjectID="_1640153341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GoBack"/>
    <w:bookmarkStart w:id="6" w:name="_MON_1470814596"/>
    <w:bookmarkEnd w:id="6"/>
    <w:p w:rsidR="00B60B92" w:rsidRDefault="00955EFC" w:rsidP="00E32708">
      <w:pPr>
        <w:tabs>
          <w:tab w:val="left" w:pos="2430"/>
        </w:tabs>
        <w:jc w:val="center"/>
      </w:pPr>
      <w:r>
        <w:object w:dxaOrig="18229" w:dyaOrig="12212">
          <v:shape id="_x0000_i1031" type="#_x0000_t75" style="width:661.5pt;height:447.75pt" o:ole="">
            <v:imagedata r:id="rId18" o:title=""/>
          </v:shape>
          <o:OLEObject Type="Embed" ProgID="Excel.Sheet.12" ShapeID="_x0000_i1031" DrawAspect="Content" ObjectID="_1640153342" r:id="rId19"/>
        </w:object>
      </w:r>
      <w:bookmarkEnd w:id="5"/>
    </w:p>
    <w:bookmarkStart w:id="7" w:name="_MON_1470810366"/>
    <w:bookmarkEnd w:id="7"/>
    <w:p w:rsidR="00E32708" w:rsidRDefault="00A03B9F" w:rsidP="00E32708">
      <w:pPr>
        <w:tabs>
          <w:tab w:val="left" w:pos="2430"/>
        </w:tabs>
        <w:jc w:val="center"/>
      </w:pPr>
      <w:r>
        <w:object w:dxaOrig="25922" w:dyaOrig="16771">
          <v:shape id="_x0000_i1029" type="#_x0000_t75" style="width:690.75pt;height:447.75pt" o:ole="">
            <v:imagedata r:id="rId20" o:title=""/>
          </v:shape>
          <o:OLEObject Type="Embed" ProgID="Excel.Sheet.12" ShapeID="_x0000_i1029" DrawAspect="Content" ObjectID="_1640153343" r:id="rId21"/>
        </w:object>
      </w:r>
    </w:p>
    <w:p w:rsidR="00372F40" w:rsidRDefault="00372F40"/>
    <w:p w:rsidR="00372F40" w:rsidRPr="008B4E3B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B4E3B" w:rsidRDefault="00372F40">
      <w:pPr>
        <w:rPr>
          <w:rFonts w:ascii="Arial" w:hAnsi="Arial" w:cs="Arial"/>
          <w:sz w:val="18"/>
          <w:szCs w:val="18"/>
        </w:rPr>
      </w:pPr>
    </w:p>
    <w:p w:rsidR="00372F40" w:rsidRPr="008B4E3B" w:rsidRDefault="00CF028E" w:rsidP="007958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Pr="00540418" w:rsidRDefault="00F11C40" w:rsidP="0079582C">
      <w:pPr>
        <w:jc w:val="center"/>
        <w:rPr>
          <w:rFonts w:ascii="Soberana Sans Light" w:hAnsi="Soberana Sans Light"/>
        </w:rPr>
      </w:pP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79582C" w:rsidRDefault="0079582C" w:rsidP="00DA3A77">
      <w:pPr>
        <w:pStyle w:val="Prrafodelista"/>
        <w:rPr>
          <w:rFonts w:ascii="Soberana Sans Light" w:hAnsi="Soberana Sans Light"/>
        </w:rPr>
      </w:pPr>
    </w:p>
    <w:p w:rsidR="00F11C40" w:rsidRDefault="00F11C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</w:t>
      </w:r>
      <w:r w:rsidR="00BB3394">
        <w:rPr>
          <w:rFonts w:ascii="Arial" w:hAnsi="Arial" w:cs="Arial"/>
          <w:sz w:val="18"/>
          <w:szCs w:val="18"/>
        </w:rPr>
        <w:t>razonablemente correctos</w:t>
      </w:r>
      <w:r>
        <w:rPr>
          <w:rFonts w:ascii="Arial" w:hAnsi="Arial" w:cs="Arial"/>
          <w:sz w:val="18"/>
          <w:szCs w:val="18"/>
        </w:rPr>
        <w:t xml:space="preserve"> y responsabilidad del emisor</w:t>
      </w:r>
    </w:p>
    <w:p w:rsidR="00F11C40" w:rsidRDefault="00F11C40">
      <w:pPr>
        <w:rPr>
          <w:rFonts w:ascii="Arial" w:hAnsi="Arial" w:cs="Arial"/>
          <w:sz w:val="18"/>
          <w:szCs w:val="18"/>
        </w:rPr>
      </w:pP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_________________________________                                                            _____________________________________ </w:t>
      </w: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Necoechea                                                                     </w:t>
      </w:r>
      <w:r w:rsidR="00913302">
        <w:rPr>
          <w:rFonts w:ascii="Arial" w:hAnsi="Arial" w:cs="Arial"/>
          <w:sz w:val="18"/>
          <w:szCs w:val="18"/>
        </w:rPr>
        <w:t>C.P. Karla Paredes Flores</w:t>
      </w:r>
    </w:p>
    <w:p w:rsidR="00540418" w:rsidRDefault="00F11C40" w:rsidP="00F11C40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Director General                                                          </w:t>
      </w:r>
      <w:r w:rsidR="00200853">
        <w:rPr>
          <w:rFonts w:ascii="Arial" w:hAnsi="Arial" w:cs="Arial"/>
          <w:sz w:val="18"/>
          <w:szCs w:val="18"/>
        </w:rPr>
        <w:t xml:space="preserve">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 w:rsidR="0020085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del Depto. de Administración y Finanzas</w:t>
      </w:r>
      <w:r w:rsidR="00540418">
        <w:rPr>
          <w:rFonts w:ascii="Soberana Sans Light" w:hAnsi="Soberana Sans Light"/>
        </w:rPr>
        <w:br w:type="page"/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8B4E3B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540418" w:rsidRPr="008B4E3B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E47C32" w:rsidRPr="008B4E3B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E47C32" w:rsidRPr="008B4E3B" w:rsidRDefault="00E47C3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3650E2" w:rsidRPr="008B4E3B">
        <w:rPr>
          <w:lang w:val="es-MX"/>
        </w:rPr>
        <w:t xml:space="preserve">     No hay </w:t>
      </w:r>
      <w:r w:rsidR="00540418" w:rsidRPr="008B4E3B">
        <w:rPr>
          <w:lang w:val="es-MX"/>
        </w:rPr>
        <w:t>fondos con afectación específica</w:t>
      </w:r>
      <w:r w:rsidR="003650E2" w:rsidRPr="008B4E3B">
        <w:rPr>
          <w:lang w:val="es-MX"/>
        </w:rPr>
        <w:t xml:space="preserve"> ni inversiones financieras.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3650E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="003650E2" w:rsidRPr="008B4E3B">
        <w:rPr>
          <w:lang w:val="es-MX"/>
        </w:rPr>
        <w:t xml:space="preserve">     Los importes de derechos se refieren a: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1813BC" w:rsidRPr="008B4E3B">
        <w:rPr>
          <w:lang w:val="es-MX"/>
        </w:rPr>
        <w:t>Gastos</w:t>
      </w:r>
      <w:r w:rsidRPr="008B4E3B">
        <w:rPr>
          <w:lang w:val="es-MX"/>
        </w:rPr>
        <w:t xml:space="preserve"> a comprobar                </w:t>
      </w:r>
      <w:r w:rsidR="008B4E3B">
        <w:rPr>
          <w:lang w:val="es-MX"/>
        </w:rPr>
        <w:t xml:space="preserve">                                 </w:t>
      </w:r>
      <w:r w:rsidR="0087031E">
        <w:rPr>
          <w:lang w:val="es-MX"/>
        </w:rPr>
        <w:t xml:space="preserve">  </w:t>
      </w:r>
      <w:r w:rsidR="001C58D3">
        <w:rPr>
          <w:lang w:val="es-MX"/>
        </w:rPr>
        <w:t xml:space="preserve"> </w:t>
      </w:r>
      <w:r w:rsidR="0053044C">
        <w:rPr>
          <w:lang w:val="es-MX"/>
        </w:rPr>
        <w:t xml:space="preserve">  </w:t>
      </w:r>
      <w:r w:rsidR="00791A9D">
        <w:rPr>
          <w:lang w:val="es-MX"/>
        </w:rPr>
        <w:t xml:space="preserve">   </w:t>
      </w:r>
      <w:r w:rsidR="00E956EE">
        <w:rPr>
          <w:lang w:val="es-MX"/>
        </w:rPr>
        <w:t xml:space="preserve">   </w:t>
      </w:r>
      <w:r w:rsidR="00C5752A">
        <w:rPr>
          <w:lang w:val="es-MX"/>
        </w:rPr>
        <w:t>7</w:t>
      </w:r>
      <w:r w:rsidR="00E47EAD">
        <w:rPr>
          <w:lang w:val="es-MX"/>
        </w:rPr>
        <w:t>0</w:t>
      </w:r>
      <w:r w:rsidR="00C5752A">
        <w:rPr>
          <w:lang w:val="es-MX"/>
        </w:rPr>
        <w:t>8</w:t>
      </w:r>
      <w:r w:rsidR="009E7999">
        <w:rPr>
          <w:lang w:val="es-MX"/>
        </w:rPr>
        <w:t>,</w:t>
      </w:r>
      <w:r w:rsidR="00E47EAD">
        <w:rPr>
          <w:lang w:val="es-MX"/>
        </w:rPr>
        <w:t>589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="003650E2" w:rsidRPr="008B4E3B">
        <w:rPr>
          <w:lang w:val="es-MX"/>
        </w:rPr>
        <w:t xml:space="preserve">     Todas las cuentas por cobrar tienen un plazo menor a 90 días. 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 w:rsidR="0087031E"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="008554F2" w:rsidRPr="008B4E3B">
        <w:rPr>
          <w:b/>
          <w:lang w:val="es-MX"/>
        </w:rPr>
        <w:t xml:space="preserve">      </w:t>
      </w:r>
      <w:r w:rsidR="008554F2" w:rsidRPr="008B4E3B">
        <w:rPr>
          <w:lang w:val="es-MX"/>
        </w:rPr>
        <w:t>Se consideran los siguientes importes:</w:t>
      </w:r>
    </w:p>
    <w:p w:rsidR="00540418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 w:rsidR="008B4E3B">
        <w:rPr>
          <w:lang w:val="es-MX"/>
        </w:rPr>
        <w:t xml:space="preserve">dministración                 </w:t>
      </w:r>
      <w:r w:rsidR="0087031E">
        <w:rPr>
          <w:lang w:val="es-MX"/>
        </w:rPr>
        <w:t xml:space="preserve">  $ </w:t>
      </w:r>
      <w:r w:rsidR="00E956EE">
        <w:rPr>
          <w:lang w:val="es-MX"/>
        </w:rPr>
        <w:t>4</w:t>
      </w:r>
      <w:r w:rsidR="00B875EB">
        <w:rPr>
          <w:lang w:val="es-MX"/>
        </w:rPr>
        <w:t>6</w:t>
      </w:r>
      <w:r w:rsidR="0087031E">
        <w:rPr>
          <w:lang w:val="es-MX"/>
        </w:rPr>
        <w:t>,</w:t>
      </w:r>
      <w:r w:rsidR="00E47EAD">
        <w:rPr>
          <w:lang w:val="es-MX"/>
        </w:rPr>
        <w:t>3</w:t>
      </w:r>
      <w:r w:rsidR="00B875EB">
        <w:rPr>
          <w:lang w:val="es-MX"/>
        </w:rPr>
        <w:t>4</w:t>
      </w:r>
      <w:r w:rsidR="00E47EAD">
        <w:rPr>
          <w:lang w:val="es-MX"/>
        </w:rPr>
        <w:t>9</w:t>
      </w:r>
      <w:r w:rsidRPr="008B4E3B">
        <w:rPr>
          <w:lang w:val="es-MX"/>
        </w:rPr>
        <w:t>,</w:t>
      </w:r>
      <w:r w:rsidR="00511DB0">
        <w:rPr>
          <w:lang w:val="es-MX"/>
        </w:rPr>
        <w:t>9</w:t>
      </w:r>
      <w:r w:rsidR="00E47EAD">
        <w:rPr>
          <w:lang w:val="es-MX"/>
        </w:rPr>
        <w:t>35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 w:rsidR="00EE4DE9"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 w:rsidR="00511DB0">
        <w:rPr>
          <w:lang w:val="es-MX"/>
        </w:rPr>
        <w:t>2</w:t>
      </w:r>
      <w:r w:rsidRPr="008B4E3B">
        <w:rPr>
          <w:lang w:val="es-MX"/>
        </w:rPr>
        <w:t>,</w:t>
      </w:r>
      <w:r w:rsidR="00511DB0">
        <w:rPr>
          <w:lang w:val="es-MX"/>
        </w:rPr>
        <w:t>573</w:t>
      </w:r>
      <w:r w:rsidR="008B4E3B">
        <w:rPr>
          <w:lang w:val="es-MX"/>
        </w:rPr>
        <w:t>,</w:t>
      </w:r>
      <w:r w:rsidR="00511DB0">
        <w:rPr>
          <w:lang w:val="es-MX"/>
        </w:rPr>
        <w:t>845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 w:rsidR="00AC7F67">
        <w:rPr>
          <w:lang w:val="es-MX"/>
        </w:rPr>
        <w:t xml:space="preserve">rte y Objetos Valiosos       </w:t>
      </w:r>
      <w:r w:rsidR="00E47EAD">
        <w:rPr>
          <w:lang w:val="es-MX"/>
        </w:rPr>
        <w:t>3</w:t>
      </w:r>
      <w:r w:rsidR="00AC7F67">
        <w:rPr>
          <w:lang w:val="es-MX"/>
        </w:rPr>
        <w:t>7</w:t>
      </w:r>
      <w:r w:rsidR="00511DB0">
        <w:rPr>
          <w:lang w:val="es-MX"/>
        </w:rPr>
        <w:t>5</w:t>
      </w:r>
      <w:r w:rsidR="00AC7F67">
        <w:rPr>
          <w:lang w:val="es-MX"/>
        </w:rPr>
        <w:t>,</w:t>
      </w:r>
      <w:r w:rsidR="00511DB0">
        <w:rPr>
          <w:lang w:val="es-MX"/>
        </w:rPr>
        <w:t>372</w:t>
      </w:r>
      <w:r w:rsidRPr="008B4E3B">
        <w:rPr>
          <w:lang w:val="es-MX"/>
        </w:rPr>
        <w:t>,</w:t>
      </w:r>
      <w:r w:rsidR="00511DB0">
        <w:rPr>
          <w:lang w:val="es-MX"/>
        </w:rPr>
        <w:t>35</w:t>
      </w:r>
      <w:r w:rsidR="00AC7F67">
        <w:rPr>
          <w:lang w:val="es-MX"/>
        </w:rPr>
        <w:t>8</w:t>
      </w:r>
      <w:r w:rsidRPr="008B4E3B">
        <w:rPr>
          <w:lang w:val="es-MX"/>
        </w:rPr>
        <w:t xml:space="preserve">     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3650E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                                 </w:t>
      </w:r>
      <w:r w:rsidR="008B4E3B">
        <w:rPr>
          <w:lang w:val="es-MX"/>
        </w:rPr>
        <w:t xml:space="preserve"> </w:t>
      </w:r>
      <w:r w:rsidRPr="008B4E3B">
        <w:rPr>
          <w:lang w:val="es-MX"/>
        </w:rPr>
        <w:t xml:space="preserve">  274,127</w:t>
      </w:r>
      <w:r w:rsidR="003650E2" w:rsidRPr="008B4E3B">
        <w:rPr>
          <w:lang w:val="es-MX"/>
        </w:rPr>
        <w:t xml:space="preserve">          </w:t>
      </w:r>
    </w:p>
    <w:p w:rsidR="00540418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87031E"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 w:rsidR="006D534D"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</w:t>
      </w:r>
      <w:r w:rsidR="00981A5A" w:rsidRPr="008B4E3B">
        <w:rPr>
          <w:lang w:val="es-MX"/>
        </w:rPr>
        <w:t>armonizada</w:t>
      </w:r>
      <w:r w:rsidR="006D534D">
        <w:rPr>
          <w:lang w:val="es-MX"/>
        </w:rPr>
        <w:t>.</w:t>
      </w:r>
    </w:p>
    <w:p w:rsidR="00FF38A4" w:rsidRPr="008B4E3B" w:rsidRDefault="00981A5A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="00FF38A4" w:rsidRPr="008B4E3B">
        <w:rPr>
          <w:lang w:val="es-MX"/>
        </w:rPr>
        <w:t>9.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lastRenderedPageBreak/>
        <w:t>10.</w:t>
      </w:r>
      <w:r w:rsidR="008554F2" w:rsidRPr="008B4E3B">
        <w:rPr>
          <w:b/>
          <w:lang w:val="es-MX"/>
        </w:rPr>
        <w:t xml:space="preserve">   </w:t>
      </w:r>
      <w:r w:rsidR="008554F2" w:rsidRPr="008B4E3B">
        <w:rPr>
          <w:lang w:val="es-MX"/>
        </w:rPr>
        <w:t>No aplica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</w:t>
      </w:r>
      <w:r w:rsidR="008554F2" w:rsidRPr="008B4E3B">
        <w:rPr>
          <w:lang w:val="es-MX"/>
        </w:rPr>
        <w:t xml:space="preserve">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8554F2" w:rsidRPr="008B4E3B">
        <w:rPr>
          <w:lang w:val="es-MX"/>
        </w:rPr>
        <w:t xml:space="preserve">    El importe de las cuentas por pagar corresponde en su totalidad a un plazo menor a 90 días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B13906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  </w:t>
      </w:r>
      <w:r w:rsidR="00B13906" w:rsidRPr="008B4E3B">
        <w:rPr>
          <w:lang w:val="es-MX"/>
        </w:rPr>
        <w:t>Los Productos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 xml:space="preserve">Transferencias internas y asignaciones al sector público </w:t>
      </w:r>
    </w:p>
    <w:p w:rsidR="00B13906" w:rsidRPr="008B4E3B" w:rsidRDefault="00FF38A4" w:rsidP="008B4E3B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 xml:space="preserve">2.    </w:t>
      </w:r>
      <w:r w:rsidR="00B13906" w:rsidRPr="008B4E3B">
        <w:rPr>
          <w:lang w:val="es-MX"/>
        </w:rPr>
        <w:t>No hay Otros Ingresos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FF38A4" w:rsidP="008B4E3B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</w:t>
      </w:r>
      <w:r w:rsidR="00540418" w:rsidRPr="008B4E3B">
        <w:rPr>
          <w:lang w:val="es-MX"/>
        </w:rPr>
        <w:t>.</w:t>
      </w:r>
    </w:p>
    <w:p w:rsidR="00E47C32" w:rsidRPr="008B4E3B" w:rsidRDefault="00E47C32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Los</w:t>
      </w:r>
      <w:r w:rsidRPr="008B4E3B">
        <w:rPr>
          <w:lang w:val="es-MX"/>
        </w:rPr>
        <w:t xml:space="preserve"> monto</w:t>
      </w:r>
      <w:r w:rsidR="00BB110D" w:rsidRPr="008B4E3B">
        <w:rPr>
          <w:lang w:val="es-MX"/>
        </w:rPr>
        <w:t>s</w:t>
      </w:r>
      <w:r w:rsidRPr="008B4E3B">
        <w:rPr>
          <w:lang w:val="es-MX"/>
        </w:rPr>
        <w:t xml:space="preserve"> y procedencia de los recursos que modifican al patrimonio generado</w:t>
      </w:r>
      <w:r w:rsidR="001801CC">
        <w:rPr>
          <w:lang w:val="es-MX"/>
        </w:rPr>
        <w:t xml:space="preserve"> s</w:t>
      </w:r>
      <w:r w:rsidR="00BB110D" w:rsidRPr="008B4E3B">
        <w:rPr>
          <w:lang w:val="es-MX"/>
        </w:rPr>
        <w:t>on:</w:t>
      </w:r>
    </w:p>
    <w:p w:rsidR="00BB110D" w:rsidRPr="008B4E3B" w:rsidRDefault="001801CC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$ </w:t>
      </w:r>
      <w:r w:rsidR="00EE6083">
        <w:rPr>
          <w:lang w:val="es-MX"/>
        </w:rPr>
        <w:t>217</w:t>
      </w:r>
      <w:r w:rsidR="009E7999">
        <w:rPr>
          <w:lang w:val="es-MX"/>
        </w:rPr>
        <w:t>,</w:t>
      </w:r>
      <w:r w:rsidR="00EE6083">
        <w:rPr>
          <w:lang w:val="es-MX"/>
        </w:rPr>
        <w:t>611</w:t>
      </w:r>
      <w:r w:rsidR="00B55A31">
        <w:rPr>
          <w:lang w:val="es-MX"/>
        </w:rPr>
        <w:t xml:space="preserve"> </w:t>
      </w:r>
      <w:r w:rsidR="00BB110D" w:rsidRPr="008B4E3B">
        <w:rPr>
          <w:lang w:val="es-MX"/>
        </w:rPr>
        <w:t>se refiere a</w:t>
      </w:r>
      <w:r w:rsidR="000715FA">
        <w:rPr>
          <w:lang w:val="es-MX"/>
        </w:rPr>
        <w:t xml:space="preserve"> </w:t>
      </w:r>
      <w:r w:rsidR="00BB110D" w:rsidRPr="008B4E3B">
        <w:rPr>
          <w:lang w:val="es-MX"/>
        </w:rPr>
        <w:t>l</w:t>
      </w:r>
      <w:r w:rsidR="000715FA">
        <w:rPr>
          <w:lang w:val="es-MX"/>
        </w:rPr>
        <w:t>a</w:t>
      </w:r>
      <w:r w:rsidR="00BB110D" w:rsidRPr="008B4E3B">
        <w:rPr>
          <w:lang w:val="es-MX"/>
        </w:rPr>
        <w:t xml:space="preserve"> </w:t>
      </w:r>
      <w:r w:rsidR="000715FA">
        <w:rPr>
          <w:lang w:val="es-MX"/>
        </w:rPr>
        <w:t xml:space="preserve">aplicación del </w:t>
      </w:r>
      <w:r w:rsidR="00BB110D" w:rsidRPr="008B4E3B">
        <w:rPr>
          <w:lang w:val="es-MX"/>
        </w:rPr>
        <w:t>excedente del ejercicio 201</w:t>
      </w:r>
      <w:r w:rsidR="00B875EB">
        <w:rPr>
          <w:lang w:val="es-MX"/>
        </w:rPr>
        <w:t>8</w:t>
      </w:r>
      <w:r w:rsidR="00BB110D" w:rsidRPr="008B4E3B">
        <w:rPr>
          <w:lang w:val="es-MX"/>
        </w:rPr>
        <w:t xml:space="preserve"> de recursos de procedencia federal, </w:t>
      </w:r>
      <w:r w:rsidR="000715FA">
        <w:rPr>
          <w:lang w:val="es-MX"/>
        </w:rPr>
        <w:t>que son los</w:t>
      </w:r>
      <w:r w:rsidR="00BB110D" w:rsidRPr="008B4E3B">
        <w:rPr>
          <w:lang w:val="es-MX"/>
        </w:rPr>
        <w:t xml:space="preserve"> subsidios por convenio y tienen vigencia hasta la terminación de los proyectos autorizados</w:t>
      </w:r>
      <w:r w:rsidR="000715FA">
        <w:rPr>
          <w:lang w:val="es-MX"/>
        </w:rPr>
        <w:t xml:space="preserve"> y $ </w:t>
      </w:r>
      <w:r w:rsidR="00EE6083">
        <w:rPr>
          <w:lang w:val="es-MX"/>
        </w:rPr>
        <w:t>7</w:t>
      </w:r>
      <w:r w:rsidR="009F1D95">
        <w:rPr>
          <w:lang w:val="es-MX"/>
        </w:rPr>
        <w:t>,</w:t>
      </w:r>
      <w:r w:rsidR="00EE6083">
        <w:rPr>
          <w:lang w:val="es-MX"/>
        </w:rPr>
        <w:t>15</w:t>
      </w:r>
      <w:r w:rsidR="00C5752A">
        <w:rPr>
          <w:lang w:val="es-MX"/>
        </w:rPr>
        <w:t>2</w:t>
      </w:r>
      <w:r w:rsidR="00B875EB">
        <w:rPr>
          <w:lang w:val="es-MX"/>
        </w:rPr>
        <w:t>,</w:t>
      </w:r>
      <w:r w:rsidR="00EE6083">
        <w:rPr>
          <w:lang w:val="es-MX"/>
        </w:rPr>
        <w:t>788</w:t>
      </w:r>
      <w:r w:rsidR="009E7999">
        <w:rPr>
          <w:lang w:val="es-MX"/>
        </w:rPr>
        <w:t xml:space="preserve"> que se refiere al superávit del período.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F11C40" w:rsidRPr="008B4E3B" w:rsidRDefault="00F11C40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540418" w:rsidP="008B4E3B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8B4E3B" w:rsidRDefault="00540418" w:rsidP="008B4E3B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CC246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F85E4B">
              <w:rPr>
                <w:szCs w:val="18"/>
                <w:lang w:val="es-MX"/>
              </w:rPr>
              <w:t>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F85E4B">
              <w:rPr>
                <w:szCs w:val="18"/>
                <w:lang w:val="es-MX"/>
              </w:rPr>
              <w:t>8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E47EAD" w:rsidP="00E47EA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</w:t>
            </w:r>
            <w:r w:rsidR="00EE6083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55</w:t>
            </w:r>
            <w:r w:rsidR="00EE6083">
              <w:rPr>
                <w:szCs w:val="18"/>
                <w:lang w:val="es-MX"/>
              </w:rPr>
              <w:t>8</w:t>
            </w:r>
            <w:r w:rsidR="00B875E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600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1762F" w:rsidP="00900BE2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</w:t>
            </w:r>
            <w:r w:rsidR="009E7999">
              <w:rPr>
                <w:szCs w:val="18"/>
                <w:lang w:val="es-MX"/>
              </w:rPr>
              <w:t>,</w:t>
            </w:r>
            <w:r w:rsidR="00792775">
              <w:rPr>
                <w:szCs w:val="18"/>
                <w:lang w:val="es-MX"/>
              </w:rPr>
              <w:t>4</w:t>
            </w:r>
            <w:r w:rsidR="00900BE2">
              <w:rPr>
                <w:szCs w:val="18"/>
                <w:lang w:val="es-MX"/>
              </w:rPr>
              <w:t>86</w:t>
            </w:r>
            <w:r w:rsidR="009E7999">
              <w:rPr>
                <w:szCs w:val="18"/>
                <w:lang w:val="es-MX"/>
              </w:rPr>
              <w:t>,</w:t>
            </w:r>
            <w:r w:rsidR="00900BE2">
              <w:rPr>
                <w:szCs w:val="18"/>
                <w:lang w:val="es-MX"/>
              </w:rPr>
              <w:t>319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E47EAD" w:rsidP="00E47EA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</w:t>
            </w:r>
            <w:r w:rsidR="009F1D95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55</w:t>
            </w:r>
            <w:r w:rsidR="00EE6083">
              <w:rPr>
                <w:szCs w:val="18"/>
                <w:lang w:val="es-MX"/>
              </w:rPr>
              <w:t>8</w:t>
            </w:r>
            <w:r w:rsidR="009E7999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60</w:t>
            </w:r>
            <w:r w:rsidR="00EE6083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1762F" w:rsidP="00900BE2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</w:t>
            </w:r>
            <w:r w:rsidR="009E7999">
              <w:rPr>
                <w:szCs w:val="18"/>
                <w:lang w:val="es-MX"/>
              </w:rPr>
              <w:t>,</w:t>
            </w:r>
            <w:r w:rsidR="00315E6D">
              <w:rPr>
                <w:szCs w:val="18"/>
                <w:lang w:val="es-MX"/>
              </w:rPr>
              <w:t>4</w:t>
            </w:r>
            <w:r w:rsidR="00900BE2">
              <w:rPr>
                <w:szCs w:val="18"/>
                <w:lang w:val="es-MX"/>
              </w:rPr>
              <w:t>86</w:t>
            </w:r>
            <w:r w:rsidR="009E7999">
              <w:rPr>
                <w:szCs w:val="18"/>
                <w:lang w:val="es-MX"/>
              </w:rPr>
              <w:t>,</w:t>
            </w:r>
            <w:r w:rsidR="00900BE2">
              <w:rPr>
                <w:szCs w:val="18"/>
                <w:lang w:val="es-MX"/>
              </w:rPr>
              <w:t>3</w:t>
            </w:r>
            <w:r w:rsidR="00315E6D">
              <w:rPr>
                <w:szCs w:val="18"/>
                <w:lang w:val="es-MX"/>
              </w:rPr>
              <w:t>1</w:t>
            </w:r>
            <w:r w:rsidR="00900BE2">
              <w:rPr>
                <w:szCs w:val="18"/>
                <w:lang w:val="es-MX"/>
              </w:rPr>
              <w:t>9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6D534D">
        <w:rPr>
          <w:lang w:val="es-MX"/>
        </w:rPr>
        <w:t>No aplica</w:t>
      </w:r>
      <w:r w:rsidR="00D878CF"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8B4E3B" w:rsidRDefault="008A6E4D" w:rsidP="008B4E3B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F85E4B">
              <w:rPr>
                <w:szCs w:val="18"/>
                <w:lang w:val="es-MX"/>
              </w:rPr>
              <w:t>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F85E4B">
              <w:rPr>
                <w:szCs w:val="18"/>
                <w:lang w:val="es-MX"/>
              </w:rPr>
              <w:t>8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E47EAD" w:rsidP="007B457A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3,</w:t>
            </w:r>
            <w:r w:rsidR="007B457A">
              <w:rPr>
                <w:b/>
                <w:szCs w:val="18"/>
                <w:lang w:val="es-MX"/>
              </w:rPr>
              <w:t>5</w:t>
            </w:r>
            <w:r>
              <w:rPr>
                <w:b/>
                <w:szCs w:val="18"/>
                <w:lang w:val="es-MX"/>
              </w:rPr>
              <w:t>7</w:t>
            </w:r>
            <w:r w:rsidR="007B457A">
              <w:rPr>
                <w:b/>
                <w:szCs w:val="18"/>
                <w:lang w:val="es-MX"/>
              </w:rPr>
              <w:t>0</w:t>
            </w:r>
            <w:r w:rsidR="00B875EB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9</w:t>
            </w:r>
            <w:r w:rsidR="007B457A">
              <w:rPr>
                <w:b/>
                <w:szCs w:val="18"/>
                <w:lang w:val="es-MX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1762F" w:rsidP="0041762F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</w:t>
            </w:r>
            <w:r w:rsidR="009E7999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6</w:t>
            </w:r>
            <w:r w:rsidR="00315E6D">
              <w:rPr>
                <w:b/>
                <w:szCs w:val="18"/>
                <w:lang w:val="es-MX"/>
              </w:rPr>
              <w:t>2</w:t>
            </w:r>
            <w:r>
              <w:rPr>
                <w:b/>
                <w:szCs w:val="18"/>
                <w:lang w:val="es-MX"/>
              </w:rPr>
              <w:t>0</w:t>
            </w:r>
            <w:r w:rsidR="009E7999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30</w:t>
            </w:r>
            <w:r w:rsidR="00315E6D">
              <w:rPr>
                <w:b/>
                <w:szCs w:val="18"/>
                <w:lang w:val="es-MX"/>
              </w:rPr>
              <w:t>1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11C40" w:rsidRPr="008B4E3B" w:rsidRDefault="00F11C40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8B4E3B" w:rsidRDefault="00540418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0F63BD" w:rsidRDefault="000B718F" w:rsidP="007D1BA2">
      <w:pPr>
        <w:rPr>
          <w:b/>
          <w:smallCaps/>
          <w:szCs w:val="18"/>
        </w:rPr>
      </w:pPr>
      <w:r>
        <w:rPr>
          <w:noProof/>
          <w:lang w:eastAsia="es-MX"/>
        </w:rPr>
        <w:lastRenderedPageBreak/>
        <w:object w:dxaOrig="1440" w:dyaOrig="1440">
          <v:shape id="_x0000_s1046" type="#_x0000_t75" style="position:absolute;margin-left:-27.1pt;margin-top:8.05pt;width:363.85pt;height:235.95pt;z-index:251663360">
            <v:imagedata r:id="rId22" o:title=""/>
            <w10:wrap type="topAndBottom"/>
          </v:shape>
          <o:OLEObject Type="Embed" ProgID="Excel.Sheet.12" ShapeID="_x0000_s1046" DrawAspect="Content" ObjectID="_1640153344" r:id="rId23"/>
        </w:object>
      </w:r>
      <w:r>
        <w:rPr>
          <w:noProof/>
          <w:lang w:val="es-ES" w:eastAsia="es-ES"/>
        </w:rPr>
        <w:object w:dxaOrig="1440" w:dyaOrig="1440">
          <v:shape id="_x0000_s1030" type="#_x0000_t75" style="position:absolute;margin-left:339pt;margin-top:6.75pt;width:399pt;height:294.1pt;z-index:251660288">
            <v:imagedata r:id="rId24" o:title=""/>
            <w10:wrap type="topAndBottom"/>
          </v:shape>
          <o:OLEObject Type="Embed" ProgID="Excel.Sheet.12" ShapeID="_x0000_s1030" DrawAspect="Content" ObjectID="_1640153345" r:id="rId25"/>
        </w:object>
      </w:r>
    </w:p>
    <w:p w:rsidR="000F63BD" w:rsidRPr="008B4E3B" w:rsidRDefault="000F63BD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021C48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B849EE" w:rsidRPr="008B4E3B" w:rsidRDefault="00B849EE" w:rsidP="008B4E3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B849EE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lastRenderedPageBreak/>
        <w:tab/>
        <w:t>Avales y garantías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</w:t>
      </w:r>
      <w:r w:rsidR="00540418" w:rsidRPr="008B4E3B">
        <w:rPr>
          <w:szCs w:val="18"/>
          <w:lang w:val="es-MX"/>
        </w:rPr>
        <w:t>uentas de orden contables y cuentas de orden presupuestario: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2.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540418" w:rsidRPr="008B4E3B" w:rsidRDefault="00E071C6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="00540418" w:rsidRPr="008B4E3B">
        <w:rPr>
          <w:szCs w:val="18"/>
        </w:rPr>
        <w:t xml:space="preserve">económico- financieras bajo las cuales el </w:t>
      </w:r>
      <w:r w:rsidRPr="008B4E3B">
        <w:rPr>
          <w:szCs w:val="18"/>
        </w:rPr>
        <w:t xml:space="preserve">Instituto </w:t>
      </w:r>
      <w:r w:rsidR="00540418" w:rsidRPr="008B4E3B">
        <w:rPr>
          <w:szCs w:val="18"/>
        </w:rPr>
        <w:t>estuvo operando</w:t>
      </w:r>
      <w:r w:rsidRPr="008B4E3B">
        <w:rPr>
          <w:szCs w:val="18"/>
        </w:rPr>
        <w:t xml:space="preserve">, fueron de austeridad, intentando ser lo </w:t>
      </w:r>
      <w:r w:rsidR="00E61F3D" w:rsidRPr="008B4E3B">
        <w:rPr>
          <w:szCs w:val="18"/>
        </w:rPr>
        <w:t>más</w:t>
      </w:r>
      <w:r w:rsidRPr="008B4E3B">
        <w:rPr>
          <w:szCs w:val="18"/>
        </w:rPr>
        <w:t xml:space="preserve"> eficaces posibles para hacer rendir mayormente el presupuesto</w:t>
      </w:r>
      <w:r w:rsidR="00E61F3D" w:rsidRPr="008B4E3B">
        <w:rPr>
          <w:szCs w:val="18"/>
        </w:rPr>
        <w:t xml:space="preserve">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22EF3" w:rsidRPr="008B4E3B" w:rsidRDefault="00522EF3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 w:rsidR="00B36C3A">
        <w:t>Instituto: 12 de abril de 198</w:t>
      </w:r>
      <w:r w:rsidR="00E61F3D" w:rsidRPr="008B4E3B">
        <w:t>3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61F3D" w:rsidRPr="008B4E3B">
        <w:t>Las jefaturas de departamento que actualmente operan en sus inicios se denominaban coordinaciones y en el caso de Administración y Finanzas era denominada Unidad.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61F3D" w:rsidRPr="008B4E3B">
        <w:t>Objeto Social: Promover, Difundir, coordinar y desarrollar las manifestaciones de la cultura en general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b)</w:t>
      </w:r>
      <w:r w:rsidRPr="008B4E3B">
        <w:tab/>
        <w:t>Principal actividad</w:t>
      </w:r>
      <w:r w:rsidR="00E61F3D" w:rsidRPr="008B4E3B">
        <w:t>; cultura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Ejercicio fiscal</w:t>
      </w:r>
      <w:r w:rsidR="00E61F3D" w:rsidRPr="008B4E3B">
        <w:t xml:space="preserve"> 201</w:t>
      </w:r>
      <w:r w:rsidR="009E7999">
        <w:t>7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</w:t>
      </w:r>
      <w:r w:rsidR="00E61F3D" w:rsidRPr="008B4E3B">
        <w:t>: Es un Organismo público descentralizado, y es una persona moral con fines no lucrativos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 xml:space="preserve">Consideraciones fiscales del ente: </w:t>
      </w:r>
      <w:r w:rsidR="00E61F3D" w:rsidRPr="008B4E3B">
        <w:t xml:space="preserve">Es retenedor del Impuesto sobre la renta </w:t>
      </w:r>
      <w:r w:rsidR="00FB3916" w:rsidRPr="008B4E3B">
        <w:t>por honorarios asimilables a salarios y Honorarios por prestación de Servicios Profesionales Independientes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</w:t>
      </w:r>
      <w:r w:rsidR="00FB3916" w:rsidRPr="008B4E3B">
        <w:t>: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CONSEJO DIRECTIVO.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DIRECTOR GENERAL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540418" w:rsidRPr="008B4E3B" w:rsidRDefault="003A0303" w:rsidP="008B4E3B">
      <w:pPr>
        <w:pStyle w:val="INCISO"/>
        <w:spacing w:after="0" w:line="276" w:lineRule="auto"/>
      </w:pPr>
      <w:r w:rsidRPr="008B4E3B">
        <w:t xml:space="preserve">g)   </w:t>
      </w:r>
      <w:r w:rsidR="00E071C6" w:rsidRPr="008B4E3B">
        <w:t xml:space="preserve">No existen </w:t>
      </w:r>
      <w:r w:rsidR="00540418" w:rsidRPr="008B4E3B">
        <w:t>Fideicomisos, mandatos y análogos de los cuales es fideicomitente o fiduciario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540418" w:rsidRPr="008B4E3B" w:rsidRDefault="00FB3916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Se </w:t>
      </w:r>
      <w:r w:rsidR="00540418" w:rsidRPr="008B4E3B">
        <w:t>ha observado la normatividad emitida por el CONAC y las disposiciones legales aplicables.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</w:t>
      </w:r>
      <w:r w:rsidR="001F4D86" w:rsidRPr="008B4E3B">
        <w:t xml:space="preserve">nformación financiera es la emitida por el CONAC, </w:t>
      </w:r>
      <w:r w:rsidRPr="008B4E3B">
        <w:t>la base de medición utilizada para la elaboración de los estados financieros</w:t>
      </w:r>
      <w:r w:rsidR="001F4D86" w:rsidRPr="008B4E3B">
        <w:t xml:space="preserve"> es: costo histórico.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FB3916" w:rsidRPr="008B4E3B">
        <w:t xml:space="preserve">Se ha observado los </w:t>
      </w:r>
      <w:r w:rsidRPr="008B4E3B">
        <w:t>Postulados básicos.</w:t>
      </w:r>
    </w:p>
    <w:p w:rsidR="001F4D86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FB3916" w:rsidRPr="008B4E3B">
        <w:t xml:space="preserve">No se empleó ninguna </w:t>
      </w:r>
      <w:r w:rsidRPr="008B4E3B">
        <w:t xml:space="preserve">Normatividad supletoria. 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1F4D86" w:rsidRPr="008B4E3B">
        <w:t>Se aclara que el Instituto aún no aplica el nuevo sistema de armonización contable, solo se armonizaron los formatos oficiales.</w:t>
      </w:r>
    </w:p>
    <w:p w:rsidR="00540418" w:rsidRPr="008B4E3B" w:rsidRDefault="00540418" w:rsidP="008B4E3B">
      <w:pPr>
        <w:pStyle w:val="Texto"/>
        <w:spacing w:after="0" w:line="276" w:lineRule="auto"/>
        <w:ind w:left="1440" w:hanging="36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F4D86" w:rsidRPr="008B4E3B">
        <w:t xml:space="preserve">No se ha realizado la </w:t>
      </w:r>
      <w:r w:rsidRPr="008B4E3B">
        <w:t>Actualización</w:t>
      </w:r>
      <w:r w:rsidR="001F4D86" w:rsidRPr="008B4E3B">
        <w:t xml:space="preserve"> </w:t>
      </w:r>
      <w:r w:rsidRPr="008B4E3B">
        <w:t>del valor de los activos, pasivos y Hacienda Pública y/o patrimonio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1F4D86" w:rsidRPr="008B4E3B">
        <w:t>No se realizaron</w:t>
      </w:r>
      <w:r w:rsidRPr="008B4E3B">
        <w:t xml:space="preserve"> operaciones en el extranjero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1F4D86" w:rsidRPr="008B4E3B">
        <w:t>No hay</w:t>
      </w:r>
      <w:r w:rsidRPr="008B4E3B">
        <w:t xml:space="preserve"> inversión en acciones </w:t>
      </w:r>
      <w:r w:rsidR="003A0303" w:rsidRPr="008B4E3B">
        <w:t>en el Sector Paraestatal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1F4D86" w:rsidRPr="008B4E3B">
        <w:t xml:space="preserve">No hay un </w:t>
      </w:r>
      <w:r w:rsidRPr="008B4E3B">
        <w:t>Sistema de valuación de inventarios.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B87C01" w:rsidRPr="008B4E3B">
        <w:t>No aplica.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1F4D86" w:rsidRPr="008B4E3B">
        <w:t xml:space="preserve">No hay </w:t>
      </w:r>
      <w:r w:rsidRPr="008B4E3B">
        <w:t>Provisiones.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1F4D86" w:rsidRPr="008B4E3B">
        <w:t xml:space="preserve">No hay </w:t>
      </w:r>
      <w:r w:rsidRPr="008B4E3B">
        <w:t>Reservas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1F4D86" w:rsidRPr="008B4E3B">
        <w:t xml:space="preserve">No hubo </w:t>
      </w:r>
      <w:r w:rsidRPr="008B4E3B">
        <w:t>Cambios en políticas contables y corrección de errores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i)</w:t>
      </w:r>
      <w:r w:rsidRPr="008B4E3B">
        <w:tab/>
        <w:t>Reclasificaciones: Se deben revelar todos aquellos movimientos entre cuentas por efectos de cambios en los tipos de operaciones.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j)</w:t>
      </w:r>
      <w:r w:rsidRPr="008B4E3B">
        <w:tab/>
      </w:r>
      <w:r w:rsidR="001F4D86" w:rsidRPr="008B4E3B">
        <w:t xml:space="preserve">No se realizaron </w:t>
      </w:r>
      <w:r w:rsidR="00BB3394" w:rsidRPr="008B4E3B">
        <w:t>Depuraciones ni</w:t>
      </w:r>
      <w:r w:rsidRPr="008B4E3B">
        <w:t xml:space="preserve"> cancelaci</w:t>
      </w:r>
      <w:r w:rsidR="001F4D86" w:rsidRPr="008B4E3B">
        <w:t>o</w:t>
      </w:r>
      <w:r w:rsidRPr="008B4E3B">
        <w:t>n</w:t>
      </w:r>
      <w:r w:rsidR="001F4D86" w:rsidRPr="008B4E3B">
        <w:t>es</w:t>
      </w:r>
      <w:r w:rsidRPr="008B4E3B">
        <w:t xml:space="preserve"> de saldos.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existen </w:t>
      </w:r>
      <w:r w:rsidRPr="008B4E3B">
        <w:t>Activos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 xml:space="preserve">No hay </w:t>
      </w:r>
      <w:r w:rsidRPr="008B4E3B">
        <w:t>Pasivos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E53FD9" w:rsidRPr="008B4E3B">
        <w:t xml:space="preserve">No hay </w:t>
      </w:r>
      <w:r w:rsidRPr="008B4E3B">
        <w:t>Posición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Tipo de cambio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se ha realizado la </w:t>
      </w:r>
      <w:r w:rsidR="00BB3394" w:rsidRPr="008B4E3B">
        <w:t>estimación de</w:t>
      </w:r>
      <w:r w:rsidR="00E53FD9" w:rsidRPr="008B4E3B">
        <w:t xml:space="preserve"> la vida </w:t>
      </w:r>
      <w:r w:rsidRPr="008B4E3B">
        <w:t>útil</w:t>
      </w:r>
      <w:r w:rsidR="00E53FD9" w:rsidRPr="008B4E3B">
        <w:t xml:space="preserve"> del activo ni</w:t>
      </w:r>
      <w:r w:rsidRPr="008B4E3B">
        <w:t xml:space="preserve"> porcentajes de depreciación, deterioro o amortización utilizados en los diferentes tipos de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No se ha hecho c</w:t>
      </w:r>
      <w:r w:rsidRPr="008B4E3B">
        <w:t>ambios en el porcentaje de depreciación o valor residual de los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E53FD9" w:rsidRPr="008B4E3B">
        <w:t>No existen r</w:t>
      </w:r>
      <w:r w:rsidRPr="008B4E3B">
        <w:t>iegos por tipo de cambio o tipo de interés de las inversiones financieras.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E53FD9" w:rsidRPr="008B4E3B">
        <w:t xml:space="preserve">No existen </w:t>
      </w:r>
      <w:r w:rsidRPr="008B4E3B">
        <w:t>bienes construidos por la entidad.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E53FD9" w:rsidRPr="008B4E3B">
        <w:t>No existen:</w:t>
      </w:r>
      <w:r w:rsidRPr="008B4E3B">
        <w:t xml:space="preserve"> bienes en garantía, señalados en embargos, litigios, títulos de inversiones entregados en garantías, baja significativa del valor de inversiones financieras, etc.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E53FD9" w:rsidRPr="008B4E3B">
        <w:t>No hubo d</w:t>
      </w:r>
      <w:r w:rsidRPr="008B4E3B">
        <w:t>esmantelamiento de Activos, procedimientos, implicaciones, efectos contables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E53FD9" w:rsidRPr="008B4E3B">
        <w:t>La ad</w:t>
      </w:r>
      <w:r w:rsidRPr="008B4E3B">
        <w:t>ministración de activos</w:t>
      </w:r>
      <w:r w:rsidR="00E53FD9" w:rsidRPr="008B4E3B">
        <w:t xml:space="preserve">: se asignaron los bienes en las áreas en las cuales tienen la utilización </w:t>
      </w:r>
      <w:r w:rsidR="000B6442" w:rsidRPr="008B4E3B">
        <w:t>óptima</w:t>
      </w:r>
      <w:r w:rsidR="00E53FD9" w:rsidRPr="008B4E3B">
        <w:t xml:space="preserve"> para la cual fueron adquiridos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</w:t>
      </w:r>
      <w:r w:rsidR="00ED74A5" w:rsidRPr="008B4E3B">
        <w:rPr>
          <w:szCs w:val="18"/>
        </w:rPr>
        <w:t>V</w:t>
      </w:r>
      <w:r w:rsidR="00540418" w:rsidRPr="008B4E3B">
        <w:rPr>
          <w:szCs w:val="18"/>
        </w:rPr>
        <w:t>ariaciones en el activo: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El Instituto no tiene </w:t>
      </w:r>
      <w:r w:rsidRPr="008B4E3B">
        <w:t>Inversiones en valores.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>El Instituto no Tiene Fideicomisos, Mandatos y análogos.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A3625">
        <w:t>No s</w:t>
      </w:r>
      <w:r w:rsidR="00E53FD9" w:rsidRPr="008B4E3B">
        <w:t xml:space="preserve">e realizó la recaudación de ingresos </w:t>
      </w:r>
      <w:r w:rsidR="001A3625">
        <w:t>propios.</w:t>
      </w:r>
    </w:p>
    <w:p w:rsidR="00394508" w:rsidRDefault="00394508" w:rsidP="008B4E3B">
      <w:pPr>
        <w:pStyle w:val="Texto"/>
        <w:spacing w:after="0" w:line="276" w:lineRule="auto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</w:r>
      <w:r w:rsidR="00942B54" w:rsidRPr="008B4E3B">
        <w:t>El Instituto no tiene Deuda Pública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</w:t>
      </w:r>
      <w:r w:rsidR="00942B54" w:rsidRPr="008B4E3B">
        <w:rPr>
          <w:szCs w:val="18"/>
        </w:rPr>
        <w:t>No existen operaciones que ameriten una</w:t>
      </w:r>
      <w:r w:rsidR="00540418" w:rsidRPr="008B4E3B">
        <w:rPr>
          <w:szCs w:val="18"/>
        </w:rPr>
        <w:t xml:space="preserve"> calificación crediticia.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a)</w:t>
      </w:r>
      <w:r w:rsidRPr="008B4E3B">
        <w:tab/>
        <w:t>Principales Políticas de control interno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Director general y el jefe Administrativo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540418" w:rsidRPr="008B4E3B" w:rsidRDefault="00B87C01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942B54" w:rsidRPr="008B4E3B">
        <w:rPr>
          <w:szCs w:val="18"/>
        </w:rPr>
        <w:t>o aplica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574266" w:rsidRDefault="00942B54" w:rsidP="00315E6D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</w:t>
      </w:r>
      <w:r w:rsidR="00540418" w:rsidRPr="008B4E3B">
        <w:rPr>
          <w:szCs w:val="18"/>
        </w:rPr>
        <w:t>o existen partes relacionadas que pudieran ejercer influencia significativa sobre la toma de decisiones financieras y operativas.</w:t>
      </w: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Bajo protesta de decir verdad declaramos que los Estados Financieros y sus Notas son razonablemente correctos y responsabilidad del emisor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84571" w:rsidRDefault="008B4E3B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szCs w:val="18"/>
        </w:rPr>
        <w:t xml:space="preserve">        __________________________________                                                             ______________________________________</w:t>
      </w:r>
      <w:r w:rsidR="00884571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</w:p>
    <w:p w:rsidR="00884571" w:rsidRPr="00884571" w:rsidRDefault="00884571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Necoechea                                                                                            </w:t>
      </w:r>
      <w:r w:rsidR="00913302">
        <w:rPr>
          <w:rFonts w:ascii="Arial" w:hAnsi="Arial" w:cs="Arial"/>
          <w:sz w:val="18"/>
          <w:szCs w:val="18"/>
        </w:rPr>
        <w:t>C.P. Karla Paredes Flores</w:t>
      </w:r>
      <w:r w:rsidR="000841C4">
        <w:rPr>
          <w:rFonts w:ascii="Arial" w:hAnsi="Arial" w:cs="Arial"/>
          <w:sz w:val="18"/>
          <w:szCs w:val="18"/>
        </w:rPr>
        <w:t xml:space="preserve">  </w:t>
      </w:r>
      <w:r w:rsidR="000F19CC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 xml:space="preserve">           </w:t>
      </w:r>
      <w:r w:rsidR="00D11100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0F19CC">
        <w:rPr>
          <w:rFonts w:ascii="Arial" w:hAnsi="Arial" w:cs="Arial"/>
          <w:sz w:val="18"/>
          <w:szCs w:val="18"/>
        </w:rPr>
        <w:t xml:space="preserve">          </w:t>
      </w:r>
      <w:r w:rsidR="00913302">
        <w:rPr>
          <w:rFonts w:ascii="Arial" w:hAnsi="Arial" w:cs="Arial"/>
          <w:sz w:val="18"/>
          <w:szCs w:val="18"/>
        </w:rPr>
        <w:t xml:space="preserve">              </w:t>
      </w:r>
      <w:r w:rsidR="00043876">
        <w:rPr>
          <w:rFonts w:ascii="Arial" w:hAnsi="Arial" w:cs="Arial"/>
          <w:sz w:val="18"/>
          <w:szCs w:val="18"/>
        </w:rPr>
        <w:t xml:space="preserve">              </w:t>
      </w:r>
      <w:r w:rsidR="00BB3394">
        <w:rPr>
          <w:rFonts w:ascii="Arial" w:hAnsi="Arial" w:cs="Arial"/>
          <w:sz w:val="18"/>
          <w:szCs w:val="18"/>
        </w:rPr>
        <w:t xml:space="preserve">                                 .                         Director General                             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>
        <w:rPr>
          <w:rFonts w:ascii="Arial" w:hAnsi="Arial" w:cs="Arial"/>
          <w:sz w:val="18"/>
          <w:szCs w:val="18"/>
        </w:rPr>
        <w:t>a del Depto. de Administración y Finanzas</w:t>
      </w:r>
    </w:p>
    <w:p w:rsidR="0041762F" w:rsidRDefault="0041762F" w:rsidP="00B25061">
      <w:pPr>
        <w:spacing w:after="0"/>
        <w:jc w:val="center"/>
        <w:rPr>
          <w:szCs w:val="18"/>
        </w:rPr>
      </w:pPr>
    </w:p>
    <w:p w:rsidR="0041762F" w:rsidRDefault="0041762F" w:rsidP="00B25061">
      <w:pPr>
        <w:spacing w:after="0"/>
        <w:jc w:val="center"/>
        <w:rPr>
          <w:szCs w:val="18"/>
        </w:rPr>
      </w:pPr>
    </w:p>
    <w:p w:rsidR="004311BE" w:rsidRDefault="000B718F" w:rsidP="00B25061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lastRenderedPageBreak/>
        <w:object w:dxaOrig="1440" w:dyaOrig="1440">
          <v:shape id="_x0000_s1038" type="#_x0000_t75" style="position:absolute;left:0;text-align:left;margin-left:3.75pt;margin-top:5.85pt;width:838.1pt;height:69.55pt;z-index:251662336;mso-position-horizontal-relative:text;mso-position-vertical-relative:text">
            <v:imagedata r:id="rId26" o:title=""/>
            <w10:wrap type="topAndBottom"/>
          </v:shape>
          <o:OLEObject Type="Embed" ProgID="Excel.Sheet.12" ShapeID="_x0000_s1038" DrawAspect="Content" ObjectID="_1640153346" r:id="rId27"/>
        </w:object>
      </w:r>
      <w:r w:rsidR="00B25061">
        <w:rPr>
          <w:szCs w:val="18"/>
        </w:rPr>
        <w:t>AYUDAS Y SUBSIDIOS</w:t>
      </w:r>
    </w:p>
    <w:p w:rsidR="00B25061" w:rsidRDefault="00B25061" w:rsidP="00B25061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3F0A0C" w:rsidRPr="00B95197" w:rsidTr="00F64FC8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:rsidR="003F0A0C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:rsidR="003F0A0C" w:rsidRPr="006056F5" w:rsidRDefault="00A617E0" w:rsidP="00404A17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r w:rsidR="0041762F">
              <w:rPr>
                <w:sz w:val="14"/>
                <w:szCs w:val="14"/>
              </w:rPr>
              <w:t>Enero al 3</w:t>
            </w:r>
            <w:r w:rsidR="00C108E2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de </w:t>
            </w:r>
            <w:r w:rsidR="00404A17">
              <w:rPr>
                <w:sz w:val="14"/>
                <w:szCs w:val="14"/>
              </w:rPr>
              <w:t>Septiembre</w:t>
            </w:r>
            <w:r w:rsidR="0041762F">
              <w:rPr>
                <w:sz w:val="14"/>
                <w:szCs w:val="14"/>
              </w:rPr>
              <w:t xml:space="preserve"> de 2019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:rsidR="00B25061" w:rsidRDefault="00B25061" w:rsidP="00B25061">
      <w:pPr>
        <w:spacing w:after="0"/>
        <w:jc w:val="center"/>
        <w:rPr>
          <w:szCs w:val="18"/>
        </w:rPr>
      </w:pPr>
    </w:p>
    <w:sectPr w:rsidR="00B25061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18F" w:rsidRDefault="000B718F" w:rsidP="00EA5418">
      <w:pPr>
        <w:spacing w:after="0" w:line="240" w:lineRule="auto"/>
      </w:pPr>
      <w:r>
        <w:separator/>
      </w:r>
    </w:p>
  </w:endnote>
  <w:endnote w:type="continuationSeparator" w:id="0">
    <w:p w:rsidR="000B718F" w:rsidRDefault="000B71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1338B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0F19C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D606E" w:rsidRPr="0013011C">
          <w:rPr>
            <w:rFonts w:ascii="Soberana Sans Light" w:hAnsi="Soberana Sans Light"/>
          </w:rPr>
          <w:fldChar w:fldCharType="begin"/>
        </w:r>
        <w:r w:rsidR="000F19CC" w:rsidRPr="0013011C">
          <w:rPr>
            <w:rFonts w:ascii="Soberana Sans Light" w:hAnsi="Soberana Sans Light"/>
          </w:rPr>
          <w:instrText>PAGE   \* MERGEFORMAT</w:instrText>
        </w:r>
        <w:r w:rsidR="00ED606E" w:rsidRPr="0013011C">
          <w:rPr>
            <w:rFonts w:ascii="Soberana Sans Light" w:hAnsi="Soberana Sans Light"/>
          </w:rPr>
          <w:fldChar w:fldCharType="separate"/>
        </w:r>
        <w:r w:rsidR="00955EFC" w:rsidRPr="00955EFC">
          <w:rPr>
            <w:rFonts w:ascii="Soberana Sans Light" w:hAnsi="Soberana Sans Light"/>
            <w:noProof/>
            <w:lang w:val="es-ES"/>
          </w:rPr>
          <w:t>16</w:t>
        </w:r>
        <w:r w:rsidR="00ED606E" w:rsidRPr="0013011C">
          <w:rPr>
            <w:rFonts w:ascii="Soberana Sans Light" w:hAnsi="Soberana Sans Light"/>
          </w:rPr>
          <w:fldChar w:fldCharType="end"/>
        </w:r>
      </w:sdtContent>
    </w:sdt>
  </w:p>
  <w:p w:rsidR="000F19CC" w:rsidRDefault="000F19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8E3652" w:rsidRDefault="003F5A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0104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F19CC" w:rsidRPr="008E3652">
          <w:rPr>
            <w:rFonts w:ascii="Soberana Sans Light" w:hAnsi="Soberana Sans Light"/>
          </w:rPr>
          <w:t xml:space="preserve">Contable / </w:t>
        </w:r>
        <w:r w:rsidR="00ED606E" w:rsidRPr="008E3652">
          <w:rPr>
            <w:rFonts w:ascii="Soberana Sans Light" w:hAnsi="Soberana Sans Light"/>
          </w:rPr>
          <w:fldChar w:fldCharType="begin"/>
        </w:r>
        <w:r w:rsidR="000F19CC" w:rsidRPr="008E3652">
          <w:rPr>
            <w:rFonts w:ascii="Soberana Sans Light" w:hAnsi="Soberana Sans Light"/>
          </w:rPr>
          <w:instrText>PAGE   \* MERGEFORMAT</w:instrText>
        </w:r>
        <w:r w:rsidR="00ED606E" w:rsidRPr="008E3652">
          <w:rPr>
            <w:rFonts w:ascii="Soberana Sans Light" w:hAnsi="Soberana Sans Light"/>
          </w:rPr>
          <w:fldChar w:fldCharType="separate"/>
        </w:r>
        <w:r w:rsidR="00955EFC" w:rsidRPr="00955EFC">
          <w:rPr>
            <w:rFonts w:ascii="Soberana Sans Light" w:hAnsi="Soberana Sans Light"/>
            <w:noProof/>
            <w:lang w:val="es-ES"/>
          </w:rPr>
          <w:t>17</w:t>
        </w:r>
        <w:r w:rsidR="00ED606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18F" w:rsidRDefault="000B718F" w:rsidP="00EA5418">
      <w:pPr>
        <w:spacing w:after="0" w:line="240" w:lineRule="auto"/>
      </w:pPr>
      <w:r>
        <w:separator/>
      </w:r>
    </w:p>
  </w:footnote>
  <w:footnote w:type="continuationSeparator" w:id="0">
    <w:p w:rsidR="000B718F" w:rsidRDefault="000B71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Default="003F5AE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9CC" w:rsidRDefault="000F19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F19CC" w:rsidRDefault="000F19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F19CC" w:rsidRPr="00275FC6" w:rsidRDefault="000F19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00BE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F19CC" w:rsidRPr="00275FC6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F19CC" w:rsidRDefault="000F19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F19CC" w:rsidRDefault="000F19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F19CC" w:rsidRPr="00275FC6" w:rsidRDefault="000F19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00BE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F19CC" w:rsidRPr="00275FC6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D5DD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A660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0F19C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749E"/>
    <w:rsid w:val="000217BC"/>
    <w:rsid w:val="00021C48"/>
    <w:rsid w:val="00040146"/>
    <w:rsid w:val="00040466"/>
    <w:rsid w:val="00043876"/>
    <w:rsid w:val="00044D7B"/>
    <w:rsid w:val="00045A10"/>
    <w:rsid w:val="0006049D"/>
    <w:rsid w:val="00063DDF"/>
    <w:rsid w:val="00064BE6"/>
    <w:rsid w:val="000715FA"/>
    <w:rsid w:val="00075A35"/>
    <w:rsid w:val="00080FDF"/>
    <w:rsid w:val="000841C4"/>
    <w:rsid w:val="000A1582"/>
    <w:rsid w:val="000A772A"/>
    <w:rsid w:val="000B6442"/>
    <w:rsid w:val="000B718F"/>
    <w:rsid w:val="000C2530"/>
    <w:rsid w:val="000C5641"/>
    <w:rsid w:val="000D3762"/>
    <w:rsid w:val="000D5BCC"/>
    <w:rsid w:val="000D7815"/>
    <w:rsid w:val="000F19CC"/>
    <w:rsid w:val="000F5768"/>
    <w:rsid w:val="000F5FDF"/>
    <w:rsid w:val="000F63BD"/>
    <w:rsid w:val="00110848"/>
    <w:rsid w:val="00112684"/>
    <w:rsid w:val="0013011C"/>
    <w:rsid w:val="00140507"/>
    <w:rsid w:val="001550BA"/>
    <w:rsid w:val="00155F16"/>
    <w:rsid w:val="0015601E"/>
    <w:rsid w:val="00161C07"/>
    <w:rsid w:val="00164F11"/>
    <w:rsid w:val="00165BB4"/>
    <w:rsid w:val="00166DBC"/>
    <w:rsid w:val="00173BE8"/>
    <w:rsid w:val="001801CC"/>
    <w:rsid w:val="001813BC"/>
    <w:rsid w:val="00190A49"/>
    <w:rsid w:val="001A3625"/>
    <w:rsid w:val="001B0332"/>
    <w:rsid w:val="001B175B"/>
    <w:rsid w:val="001B1B72"/>
    <w:rsid w:val="001C0AE8"/>
    <w:rsid w:val="001C30F5"/>
    <w:rsid w:val="001C529F"/>
    <w:rsid w:val="001C58D3"/>
    <w:rsid w:val="001C6FD8"/>
    <w:rsid w:val="001D3E95"/>
    <w:rsid w:val="001D772E"/>
    <w:rsid w:val="001E3F13"/>
    <w:rsid w:val="001E7072"/>
    <w:rsid w:val="001F1268"/>
    <w:rsid w:val="001F4D86"/>
    <w:rsid w:val="00200750"/>
    <w:rsid w:val="00200853"/>
    <w:rsid w:val="00202386"/>
    <w:rsid w:val="00204C86"/>
    <w:rsid w:val="00221E1D"/>
    <w:rsid w:val="00232F1D"/>
    <w:rsid w:val="002354C9"/>
    <w:rsid w:val="00236BB6"/>
    <w:rsid w:val="00241298"/>
    <w:rsid w:val="00244175"/>
    <w:rsid w:val="00256AD5"/>
    <w:rsid w:val="002601FE"/>
    <w:rsid w:val="0026117E"/>
    <w:rsid w:val="00264426"/>
    <w:rsid w:val="00280478"/>
    <w:rsid w:val="00286533"/>
    <w:rsid w:val="00286CA0"/>
    <w:rsid w:val="00293C4E"/>
    <w:rsid w:val="00297720"/>
    <w:rsid w:val="002A2058"/>
    <w:rsid w:val="002A70B3"/>
    <w:rsid w:val="002B256D"/>
    <w:rsid w:val="002B6867"/>
    <w:rsid w:val="002C5160"/>
    <w:rsid w:val="002E213A"/>
    <w:rsid w:val="002F04D3"/>
    <w:rsid w:val="00315E6D"/>
    <w:rsid w:val="00330590"/>
    <w:rsid w:val="00331780"/>
    <w:rsid w:val="00336CE5"/>
    <w:rsid w:val="003424EE"/>
    <w:rsid w:val="00350D20"/>
    <w:rsid w:val="003546F4"/>
    <w:rsid w:val="00357B5C"/>
    <w:rsid w:val="00364302"/>
    <w:rsid w:val="003650E2"/>
    <w:rsid w:val="00372F40"/>
    <w:rsid w:val="00384034"/>
    <w:rsid w:val="00393D0D"/>
    <w:rsid w:val="00394508"/>
    <w:rsid w:val="0039561B"/>
    <w:rsid w:val="00396C2B"/>
    <w:rsid w:val="003A0303"/>
    <w:rsid w:val="003C3EB4"/>
    <w:rsid w:val="003C6C3F"/>
    <w:rsid w:val="003D0B9A"/>
    <w:rsid w:val="003D102E"/>
    <w:rsid w:val="003D5DBF"/>
    <w:rsid w:val="003E0C25"/>
    <w:rsid w:val="003E6DFA"/>
    <w:rsid w:val="003E7FD0"/>
    <w:rsid w:val="003F0A0C"/>
    <w:rsid w:val="003F0EA4"/>
    <w:rsid w:val="003F5AED"/>
    <w:rsid w:val="00400764"/>
    <w:rsid w:val="00404A17"/>
    <w:rsid w:val="00406F3A"/>
    <w:rsid w:val="00411AAB"/>
    <w:rsid w:val="0041762F"/>
    <w:rsid w:val="00420910"/>
    <w:rsid w:val="00421F98"/>
    <w:rsid w:val="00422116"/>
    <w:rsid w:val="0042559A"/>
    <w:rsid w:val="004311BE"/>
    <w:rsid w:val="00434945"/>
    <w:rsid w:val="004376E2"/>
    <w:rsid w:val="0044253C"/>
    <w:rsid w:val="00447CD4"/>
    <w:rsid w:val="00454453"/>
    <w:rsid w:val="004623B8"/>
    <w:rsid w:val="00466999"/>
    <w:rsid w:val="004714CF"/>
    <w:rsid w:val="00484C0D"/>
    <w:rsid w:val="00485E74"/>
    <w:rsid w:val="00490E4D"/>
    <w:rsid w:val="00495784"/>
    <w:rsid w:val="00497D8B"/>
    <w:rsid w:val="004A0196"/>
    <w:rsid w:val="004A5690"/>
    <w:rsid w:val="004B2843"/>
    <w:rsid w:val="004B5C95"/>
    <w:rsid w:val="004C5C5F"/>
    <w:rsid w:val="004C755F"/>
    <w:rsid w:val="004D41B8"/>
    <w:rsid w:val="004E5393"/>
    <w:rsid w:val="004F0479"/>
    <w:rsid w:val="004F5641"/>
    <w:rsid w:val="005029C5"/>
    <w:rsid w:val="00503E5B"/>
    <w:rsid w:val="00510E1C"/>
    <w:rsid w:val="00511DB0"/>
    <w:rsid w:val="00522632"/>
    <w:rsid w:val="00522EF3"/>
    <w:rsid w:val="0053044C"/>
    <w:rsid w:val="00532472"/>
    <w:rsid w:val="00533A2D"/>
    <w:rsid w:val="00540418"/>
    <w:rsid w:val="005665F3"/>
    <w:rsid w:val="005669CA"/>
    <w:rsid w:val="0056752E"/>
    <w:rsid w:val="00574266"/>
    <w:rsid w:val="005823AB"/>
    <w:rsid w:val="0058682B"/>
    <w:rsid w:val="0059397A"/>
    <w:rsid w:val="00593AB8"/>
    <w:rsid w:val="00594C7D"/>
    <w:rsid w:val="005954D7"/>
    <w:rsid w:val="0059676E"/>
    <w:rsid w:val="005A0B42"/>
    <w:rsid w:val="005A112D"/>
    <w:rsid w:val="005B384C"/>
    <w:rsid w:val="005C004D"/>
    <w:rsid w:val="005C275B"/>
    <w:rsid w:val="005D3D25"/>
    <w:rsid w:val="005E03E5"/>
    <w:rsid w:val="005E5860"/>
    <w:rsid w:val="005F3046"/>
    <w:rsid w:val="00600BE3"/>
    <w:rsid w:val="006049BF"/>
    <w:rsid w:val="0061359A"/>
    <w:rsid w:val="00625526"/>
    <w:rsid w:val="006323A5"/>
    <w:rsid w:val="006341DA"/>
    <w:rsid w:val="006532E3"/>
    <w:rsid w:val="0065631F"/>
    <w:rsid w:val="0066274C"/>
    <w:rsid w:val="00667F8C"/>
    <w:rsid w:val="0067346C"/>
    <w:rsid w:val="0067461F"/>
    <w:rsid w:val="006825FB"/>
    <w:rsid w:val="00692B53"/>
    <w:rsid w:val="006931F0"/>
    <w:rsid w:val="006950F3"/>
    <w:rsid w:val="006A43FF"/>
    <w:rsid w:val="006A6136"/>
    <w:rsid w:val="006B0F0B"/>
    <w:rsid w:val="006B1FE7"/>
    <w:rsid w:val="006B781D"/>
    <w:rsid w:val="006D534D"/>
    <w:rsid w:val="006D7BA0"/>
    <w:rsid w:val="006E77DD"/>
    <w:rsid w:val="0070399B"/>
    <w:rsid w:val="00710F2E"/>
    <w:rsid w:val="007120E0"/>
    <w:rsid w:val="007179F3"/>
    <w:rsid w:val="00727FA5"/>
    <w:rsid w:val="0073230F"/>
    <w:rsid w:val="00736C0E"/>
    <w:rsid w:val="007545B0"/>
    <w:rsid w:val="0075557C"/>
    <w:rsid w:val="007618A7"/>
    <w:rsid w:val="00762B8F"/>
    <w:rsid w:val="00763750"/>
    <w:rsid w:val="00783114"/>
    <w:rsid w:val="00787A5C"/>
    <w:rsid w:val="00791A9D"/>
    <w:rsid w:val="00792775"/>
    <w:rsid w:val="0079582C"/>
    <w:rsid w:val="007A0713"/>
    <w:rsid w:val="007A12AF"/>
    <w:rsid w:val="007A2897"/>
    <w:rsid w:val="007A6ACE"/>
    <w:rsid w:val="007B40C6"/>
    <w:rsid w:val="007B457A"/>
    <w:rsid w:val="007C6732"/>
    <w:rsid w:val="007D1BA2"/>
    <w:rsid w:val="007D5E44"/>
    <w:rsid w:val="007D6E9A"/>
    <w:rsid w:val="007D78D0"/>
    <w:rsid w:val="007E3402"/>
    <w:rsid w:val="007F3835"/>
    <w:rsid w:val="00811DAC"/>
    <w:rsid w:val="00823F5B"/>
    <w:rsid w:val="00830258"/>
    <w:rsid w:val="0083169E"/>
    <w:rsid w:val="008506E2"/>
    <w:rsid w:val="008554F2"/>
    <w:rsid w:val="00860162"/>
    <w:rsid w:val="00860BCE"/>
    <w:rsid w:val="0087031E"/>
    <w:rsid w:val="00872E78"/>
    <w:rsid w:val="00875B25"/>
    <w:rsid w:val="00881F76"/>
    <w:rsid w:val="00884571"/>
    <w:rsid w:val="0089054E"/>
    <w:rsid w:val="00897A77"/>
    <w:rsid w:val="008A5259"/>
    <w:rsid w:val="008A6796"/>
    <w:rsid w:val="008A6E4D"/>
    <w:rsid w:val="008A793D"/>
    <w:rsid w:val="008B0017"/>
    <w:rsid w:val="008B37A3"/>
    <w:rsid w:val="008B4E3B"/>
    <w:rsid w:val="008D422B"/>
    <w:rsid w:val="008D5856"/>
    <w:rsid w:val="008D5CD9"/>
    <w:rsid w:val="008D76F5"/>
    <w:rsid w:val="008E3652"/>
    <w:rsid w:val="008F65B0"/>
    <w:rsid w:val="008F6D58"/>
    <w:rsid w:val="00900BE2"/>
    <w:rsid w:val="009044C1"/>
    <w:rsid w:val="0091067D"/>
    <w:rsid w:val="00910F5C"/>
    <w:rsid w:val="00913302"/>
    <w:rsid w:val="00922E3A"/>
    <w:rsid w:val="009252DC"/>
    <w:rsid w:val="009330CF"/>
    <w:rsid w:val="0093492C"/>
    <w:rsid w:val="00937976"/>
    <w:rsid w:val="00937DB2"/>
    <w:rsid w:val="00942B54"/>
    <w:rsid w:val="009442BE"/>
    <w:rsid w:val="009514AA"/>
    <w:rsid w:val="00955EFC"/>
    <w:rsid w:val="00957043"/>
    <w:rsid w:val="00957113"/>
    <w:rsid w:val="00961992"/>
    <w:rsid w:val="00974151"/>
    <w:rsid w:val="00980D20"/>
    <w:rsid w:val="00981A5A"/>
    <w:rsid w:val="009954CF"/>
    <w:rsid w:val="00996A4D"/>
    <w:rsid w:val="009B33B9"/>
    <w:rsid w:val="009C0CB9"/>
    <w:rsid w:val="009D0D7F"/>
    <w:rsid w:val="009D1A6E"/>
    <w:rsid w:val="009D4C1B"/>
    <w:rsid w:val="009D5D4C"/>
    <w:rsid w:val="009E7999"/>
    <w:rsid w:val="009F1D95"/>
    <w:rsid w:val="009F23C4"/>
    <w:rsid w:val="009F5C24"/>
    <w:rsid w:val="009F656D"/>
    <w:rsid w:val="00A00DE1"/>
    <w:rsid w:val="00A02ED0"/>
    <w:rsid w:val="00A03681"/>
    <w:rsid w:val="00A03B9F"/>
    <w:rsid w:val="00A03FAB"/>
    <w:rsid w:val="00A17654"/>
    <w:rsid w:val="00A33C61"/>
    <w:rsid w:val="00A363B6"/>
    <w:rsid w:val="00A374A2"/>
    <w:rsid w:val="00A42DFC"/>
    <w:rsid w:val="00A453EC"/>
    <w:rsid w:val="00A46BF5"/>
    <w:rsid w:val="00A612C0"/>
    <w:rsid w:val="00A617E0"/>
    <w:rsid w:val="00A6212D"/>
    <w:rsid w:val="00A62D3A"/>
    <w:rsid w:val="00A64B55"/>
    <w:rsid w:val="00A65EA0"/>
    <w:rsid w:val="00A72FF2"/>
    <w:rsid w:val="00A8360C"/>
    <w:rsid w:val="00A95487"/>
    <w:rsid w:val="00AA0206"/>
    <w:rsid w:val="00AA4303"/>
    <w:rsid w:val="00AA5790"/>
    <w:rsid w:val="00AB79BA"/>
    <w:rsid w:val="00AC421F"/>
    <w:rsid w:val="00AC68FD"/>
    <w:rsid w:val="00AC6BA8"/>
    <w:rsid w:val="00AC7F67"/>
    <w:rsid w:val="00AD2A76"/>
    <w:rsid w:val="00AD67CD"/>
    <w:rsid w:val="00AD6DF3"/>
    <w:rsid w:val="00AE0F4E"/>
    <w:rsid w:val="00AE1B73"/>
    <w:rsid w:val="00AE5C71"/>
    <w:rsid w:val="00AF0923"/>
    <w:rsid w:val="00AF1776"/>
    <w:rsid w:val="00AF32AA"/>
    <w:rsid w:val="00AF3F5D"/>
    <w:rsid w:val="00AF541B"/>
    <w:rsid w:val="00AF555C"/>
    <w:rsid w:val="00B13906"/>
    <w:rsid w:val="00B146E2"/>
    <w:rsid w:val="00B150CB"/>
    <w:rsid w:val="00B15A2E"/>
    <w:rsid w:val="00B25061"/>
    <w:rsid w:val="00B36C3A"/>
    <w:rsid w:val="00B50174"/>
    <w:rsid w:val="00B551F4"/>
    <w:rsid w:val="00B55A31"/>
    <w:rsid w:val="00B60B92"/>
    <w:rsid w:val="00B72B4B"/>
    <w:rsid w:val="00B77635"/>
    <w:rsid w:val="00B810B4"/>
    <w:rsid w:val="00B81A7F"/>
    <w:rsid w:val="00B849EE"/>
    <w:rsid w:val="00B84D02"/>
    <w:rsid w:val="00B85F0F"/>
    <w:rsid w:val="00B86C63"/>
    <w:rsid w:val="00B875EB"/>
    <w:rsid w:val="00B87694"/>
    <w:rsid w:val="00B87C01"/>
    <w:rsid w:val="00BA0147"/>
    <w:rsid w:val="00BA2940"/>
    <w:rsid w:val="00BA45BF"/>
    <w:rsid w:val="00BA753A"/>
    <w:rsid w:val="00BB110D"/>
    <w:rsid w:val="00BB3394"/>
    <w:rsid w:val="00BB33C0"/>
    <w:rsid w:val="00BC5CCD"/>
    <w:rsid w:val="00BC66D4"/>
    <w:rsid w:val="00BD0DD8"/>
    <w:rsid w:val="00BD1FAB"/>
    <w:rsid w:val="00BD577B"/>
    <w:rsid w:val="00BF18B3"/>
    <w:rsid w:val="00BF2EF5"/>
    <w:rsid w:val="00C00CCB"/>
    <w:rsid w:val="00C02C92"/>
    <w:rsid w:val="00C108E2"/>
    <w:rsid w:val="00C1328F"/>
    <w:rsid w:val="00C16E53"/>
    <w:rsid w:val="00C2595A"/>
    <w:rsid w:val="00C25B27"/>
    <w:rsid w:val="00C303F8"/>
    <w:rsid w:val="00C34749"/>
    <w:rsid w:val="00C431B4"/>
    <w:rsid w:val="00C43328"/>
    <w:rsid w:val="00C47ED2"/>
    <w:rsid w:val="00C56F3A"/>
    <w:rsid w:val="00C5752A"/>
    <w:rsid w:val="00C62FD3"/>
    <w:rsid w:val="00C75ADB"/>
    <w:rsid w:val="00C75F84"/>
    <w:rsid w:val="00C81FF5"/>
    <w:rsid w:val="00C83619"/>
    <w:rsid w:val="00C859A5"/>
    <w:rsid w:val="00C8601D"/>
    <w:rsid w:val="00C86C59"/>
    <w:rsid w:val="00C9078B"/>
    <w:rsid w:val="00C91C5A"/>
    <w:rsid w:val="00C9764D"/>
    <w:rsid w:val="00CB689B"/>
    <w:rsid w:val="00CC246A"/>
    <w:rsid w:val="00CD6D9A"/>
    <w:rsid w:val="00CD7217"/>
    <w:rsid w:val="00CF028E"/>
    <w:rsid w:val="00CF7F90"/>
    <w:rsid w:val="00D0092C"/>
    <w:rsid w:val="00D00E92"/>
    <w:rsid w:val="00D055EC"/>
    <w:rsid w:val="00D077E1"/>
    <w:rsid w:val="00D11100"/>
    <w:rsid w:val="00D30FCA"/>
    <w:rsid w:val="00D31095"/>
    <w:rsid w:val="00D3455B"/>
    <w:rsid w:val="00D44098"/>
    <w:rsid w:val="00D44728"/>
    <w:rsid w:val="00D4646A"/>
    <w:rsid w:val="00D479F5"/>
    <w:rsid w:val="00D55675"/>
    <w:rsid w:val="00D55E36"/>
    <w:rsid w:val="00D56172"/>
    <w:rsid w:val="00D562FF"/>
    <w:rsid w:val="00D7091A"/>
    <w:rsid w:val="00D8177E"/>
    <w:rsid w:val="00D878CF"/>
    <w:rsid w:val="00D90B1A"/>
    <w:rsid w:val="00DA0429"/>
    <w:rsid w:val="00DA2030"/>
    <w:rsid w:val="00DA3A77"/>
    <w:rsid w:val="00DB1C76"/>
    <w:rsid w:val="00DB5879"/>
    <w:rsid w:val="00DB6358"/>
    <w:rsid w:val="00DC29E2"/>
    <w:rsid w:val="00DC2D59"/>
    <w:rsid w:val="00DF56C9"/>
    <w:rsid w:val="00E023F7"/>
    <w:rsid w:val="00E071C6"/>
    <w:rsid w:val="00E12D7C"/>
    <w:rsid w:val="00E17C85"/>
    <w:rsid w:val="00E30318"/>
    <w:rsid w:val="00E32708"/>
    <w:rsid w:val="00E4504C"/>
    <w:rsid w:val="00E47C32"/>
    <w:rsid w:val="00E47EAD"/>
    <w:rsid w:val="00E51EC7"/>
    <w:rsid w:val="00E534D6"/>
    <w:rsid w:val="00E53FD9"/>
    <w:rsid w:val="00E61384"/>
    <w:rsid w:val="00E61F3D"/>
    <w:rsid w:val="00E6222F"/>
    <w:rsid w:val="00E66149"/>
    <w:rsid w:val="00E8410D"/>
    <w:rsid w:val="00E874C7"/>
    <w:rsid w:val="00E956EE"/>
    <w:rsid w:val="00E95E3F"/>
    <w:rsid w:val="00EA258D"/>
    <w:rsid w:val="00EA4D76"/>
    <w:rsid w:val="00EA5418"/>
    <w:rsid w:val="00EC05FC"/>
    <w:rsid w:val="00EC29CD"/>
    <w:rsid w:val="00ED32B1"/>
    <w:rsid w:val="00ED606E"/>
    <w:rsid w:val="00ED74A5"/>
    <w:rsid w:val="00EE46FB"/>
    <w:rsid w:val="00EE4BF2"/>
    <w:rsid w:val="00EE4DE9"/>
    <w:rsid w:val="00EE6083"/>
    <w:rsid w:val="00F00098"/>
    <w:rsid w:val="00F0140C"/>
    <w:rsid w:val="00F07901"/>
    <w:rsid w:val="00F11C40"/>
    <w:rsid w:val="00F13251"/>
    <w:rsid w:val="00F17C0D"/>
    <w:rsid w:val="00F420CD"/>
    <w:rsid w:val="00F467E1"/>
    <w:rsid w:val="00F61ACF"/>
    <w:rsid w:val="00F666A6"/>
    <w:rsid w:val="00F67AF9"/>
    <w:rsid w:val="00F67B40"/>
    <w:rsid w:val="00F755D0"/>
    <w:rsid w:val="00F80451"/>
    <w:rsid w:val="00F84553"/>
    <w:rsid w:val="00F85E4B"/>
    <w:rsid w:val="00F90C7C"/>
    <w:rsid w:val="00FA2BA3"/>
    <w:rsid w:val="00FA4A94"/>
    <w:rsid w:val="00FB1010"/>
    <w:rsid w:val="00FB1C34"/>
    <w:rsid w:val="00FB3916"/>
    <w:rsid w:val="00FB3C6E"/>
    <w:rsid w:val="00FB6993"/>
    <w:rsid w:val="00FD194E"/>
    <w:rsid w:val="00FD2757"/>
    <w:rsid w:val="00FD435E"/>
    <w:rsid w:val="00FD5A63"/>
    <w:rsid w:val="00FD7168"/>
    <w:rsid w:val="00FE2FFF"/>
    <w:rsid w:val="00FF308A"/>
    <w:rsid w:val="00FF38A4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7B846E-9FD0-4FE8-BEEA-88A294C7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E12D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12D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E2A1-05BF-4707-BB67-07C61337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17</Pages>
  <Words>2200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pc9361</cp:lastModifiedBy>
  <cp:revision>6</cp:revision>
  <cp:lastPrinted>2020-01-10T15:21:00Z</cp:lastPrinted>
  <dcterms:created xsi:type="dcterms:W3CDTF">2020-01-02T20:27:00Z</dcterms:created>
  <dcterms:modified xsi:type="dcterms:W3CDTF">2020-01-10T15:22:00Z</dcterms:modified>
</cp:coreProperties>
</file>