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486AE1" w:rsidP="005117F4"/>
    <w:p w:rsidR="002B1E01" w:rsidRPr="00B87F20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24"/>
          <w:szCs w:val="18"/>
        </w:rPr>
      </w:pPr>
      <w:r w:rsidRPr="00B87F20">
        <w:rPr>
          <w:rFonts w:ascii="Arial" w:hAnsi="Arial" w:cs="Arial"/>
          <w:b/>
          <w:sz w:val="24"/>
          <w:szCs w:val="18"/>
        </w:rPr>
        <w:t>INTRODUCCIÓN</w:t>
      </w: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B1E01" w:rsidRPr="00B87F20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  <w:sz w:val="24"/>
          <w:szCs w:val="18"/>
        </w:rPr>
      </w:pPr>
      <w:r w:rsidRPr="00B87F20">
        <w:rPr>
          <w:rFonts w:ascii="Arial" w:hAnsi="Arial" w:cs="Arial"/>
          <w:sz w:val="24"/>
          <w:szCs w:val="18"/>
        </w:rPr>
        <w:t xml:space="preserve">En cumplimiento a la Ley General de Contabilidad Gubernamental en su artículo 53, que establece que la Cuenta Pública de la Universidad Politécnica de Tlaxcala,  </w:t>
      </w:r>
      <w:r w:rsidRPr="00B87F20">
        <w:rPr>
          <w:sz w:val="32"/>
        </w:rPr>
        <w:t xml:space="preserve"> </w:t>
      </w:r>
      <w:r w:rsidRPr="00B87F20">
        <w:rPr>
          <w:rFonts w:ascii="Arial" w:hAnsi="Arial" w:cs="Arial"/>
          <w:sz w:val="24"/>
          <w:szCs w:val="18"/>
        </w:rPr>
        <w:t>La creación de la Universidad Politécnica de Tlaxcala fortalece la decisión del Gobierno Estatal para ampliar la cobertura, mejorar la calidad, la pertinencia y la equidad de la educación superior que el estado ofrece a través de las instituciones públicas. Para ello, ha establecido ejes geográficos estratégicos que integran las Instituciones de educación superior a lo largo y ancho del territorio tlaxcalteca, en plena correspondencia de su oferta educativa con la generación de alternativas necesarias para el desarrollo económico y social del estado.</w:t>
      </w:r>
    </w:p>
    <w:p w:rsidR="002B1E01" w:rsidRPr="00B87F20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  <w:sz w:val="24"/>
          <w:szCs w:val="18"/>
        </w:rPr>
      </w:pPr>
      <w:r w:rsidRPr="00B87F20">
        <w:rPr>
          <w:rFonts w:ascii="Arial" w:hAnsi="Arial" w:cs="Arial"/>
          <w:sz w:val="24"/>
          <w:szCs w:val="18"/>
        </w:rPr>
        <w:t>Así mismo el acuerdo por el que se armoniza la estructura de las cuentas públicas, emitido por el Consejo Nacional de Armonización Contable.</w:t>
      </w:r>
    </w:p>
    <w:p w:rsidR="002B1E01" w:rsidRPr="00B87F20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  <w:sz w:val="24"/>
          <w:szCs w:val="18"/>
        </w:rPr>
      </w:pPr>
      <w:r w:rsidRPr="00B87F20">
        <w:rPr>
          <w:rFonts w:ascii="Arial" w:hAnsi="Arial" w:cs="Arial"/>
          <w:sz w:val="24"/>
          <w:szCs w:val="18"/>
        </w:rPr>
        <w:t>De conformidad con el Acuerdo por el que se armoniza la estructura de las cuentas públicas y atendiendo a la recomendación de la Auditoría Superior de la Federación, la información contable que se presenta, es la siguiente:</w:t>
      </w:r>
    </w:p>
    <w:p w:rsidR="002B1E01" w:rsidRPr="00B87F20" w:rsidRDefault="00D41EC6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>
        <w:rPr>
          <w:rFonts w:ascii="Arial" w:eastAsia="Times New Roman" w:hAnsi="Arial" w:cs="Arial"/>
          <w:sz w:val="24"/>
          <w:szCs w:val="18"/>
          <w:lang w:eastAsia="es-MX"/>
        </w:rPr>
        <w:t>Estado de situación financiera;</w:t>
      </w:r>
    </w:p>
    <w:p w:rsidR="002B1E01" w:rsidRPr="00B87F20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>Estado de actividades;</w:t>
      </w:r>
    </w:p>
    <w:p w:rsidR="002B1E01" w:rsidRPr="00B87F20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>Estado de v</w:t>
      </w:r>
      <w:r w:rsidR="00BC7B07" w:rsidRPr="00B87F20">
        <w:rPr>
          <w:rFonts w:ascii="Arial" w:eastAsia="Times New Roman" w:hAnsi="Arial" w:cs="Arial"/>
          <w:sz w:val="24"/>
          <w:szCs w:val="18"/>
          <w:lang w:eastAsia="es-MX"/>
        </w:rPr>
        <w:t>ariación en la hacienda pública;</w:t>
      </w:r>
    </w:p>
    <w:p w:rsidR="002B1E01" w:rsidRPr="00B87F20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>Estado de cambios en la situación financiera;</w:t>
      </w:r>
    </w:p>
    <w:p w:rsidR="002B1E01" w:rsidRPr="00B87F20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>Informes sobre pasivos contingentes;</w:t>
      </w:r>
    </w:p>
    <w:p w:rsidR="002B1E01" w:rsidRPr="00B87F20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>Notas a los estados financieros;</w:t>
      </w:r>
    </w:p>
    <w:p w:rsidR="002B1E01" w:rsidRPr="00B87F20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lastRenderedPageBreak/>
        <w:t>Estado analítico del activo;</w:t>
      </w:r>
    </w:p>
    <w:p w:rsidR="002B1E01" w:rsidRPr="00B87F20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 xml:space="preserve">Estado analítico de la deuda y otros pasivos; y </w:t>
      </w:r>
    </w:p>
    <w:p w:rsidR="002B1E01" w:rsidRPr="00B87F20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>Estado de flujos de efectivo.</w:t>
      </w:r>
    </w:p>
    <w:p w:rsidR="002B1E01" w:rsidRPr="00B87F20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  <w:sz w:val="24"/>
          <w:szCs w:val="18"/>
        </w:rPr>
      </w:pPr>
      <w:r w:rsidRPr="00B87F20">
        <w:rPr>
          <w:rFonts w:ascii="Arial" w:hAnsi="Arial" w:cs="Arial"/>
          <w:sz w:val="24"/>
          <w:szCs w:val="18"/>
        </w:rPr>
        <w:t>Por su parte la información presupuestal consolidada que se presenta es la siguiente:</w:t>
      </w:r>
    </w:p>
    <w:p w:rsidR="002B1E01" w:rsidRPr="00B87F20" w:rsidRDefault="002B1E01" w:rsidP="005669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>Estado analítico de ingresos;</w:t>
      </w:r>
    </w:p>
    <w:p w:rsidR="002B1E01" w:rsidRPr="00B87F20" w:rsidRDefault="002B1E01" w:rsidP="005669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>Estado analítico del ejercicio del presupuesto de egresos con las siguientes clasificaciones:</w:t>
      </w:r>
    </w:p>
    <w:p w:rsidR="002B1E01" w:rsidRPr="00B87F20" w:rsidRDefault="002B1E01" w:rsidP="005669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>Administrativa;</w:t>
      </w:r>
    </w:p>
    <w:p w:rsidR="002B1E01" w:rsidRPr="00B87F20" w:rsidRDefault="002B1E01" w:rsidP="00566922">
      <w:pPr>
        <w:autoSpaceDE w:val="0"/>
        <w:autoSpaceDN w:val="0"/>
        <w:adjustRightInd w:val="0"/>
        <w:spacing w:before="80" w:after="0" w:line="360" w:lineRule="auto"/>
        <w:ind w:left="720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>ii.     Económica y por objeto del gasto, y</w:t>
      </w:r>
      <w:bookmarkStart w:id="0" w:name="_GoBack"/>
      <w:bookmarkEnd w:id="0"/>
    </w:p>
    <w:p w:rsidR="002B1E01" w:rsidRPr="00B87F20" w:rsidRDefault="002B1E01" w:rsidP="00566922">
      <w:pPr>
        <w:autoSpaceDE w:val="0"/>
        <w:autoSpaceDN w:val="0"/>
        <w:adjustRightInd w:val="0"/>
        <w:spacing w:before="80" w:after="0" w:line="360" w:lineRule="auto"/>
        <w:ind w:left="720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>iii.    Funcional-programática;</w:t>
      </w:r>
    </w:p>
    <w:p w:rsidR="002B1E01" w:rsidRPr="00566922" w:rsidRDefault="002B1E01" w:rsidP="005669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>Endeudamiento neto;</w:t>
      </w:r>
    </w:p>
    <w:p w:rsidR="002B1E01" w:rsidRPr="00B87F20" w:rsidRDefault="002B1E01" w:rsidP="005669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>Intereses de la deuda.</w:t>
      </w:r>
    </w:p>
    <w:p w:rsidR="002B1E01" w:rsidRPr="00B87F20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  <w:sz w:val="24"/>
          <w:szCs w:val="18"/>
        </w:rPr>
      </w:pPr>
      <w:r w:rsidRPr="00B87F20">
        <w:rPr>
          <w:rFonts w:ascii="Arial" w:hAnsi="Arial" w:cs="Arial"/>
          <w:sz w:val="24"/>
          <w:szCs w:val="18"/>
        </w:rPr>
        <w:t>La información programática consolidada que se presenta es la siguiente:</w:t>
      </w:r>
    </w:p>
    <w:p w:rsidR="002B1E01" w:rsidRPr="00B87F20" w:rsidRDefault="002B1E01" w:rsidP="005669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>Gasto por Categoría Programática.</w:t>
      </w:r>
    </w:p>
    <w:p w:rsidR="002B1E01" w:rsidRPr="00B87F20" w:rsidRDefault="002B1E01" w:rsidP="005669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B87F20">
        <w:rPr>
          <w:rFonts w:ascii="Arial" w:eastAsia="Times New Roman" w:hAnsi="Arial" w:cs="Arial"/>
          <w:sz w:val="24"/>
          <w:szCs w:val="18"/>
          <w:lang w:eastAsia="es-MX"/>
        </w:rPr>
        <w:t>Así como los Anexos correspondientes.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AB13B7" w:rsidRDefault="00AB13B7" w:rsidP="00B87F20"/>
    <w:sectPr w:rsidR="00AB13B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C58" w:rsidRDefault="00826C58" w:rsidP="00EA5418">
      <w:pPr>
        <w:spacing w:after="0" w:line="240" w:lineRule="auto"/>
      </w:pPr>
      <w:r>
        <w:separator/>
      </w:r>
    </w:p>
  </w:endnote>
  <w:endnote w:type="continuationSeparator" w:id="0">
    <w:p w:rsidR="00826C58" w:rsidRDefault="00826C5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-534476</wp:posOffset>
              </wp:positionH>
              <wp:positionV relativeFrom="paragraph">
                <wp:posOffset>-25704</wp:posOffset>
              </wp:positionV>
              <wp:extent cx="9710088" cy="31806"/>
              <wp:effectExtent l="0" t="0" r="24765" b="2540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10088" cy="31806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90D86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1pt,-2pt" to="722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66922" w:rsidRPr="0056692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margin">
                <wp:align>center</wp:align>
              </wp:positionH>
              <wp:positionV relativeFrom="paragraph">
                <wp:posOffset>-13335</wp:posOffset>
              </wp:positionV>
              <wp:extent cx="9780104" cy="39066"/>
              <wp:effectExtent l="0" t="0" r="31115" b="3746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0104" cy="39066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A85B6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.05pt" to="770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" strokecolor="#622423 [1605]" strokeweight="1.5pt"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66922" w:rsidRPr="00566922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C58" w:rsidRDefault="00826C58" w:rsidP="00EA5418">
      <w:pPr>
        <w:spacing w:after="0" w:line="240" w:lineRule="auto"/>
      </w:pPr>
      <w:r>
        <w:separator/>
      </w:r>
    </w:p>
  </w:footnote>
  <w:footnote w:type="continuationSeparator" w:id="0">
    <w:p w:rsidR="00826C58" w:rsidRDefault="00826C5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1125D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9D82E6" wp14:editId="07B3B2CF">
              <wp:simplePos x="0" y="0"/>
              <wp:positionH relativeFrom="page">
                <wp:posOffset>135172</wp:posOffset>
              </wp:positionH>
              <wp:positionV relativeFrom="paragraph">
                <wp:posOffset>329648</wp:posOffset>
              </wp:positionV>
              <wp:extent cx="9780105" cy="0"/>
              <wp:effectExtent l="0" t="0" r="3111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010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B53C3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65pt,25.95pt" to="780.7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" strokecolor="#622423 [1605]" strokeweight="1.5pt">
              <w10:wrap anchorx="page"/>
            </v:line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39205D" wp14:editId="039B5F2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F55C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1F55C7" w:rsidRDefault="001F55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D39205D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F55C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1F55C7" w:rsidRDefault="001F55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 w:rsidRPr="001125D5">
      <w:rPr>
        <w:rFonts w:ascii="Soberana Sans Light" w:hAnsi="Soberana Sans Light"/>
        <w:noProof/>
        <w:color w:val="632423" w:themeColor="accent2" w:themeShade="80"/>
        <w:lang w:eastAsia="es-MX"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75A0572A" wp14:editId="233CD2AE">
              <wp:simplePos x="0" y="0"/>
              <wp:positionH relativeFrom="page">
                <wp:posOffset>131674</wp:posOffset>
              </wp:positionH>
              <wp:positionV relativeFrom="paragraph">
                <wp:posOffset>208762</wp:posOffset>
              </wp:positionV>
              <wp:extent cx="9787737" cy="0"/>
              <wp:effectExtent l="0" t="0" r="23495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7737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B1424C" id="1 Conector recto" o:spid="_x0000_s1026" style="position:absolute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35pt,16.45pt" to="781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" strokecolor="#622423 [1605]" strokeweight="1.5pt">
              <w10:wrap anchorx="page"/>
            </v:line>
          </w:pict>
        </mc:Fallback>
      </mc:AlternateContent>
    </w:r>
    <w:r w:rsidR="00FD7583">
      <w:rPr>
        <w:rFonts w:ascii="Soberana Sans Light" w:hAnsi="Soberana Sans Light"/>
      </w:rPr>
      <w:t>UNIVERSIDAD POLITECNICA DE TLAXCALA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100B3"/>
    <w:multiLevelType w:val="hybridMultilevel"/>
    <w:tmpl w:val="5A98CC06"/>
    <w:lvl w:ilvl="0" w:tplc="A2564D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6042"/>
    <w:rsid w:val="001125D5"/>
    <w:rsid w:val="0013011C"/>
    <w:rsid w:val="00137CA7"/>
    <w:rsid w:val="00146CD6"/>
    <w:rsid w:val="001646D9"/>
    <w:rsid w:val="001802A7"/>
    <w:rsid w:val="0018678F"/>
    <w:rsid w:val="001B1B72"/>
    <w:rsid w:val="001B7195"/>
    <w:rsid w:val="001F55C7"/>
    <w:rsid w:val="00273B94"/>
    <w:rsid w:val="002865A7"/>
    <w:rsid w:val="002A70B3"/>
    <w:rsid w:val="002B1E01"/>
    <w:rsid w:val="002E5897"/>
    <w:rsid w:val="00307635"/>
    <w:rsid w:val="00355821"/>
    <w:rsid w:val="003575A4"/>
    <w:rsid w:val="003610E0"/>
    <w:rsid w:val="00372F40"/>
    <w:rsid w:val="003C4F46"/>
    <w:rsid w:val="003D5DBF"/>
    <w:rsid w:val="003E7FD0"/>
    <w:rsid w:val="0044253C"/>
    <w:rsid w:val="00452358"/>
    <w:rsid w:val="00485EF4"/>
    <w:rsid w:val="00486AE1"/>
    <w:rsid w:val="00497D8B"/>
    <w:rsid w:val="004D41B8"/>
    <w:rsid w:val="004E111B"/>
    <w:rsid w:val="004E4894"/>
    <w:rsid w:val="00502D8E"/>
    <w:rsid w:val="005117F4"/>
    <w:rsid w:val="005205A6"/>
    <w:rsid w:val="00522632"/>
    <w:rsid w:val="00531310"/>
    <w:rsid w:val="00534982"/>
    <w:rsid w:val="00540418"/>
    <w:rsid w:val="00566922"/>
    <w:rsid w:val="00582405"/>
    <w:rsid w:val="005859FA"/>
    <w:rsid w:val="005A285A"/>
    <w:rsid w:val="006048D2"/>
    <w:rsid w:val="00611E39"/>
    <w:rsid w:val="006B729B"/>
    <w:rsid w:val="006E6B8E"/>
    <w:rsid w:val="006E77DD"/>
    <w:rsid w:val="0079582C"/>
    <w:rsid w:val="007D6E9A"/>
    <w:rsid w:val="00805658"/>
    <w:rsid w:val="00826C58"/>
    <w:rsid w:val="008407CA"/>
    <w:rsid w:val="00850E90"/>
    <w:rsid w:val="008A6E4D"/>
    <w:rsid w:val="008B0017"/>
    <w:rsid w:val="008D4272"/>
    <w:rsid w:val="008E3652"/>
    <w:rsid w:val="009E5F01"/>
    <w:rsid w:val="00A14B74"/>
    <w:rsid w:val="00AB13B7"/>
    <w:rsid w:val="00B15AC1"/>
    <w:rsid w:val="00B17423"/>
    <w:rsid w:val="00B42A02"/>
    <w:rsid w:val="00B849EE"/>
    <w:rsid w:val="00B87F20"/>
    <w:rsid w:val="00BC7B07"/>
    <w:rsid w:val="00C116E7"/>
    <w:rsid w:val="00C44F01"/>
    <w:rsid w:val="00C94C79"/>
    <w:rsid w:val="00CA2D37"/>
    <w:rsid w:val="00CB72B7"/>
    <w:rsid w:val="00CC5CB6"/>
    <w:rsid w:val="00D055EC"/>
    <w:rsid w:val="00D404ED"/>
    <w:rsid w:val="00D41EC6"/>
    <w:rsid w:val="00D51261"/>
    <w:rsid w:val="00D748D3"/>
    <w:rsid w:val="00DD230F"/>
    <w:rsid w:val="00E32708"/>
    <w:rsid w:val="00EA5418"/>
    <w:rsid w:val="00EC35C4"/>
    <w:rsid w:val="00F96944"/>
    <w:rsid w:val="00FC55F1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49C4D"/>
  <w15:docId w15:val="{B8536F2B-FA48-4E6B-9A08-F1643405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9E1E-574A-4BED-A346-03B55134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 de Windows</cp:lastModifiedBy>
  <cp:revision>8</cp:revision>
  <cp:lastPrinted>2018-12-31T17:08:00Z</cp:lastPrinted>
  <dcterms:created xsi:type="dcterms:W3CDTF">2018-11-12T18:26:00Z</dcterms:created>
  <dcterms:modified xsi:type="dcterms:W3CDTF">2020-01-10T16:19:00Z</dcterms:modified>
</cp:coreProperties>
</file>