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rsidTr="001E4968">
        <w:trPr>
          <w:jc w:val="center"/>
        </w:trPr>
        <w:tc>
          <w:tcPr>
            <w:tcW w:w="13019" w:type="dxa"/>
            <w:shd w:val="clear" w:color="auto" w:fill="auto"/>
          </w:tcPr>
          <w:p w:rsidR="00925F82" w:rsidRPr="00E1335B" w:rsidRDefault="00CC5ED6" w:rsidP="00754DBB">
            <w:pPr>
              <w:spacing w:before="20" w:after="20" w:line="220" w:lineRule="exact"/>
              <w:ind w:right="170"/>
              <w:jc w:val="left"/>
              <w:rPr>
                <w:rFonts w:cs="Arial"/>
                <w:sz w:val="18"/>
                <w:szCs w:val="18"/>
              </w:rPr>
            </w:pPr>
            <w:r>
              <w:rPr>
                <w:rFonts w:cs="Arial"/>
                <w:sz w:val="18"/>
                <w:szCs w:val="18"/>
              </w:rPr>
              <w:tab/>
            </w:r>
            <w:r w:rsidR="00251544">
              <w:rPr>
                <w:rFonts w:cs="Arial"/>
                <w:sz w:val="18"/>
                <w:szCs w:val="18"/>
              </w:rPr>
              <w:tab/>
            </w:r>
            <w:r w:rsidR="00B27166" w:rsidRPr="00E1335B">
              <w:rPr>
                <w:rFonts w:cs="Arial"/>
                <w:b/>
                <w:spacing w:val="6"/>
                <w:sz w:val="18"/>
                <w:szCs w:val="18"/>
                <w:lang w:val="es-ES_tradnl"/>
              </w:rPr>
              <w:t>PRESUPUESTO DE EGRESOS PARA EL EJERCICIO FISCAL 201</w:t>
            </w:r>
            <w:r w:rsidR="0095264E">
              <w:rPr>
                <w:rFonts w:cs="Arial"/>
                <w:b/>
                <w:spacing w:val="6"/>
                <w:sz w:val="18"/>
                <w:szCs w:val="18"/>
                <w:lang w:val="es-ES_tradnl"/>
              </w:rPr>
              <w:t>9</w:t>
            </w:r>
          </w:p>
        </w:tc>
      </w:tr>
      <w:tr w:rsidR="00E4277D" w:rsidRPr="00E1335B" w:rsidTr="001E4968">
        <w:trPr>
          <w:jc w:val="center"/>
        </w:trPr>
        <w:tc>
          <w:tcPr>
            <w:tcW w:w="13019" w:type="dxa"/>
            <w:shd w:val="clear" w:color="auto" w:fill="auto"/>
          </w:tcPr>
          <w:p w:rsidR="00E4277D" w:rsidRPr="00E1335B" w:rsidRDefault="00E4277D" w:rsidP="005A7A23">
            <w:pPr>
              <w:spacing w:before="20" w:after="20" w:line="220" w:lineRule="exact"/>
              <w:ind w:right="170"/>
              <w:jc w:val="left"/>
              <w:rPr>
                <w:rFonts w:cs="Arial"/>
                <w:sz w:val="18"/>
                <w:szCs w:val="18"/>
              </w:rPr>
            </w:pPr>
          </w:p>
        </w:tc>
      </w:tr>
      <w:tr w:rsidR="007B6CFC" w:rsidRPr="00E1335B" w:rsidTr="001E4968">
        <w:trPr>
          <w:jc w:val="center"/>
        </w:trPr>
        <w:tc>
          <w:tcPr>
            <w:tcW w:w="13019" w:type="dxa"/>
            <w:shd w:val="clear" w:color="auto" w:fill="auto"/>
          </w:tcPr>
          <w:p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rsidTr="001E4968">
        <w:trPr>
          <w:jc w:val="center"/>
        </w:trPr>
        <w:tc>
          <w:tcPr>
            <w:tcW w:w="13019" w:type="dxa"/>
            <w:shd w:val="clear" w:color="auto" w:fill="auto"/>
          </w:tcPr>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rsidR="006F0282" w:rsidRDefault="006F0282" w:rsidP="007B6CFC">
      <w:pPr>
        <w:spacing w:before="240" w:after="120" w:line="240" w:lineRule="exact"/>
        <w:jc w:val="center"/>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rsidR="00FA12F7"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201</w:t>
      </w:r>
      <w:r w:rsidR="00AF014E">
        <w:rPr>
          <w:rFonts w:cs="Arial"/>
          <w:color w:val="000000"/>
          <w:sz w:val="18"/>
          <w:szCs w:val="18"/>
        </w:rPr>
        <w:t>9</w:t>
      </w:r>
      <w:r w:rsidRPr="006D547F">
        <w:rPr>
          <w:rFonts w:cs="Arial"/>
          <w:color w:val="000000"/>
          <w:sz w:val="18"/>
          <w:szCs w:val="18"/>
        </w:rPr>
        <w:t>, dando prioridad presupuestaria a los temas de: Educación, Salud, Empleo y Seguridad.</w:t>
      </w:r>
    </w:p>
    <w:p w:rsidR="003337B0" w:rsidRPr="006D547F" w:rsidRDefault="003337B0" w:rsidP="00FA12F7">
      <w:pPr>
        <w:spacing w:line="360" w:lineRule="auto"/>
        <w:rPr>
          <w:rFonts w:cs="Arial"/>
          <w:color w:val="000000"/>
          <w:sz w:val="18"/>
          <w:szCs w:val="18"/>
        </w:rPr>
      </w:pPr>
      <w:r w:rsidRPr="003337B0">
        <w:rPr>
          <w:rFonts w:cs="Arial"/>
          <w:color w:val="000000"/>
          <w:sz w:val="18"/>
          <w:szCs w:val="18"/>
        </w:rPr>
        <w:t xml:space="preserve">Atendiendo las Políticas, Objetivos, Estrategias, Líneas y </w:t>
      </w:r>
      <w:proofErr w:type="spellStart"/>
      <w:r w:rsidRPr="003337B0">
        <w:rPr>
          <w:rFonts w:cs="Arial"/>
          <w:color w:val="000000"/>
          <w:sz w:val="18"/>
          <w:szCs w:val="18"/>
        </w:rPr>
        <w:t>Sublíneas</w:t>
      </w:r>
      <w:proofErr w:type="spellEnd"/>
      <w:r w:rsidRPr="003337B0">
        <w:rPr>
          <w:rFonts w:cs="Arial"/>
          <w:color w:val="000000"/>
          <w:sz w:val="18"/>
          <w:szCs w:val="18"/>
        </w:rPr>
        <w:t xml:space="preserve"> de Acción del Plan Estatal de Desarrollo 2017-2021, la Planeación y Programación del Presupuesto 2019 se encuentran enfocadas a administrar de manera más eficiente y eficaz el Sistema Estatal de Planeación apoyando la instrumentación de la Gestión Pública para Resultados por lo consiguiente se generaron 195 Indicadores Estratégicos que medirán a nivel estatal los avances en datos estadísticos relevantes y contribuirán a nivel nacional de manera macroeconómica y 1000 indicadores de gestión que permiten establecer la obtención correcta de los productos o servicios para el cumplimiento del Fin o Propósito.</w:t>
      </w:r>
    </w:p>
    <w:p w:rsidR="004703E9" w:rsidRDefault="004703E9" w:rsidP="00FA12F7">
      <w:pPr>
        <w:spacing w:line="360" w:lineRule="auto"/>
        <w:rPr>
          <w:rFonts w:cs="Arial"/>
          <w:color w:val="000000"/>
          <w:sz w:val="18"/>
          <w:szCs w:val="18"/>
        </w:rPr>
      </w:pPr>
    </w:p>
    <w:p w:rsidR="00FA12F7" w:rsidRPr="006D547F" w:rsidRDefault="00FA12F7" w:rsidP="00FA12F7">
      <w:pPr>
        <w:spacing w:line="360" w:lineRule="auto"/>
        <w:rPr>
          <w:rFonts w:cs="Arial"/>
          <w:color w:val="000000"/>
          <w:sz w:val="18"/>
          <w:szCs w:val="18"/>
        </w:rPr>
      </w:pPr>
      <w:r w:rsidRPr="006D547F">
        <w:rPr>
          <w:rFonts w:cs="Arial"/>
          <w:color w:val="000000"/>
          <w:sz w:val="18"/>
          <w:szCs w:val="18"/>
        </w:rPr>
        <w:lastRenderedPageBreak/>
        <w:t>En relación a lo anterior,  se realizarán entre otras, las siguientes obras y acciones de gran impacto: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seguirá beneficiando a alumnos con libros de texto de manera gratuita aunado al incrementó de la matrícula.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proporcionarán los paquetes de útiles escolares además de apoyos para la educación básica.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implementa el Sistema Estatal de Becas para los diferentes niveles de enseñanza alineados al cumplimiento obligatorio de los Lineamientos correspondientes.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va a ampliar el acceso a internet de banda ancha en sitios públicos priorizando Bibliotecas, Museos y Escuelas Públicas.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abatir la pobreza extrema en el Estado.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Equipamiento del hospital general.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Atención para la salud de la mujer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Fortalecimiento al sistema de Pensiones Civiles del Estado de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Provisiones para desastres naturales.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Beneficios a familias de oficiales caídos y de carrera policial.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Continuidad al complejo vial metropolitano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el fortalecimiento a la Seguridad Pública.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la autonomía municipal.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Apertura de las fiscalías: anticorrupción, personas desaparecidas, trata de personas, protección a periodistas y comité ciudadano.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avanza con la Modernización Tecnológica de la Sistematización de los Trámites y Servicios para hacerlos más fáciles de operar por parte de la Ciudadanía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crea la vinculación educación-empleo para la obtención de los diagnósticos de las ofertas de empleo para las instituciones educativas terminales.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acrecentarán las ofertas de empleo mediante la búsqueda estratégica de instalación de nuevas empresas.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incrementan las acciones para ayuda a víctimas y ofendidos para otorgar a la ciudadanía la certeza y protección jurídica debida.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reforzará la Recaudación Tributaria mediante el incremento en la Modernización Tecnológica para hacer más eficiente la atención al contribuyente.</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 el propósito de transparentar la aplicación correcta de los recursos públicos estatales y federales se implementaran medidas de control interno para abatir el número de observaciones realizadas por los entes fiscalizadores.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Las Dependencia y Entidades del Gobierno del Estado deberán propiciar la alineación de los programas con enfoque de género de conformidad con las políticas establecidas por el Instituto Estatal de la Mujer; así mismo, incluir indicadores sensibles de género; fomentar la igualdad de género en los programas que sean susceptibles de ello, entre otros.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considera un incremento salarial a los elementos de seguridad.</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Implementar acciones para igualdad de género en el Instituto Estatal de la Mujer.</w:t>
      </w:r>
    </w:p>
    <w:p w:rsidR="007B6CFC" w:rsidRDefault="007B6CFC" w:rsidP="007B6CFC"/>
    <w:p w:rsidR="007B6CFC" w:rsidRPr="001E4968" w:rsidRDefault="007B6CFC" w:rsidP="007B6CFC">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PRINCIPALES ADECUACIONES AL PRESUPUESTO APROBADO</w:t>
      </w:r>
    </w:p>
    <w:p w:rsidR="007B6CFC" w:rsidRDefault="007B6CFC" w:rsidP="007B6CFC">
      <w:pPr>
        <w:spacing w:after="100" w:line="276" w:lineRule="auto"/>
        <w:rPr>
          <w:rFonts w:cs="Arial"/>
          <w:sz w:val="18"/>
          <w:szCs w:val="18"/>
        </w:rPr>
      </w:pPr>
      <w:r w:rsidRPr="00BC1D48">
        <w:rPr>
          <w:rFonts w:cs="Arial"/>
          <w:sz w:val="18"/>
          <w:szCs w:val="18"/>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r>
        <w:rPr>
          <w:rFonts w:cs="Arial"/>
          <w:sz w:val="18"/>
          <w:szCs w:val="18"/>
        </w:rPr>
        <w:t>.</w:t>
      </w:r>
    </w:p>
    <w:p w:rsidR="007B6CFC" w:rsidRPr="00FC1887" w:rsidRDefault="007B6CFC" w:rsidP="007B6CFC">
      <w:pPr>
        <w:spacing w:after="100" w:line="276" w:lineRule="auto"/>
        <w:rPr>
          <w:rFonts w:cs="Arial"/>
          <w:sz w:val="18"/>
          <w:szCs w:val="18"/>
        </w:rPr>
      </w:pPr>
      <w:r w:rsidRPr="00FC1887">
        <w:rPr>
          <w:rFonts w:cs="Arial"/>
          <w:sz w:val="18"/>
          <w:szCs w:val="18"/>
        </w:rPr>
        <w:t xml:space="preserve">En </w:t>
      </w:r>
      <w:r w:rsidR="00D445BC">
        <w:rPr>
          <w:rFonts w:cs="Arial"/>
          <w:sz w:val="18"/>
          <w:szCs w:val="18"/>
        </w:rPr>
        <w:t xml:space="preserve">periodo comprendido de enero a </w:t>
      </w:r>
      <w:r w:rsidR="00B55FFC">
        <w:rPr>
          <w:rFonts w:cs="Arial"/>
          <w:sz w:val="18"/>
          <w:szCs w:val="18"/>
        </w:rPr>
        <w:t>marzo</w:t>
      </w:r>
      <w:r w:rsidRPr="00FC1887">
        <w:rPr>
          <w:rFonts w:cs="Arial"/>
          <w:sz w:val="18"/>
          <w:szCs w:val="18"/>
        </w:rPr>
        <w:t>,</w:t>
      </w:r>
      <w:r>
        <w:rPr>
          <w:rFonts w:cs="Arial"/>
          <w:sz w:val="18"/>
          <w:szCs w:val="18"/>
        </w:rPr>
        <w:t xml:space="preserve"> el presupuesto de egresos del Estado considera algunos Fondos</w:t>
      </w:r>
      <w:r w:rsidRPr="00FC1887">
        <w:rPr>
          <w:rFonts w:cs="Arial"/>
          <w:sz w:val="18"/>
          <w:szCs w:val="18"/>
        </w:rPr>
        <w:t xml:space="preserve"> entre</w:t>
      </w:r>
      <w:r>
        <w:rPr>
          <w:rFonts w:cs="Arial"/>
          <w:sz w:val="18"/>
          <w:szCs w:val="18"/>
        </w:rPr>
        <w:t xml:space="preserve"> </w:t>
      </w:r>
      <w:r w:rsidRPr="00FC1887">
        <w:rPr>
          <w:rFonts w:cs="Arial"/>
          <w:sz w:val="18"/>
          <w:szCs w:val="18"/>
        </w:rPr>
        <w:t>l</w:t>
      </w:r>
      <w:r>
        <w:rPr>
          <w:rFonts w:cs="Arial"/>
          <w:sz w:val="18"/>
          <w:szCs w:val="18"/>
        </w:rPr>
        <w:t>o</w:t>
      </w:r>
      <w:r w:rsidRPr="00FC1887">
        <w:rPr>
          <w:rFonts w:cs="Arial"/>
          <w:sz w:val="18"/>
          <w:szCs w:val="18"/>
        </w:rPr>
        <w:t>s que destacan:</w:t>
      </w:r>
    </w:p>
    <w:p w:rsidR="007B6CFC" w:rsidRPr="00DC5C5E" w:rsidRDefault="009C185A"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rPr>
        <w:t>188</w:t>
      </w:r>
      <w:r w:rsidR="00D1508A">
        <w:rPr>
          <w:rFonts w:cs="Arial"/>
          <w:sz w:val="18"/>
          <w:szCs w:val="18"/>
        </w:rPr>
        <w:t>.</w:t>
      </w:r>
      <w:r>
        <w:rPr>
          <w:rFonts w:cs="Arial"/>
          <w:sz w:val="18"/>
          <w:szCs w:val="18"/>
        </w:rPr>
        <w:t>8</w:t>
      </w:r>
      <w:r w:rsidR="00E614E1" w:rsidRPr="00DC5C5E">
        <w:rPr>
          <w:rFonts w:cs="Arial"/>
          <w:sz w:val="18"/>
          <w:szCs w:val="18"/>
        </w:rPr>
        <w:t xml:space="preserve"> millones de pesos para la Universidad Autónoma de Tlaxcala</w:t>
      </w:r>
      <w:r w:rsidR="00E614E1" w:rsidRPr="00DC5C5E">
        <w:rPr>
          <w:rFonts w:cs="Arial"/>
          <w:sz w:val="18"/>
          <w:szCs w:val="18"/>
          <w:lang w:val="es-ES_tradnl"/>
        </w:rPr>
        <w:t>.</w:t>
      </w:r>
    </w:p>
    <w:p w:rsidR="007B6CFC" w:rsidRPr="00C152E8" w:rsidRDefault="003D0F52" w:rsidP="00C152E8">
      <w:pPr>
        <w:numPr>
          <w:ilvl w:val="0"/>
          <w:numId w:val="3"/>
        </w:numPr>
        <w:tabs>
          <w:tab w:val="left" w:pos="993"/>
        </w:tabs>
        <w:spacing w:after="100" w:line="276" w:lineRule="auto"/>
        <w:ind w:left="284" w:hanging="284"/>
        <w:rPr>
          <w:rFonts w:cs="Arial"/>
          <w:sz w:val="18"/>
          <w:szCs w:val="18"/>
        </w:rPr>
      </w:pPr>
      <w:r>
        <w:rPr>
          <w:rFonts w:cs="Arial"/>
          <w:sz w:val="18"/>
          <w:szCs w:val="18"/>
        </w:rPr>
        <w:t xml:space="preserve">  </w:t>
      </w:r>
      <w:r w:rsidR="009C185A">
        <w:rPr>
          <w:rFonts w:cs="Arial"/>
          <w:sz w:val="18"/>
          <w:szCs w:val="18"/>
        </w:rPr>
        <w:t xml:space="preserve"> </w:t>
      </w:r>
      <w:r w:rsidR="001A296A">
        <w:rPr>
          <w:rFonts w:cs="Arial"/>
          <w:sz w:val="18"/>
          <w:szCs w:val="18"/>
        </w:rPr>
        <w:t>8</w:t>
      </w:r>
      <w:r w:rsidR="009C185A">
        <w:rPr>
          <w:rFonts w:cs="Arial"/>
          <w:sz w:val="18"/>
          <w:szCs w:val="18"/>
        </w:rPr>
        <w:t>8</w:t>
      </w:r>
      <w:r w:rsidR="00064ECF">
        <w:rPr>
          <w:rFonts w:cs="Arial"/>
          <w:sz w:val="18"/>
          <w:szCs w:val="18"/>
        </w:rPr>
        <w:t>.</w:t>
      </w:r>
      <w:r w:rsidR="009C185A">
        <w:rPr>
          <w:rFonts w:cs="Arial"/>
          <w:sz w:val="18"/>
          <w:szCs w:val="18"/>
        </w:rPr>
        <w:t>3</w:t>
      </w:r>
      <w:r w:rsidR="0079527C" w:rsidRPr="00DC5C5E">
        <w:rPr>
          <w:rFonts w:cs="Arial"/>
          <w:sz w:val="18"/>
          <w:szCs w:val="18"/>
        </w:rPr>
        <w:t xml:space="preserve"> millones de pesos para </w:t>
      </w:r>
      <w:r w:rsidR="00064ECF">
        <w:rPr>
          <w:rFonts w:cs="Arial"/>
          <w:sz w:val="18"/>
          <w:szCs w:val="18"/>
        </w:rPr>
        <w:t>Municipios</w:t>
      </w:r>
      <w:r w:rsidR="0079527C" w:rsidRPr="00DC5C5E">
        <w:rPr>
          <w:rFonts w:cs="Arial"/>
          <w:sz w:val="18"/>
          <w:szCs w:val="18"/>
        </w:rPr>
        <w:t>.</w:t>
      </w:r>
    </w:p>
    <w:p w:rsidR="00815414" w:rsidRDefault="00A97589"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 xml:space="preserve"> 35</w:t>
      </w:r>
      <w:r w:rsidR="005554CF">
        <w:rPr>
          <w:rFonts w:cs="Arial"/>
          <w:sz w:val="18"/>
          <w:szCs w:val="18"/>
          <w:lang w:val="es-ES_tradnl"/>
        </w:rPr>
        <w:t>.</w:t>
      </w:r>
      <w:r w:rsidR="00A32B22">
        <w:rPr>
          <w:rFonts w:cs="Arial"/>
          <w:sz w:val="18"/>
          <w:szCs w:val="18"/>
          <w:lang w:val="es-ES_tradnl"/>
        </w:rPr>
        <w:t>5</w:t>
      </w:r>
      <w:r w:rsidR="005554CF">
        <w:rPr>
          <w:rFonts w:cs="Arial"/>
          <w:sz w:val="18"/>
          <w:szCs w:val="18"/>
          <w:lang w:val="es-ES_tradnl"/>
        </w:rPr>
        <w:t xml:space="preserve"> </w:t>
      </w:r>
      <w:r w:rsidR="005554CF" w:rsidRPr="00DC5C5E">
        <w:rPr>
          <w:rFonts w:cs="Arial"/>
          <w:sz w:val="18"/>
          <w:szCs w:val="18"/>
          <w:lang w:val="es-ES_tradnl"/>
        </w:rPr>
        <w:t xml:space="preserve">millones en </w:t>
      </w:r>
      <w:r w:rsidR="00252331">
        <w:rPr>
          <w:rFonts w:cs="Arial"/>
          <w:sz w:val="18"/>
          <w:szCs w:val="18"/>
          <w:lang w:val="es-ES_tradnl"/>
        </w:rPr>
        <w:t>Educación Básica,</w:t>
      </w:r>
      <w:r w:rsidR="001815CD">
        <w:rPr>
          <w:rFonts w:cs="Arial"/>
          <w:sz w:val="18"/>
          <w:szCs w:val="18"/>
          <w:lang w:val="es-ES_tradnl"/>
        </w:rPr>
        <w:t xml:space="preserve"> Media Superior</w:t>
      </w:r>
      <w:r w:rsidR="00252331">
        <w:rPr>
          <w:rFonts w:cs="Arial"/>
          <w:sz w:val="18"/>
          <w:szCs w:val="18"/>
          <w:lang w:val="es-ES_tradnl"/>
        </w:rPr>
        <w:t xml:space="preserve"> y Superior.</w:t>
      </w:r>
    </w:p>
    <w:p w:rsidR="00907BDC" w:rsidRDefault="003A42C7"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290</w:t>
      </w:r>
      <w:r w:rsidR="002B78AA">
        <w:rPr>
          <w:rFonts w:cs="Arial"/>
          <w:sz w:val="18"/>
          <w:szCs w:val="18"/>
          <w:lang w:val="es-ES_tradnl"/>
        </w:rPr>
        <w:t>.</w:t>
      </w:r>
      <w:r>
        <w:rPr>
          <w:rFonts w:cs="Arial"/>
          <w:sz w:val="18"/>
          <w:szCs w:val="18"/>
          <w:lang w:val="es-ES_tradnl"/>
        </w:rPr>
        <w:t>6</w:t>
      </w:r>
      <w:r w:rsidR="00907BDC">
        <w:rPr>
          <w:rFonts w:cs="Arial"/>
          <w:sz w:val="18"/>
          <w:szCs w:val="18"/>
          <w:lang w:val="es-ES_tradnl"/>
        </w:rPr>
        <w:t xml:space="preserve"> </w:t>
      </w:r>
      <w:r w:rsidR="00907BDC" w:rsidRPr="00DC5C5E">
        <w:rPr>
          <w:rFonts w:cs="Arial"/>
          <w:sz w:val="18"/>
          <w:szCs w:val="18"/>
          <w:lang w:val="es-ES_tradnl"/>
        </w:rPr>
        <w:t xml:space="preserve">millones en </w:t>
      </w:r>
      <w:r w:rsidR="00DE3FC7">
        <w:rPr>
          <w:rFonts w:cs="Arial"/>
          <w:sz w:val="18"/>
          <w:szCs w:val="18"/>
          <w:lang w:val="es-ES_tradnl"/>
        </w:rPr>
        <w:t>Materia de Salud</w:t>
      </w:r>
      <w:r w:rsidR="00252331">
        <w:rPr>
          <w:rFonts w:cs="Arial"/>
          <w:sz w:val="18"/>
          <w:szCs w:val="18"/>
          <w:lang w:val="es-ES_tradnl"/>
        </w:rPr>
        <w:t>.</w:t>
      </w:r>
    </w:p>
    <w:p w:rsidR="00DE3FC7" w:rsidRDefault="002E2726"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 xml:space="preserve"> </w:t>
      </w:r>
      <w:r w:rsidR="003A42C7">
        <w:rPr>
          <w:rFonts w:cs="Arial"/>
          <w:sz w:val="18"/>
          <w:szCs w:val="18"/>
          <w:lang w:val="es-ES_tradnl"/>
        </w:rPr>
        <w:t xml:space="preserve">  </w:t>
      </w:r>
      <w:r>
        <w:rPr>
          <w:rFonts w:cs="Arial"/>
          <w:sz w:val="18"/>
          <w:szCs w:val="18"/>
          <w:lang w:val="es-ES_tradnl"/>
        </w:rPr>
        <w:t>68</w:t>
      </w:r>
      <w:r w:rsidR="00DE3FC7">
        <w:rPr>
          <w:rFonts w:cs="Arial"/>
          <w:sz w:val="18"/>
          <w:szCs w:val="18"/>
          <w:lang w:val="es-ES_tradnl"/>
        </w:rPr>
        <w:t>.</w:t>
      </w:r>
      <w:r>
        <w:rPr>
          <w:rFonts w:cs="Arial"/>
          <w:sz w:val="18"/>
          <w:szCs w:val="18"/>
          <w:lang w:val="es-ES_tradnl"/>
        </w:rPr>
        <w:t>5</w:t>
      </w:r>
      <w:r w:rsidR="00DE3FC7">
        <w:rPr>
          <w:rFonts w:cs="Arial"/>
          <w:sz w:val="18"/>
          <w:szCs w:val="18"/>
          <w:lang w:val="es-ES_tradnl"/>
        </w:rPr>
        <w:t xml:space="preserve"> millones en Infraestructura</w:t>
      </w:r>
      <w:r w:rsidR="00252331">
        <w:rPr>
          <w:rFonts w:cs="Arial"/>
          <w:sz w:val="18"/>
          <w:szCs w:val="18"/>
          <w:lang w:val="es-ES_tradnl"/>
        </w:rPr>
        <w:t>.</w:t>
      </w:r>
    </w:p>
    <w:p w:rsidR="007B6CFC" w:rsidRPr="00B50904" w:rsidRDefault="007B6CFC" w:rsidP="007B6CFC">
      <w:pPr>
        <w:spacing w:after="100" w:line="276" w:lineRule="auto"/>
        <w:rPr>
          <w:rFonts w:cs="Arial"/>
          <w:color w:val="FF0000"/>
          <w:sz w:val="18"/>
          <w:szCs w:val="18"/>
        </w:rPr>
      </w:pPr>
    </w:p>
    <w:p w:rsidR="007B6CFC"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BE3D6C">
        <w:rPr>
          <w:rFonts w:cs="Arial"/>
          <w:sz w:val="18"/>
          <w:szCs w:val="18"/>
        </w:rPr>
        <w:t>ejercicio de</w:t>
      </w:r>
      <w:r w:rsidRPr="0068198F">
        <w:rPr>
          <w:rFonts w:cs="Arial"/>
          <w:sz w:val="18"/>
          <w:szCs w:val="18"/>
        </w:rPr>
        <w:t xml:space="preserve"> </w:t>
      </w:r>
      <w:r w:rsidR="00A97589">
        <w:rPr>
          <w:rFonts w:cs="Arial"/>
          <w:sz w:val="18"/>
          <w:szCs w:val="18"/>
        </w:rPr>
        <w:t>919.5</w:t>
      </w:r>
      <w:r w:rsidRPr="0068198F">
        <w:rPr>
          <w:rFonts w:cs="Arial"/>
          <w:sz w:val="18"/>
          <w:szCs w:val="18"/>
        </w:rPr>
        <w:t xml:space="preserve"> los cuales incluyen recursos federales para las Entidades Federativas y los Municipios, y están destinados a un fin específico por concepto de aportaciones, convenios de recursos federales etiquetados y fondos distintos de aportaciones aquellos derivados por la eficiencia en la recaudación los cuales se determinan en ajustes trimestrales.</w:t>
      </w:r>
    </w:p>
    <w:p w:rsidR="00B55FFC" w:rsidRPr="0068198F" w:rsidRDefault="00B55FFC" w:rsidP="00B55FFC">
      <w:pPr>
        <w:spacing w:after="100" w:line="276" w:lineRule="auto"/>
        <w:jc w:val="center"/>
        <w:rPr>
          <w:rFonts w:cs="Arial"/>
          <w:sz w:val="18"/>
          <w:szCs w:val="18"/>
        </w:rPr>
      </w:pPr>
      <w:r>
        <w:rPr>
          <w:noProof/>
          <w:lang w:eastAsia="es-MX"/>
        </w:rPr>
        <w:drawing>
          <wp:inline distT="0" distB="0" distL="0" distR="0" wp14:anchorId="38328113" wp14:editId="69811C79">
            <wp:extent cx="4486275" cy="26003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4C88" w:rsidRDefault="00074C88" w:rsidP="00544C97">
      <w:pPr>
        <w:spacing w:after="100" w:line="276" w:lineRule="auto"/>
        <w:jc w:val="center"/>
        <w:rPr>
          <w:rFonts w:cs="Arial"/>
          <w:color w:val="FF0000"/>
          <w:sz w:val="18"/>
          <w:szCs w:val="18"/>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ECONÓMICA</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0A6C6F" w:rsidRDefault="007B6CFC" w:rsidP="007B6CFC">
      <w:pPr>
        <w:autoSpaceDE w:val="0"/>
        <w:autoSpaceDN w:val="0"/>
        <w:adjustRightInd w:val="0"/>
        <w:spacing w:before="80" w:after="0" w:line="250" w:lineRule="exact"/>
        <w:rPr>
          <w:rFonts w:eastAsia="Calibri" w:cs="Arial"/>
          <w:sz w:val="18"/>
          <w:szCs w:val="18"/>
          <w:lang w:eastAsia="en-US"/>
        </w:rPr>
      </w:pPr>
      <w:r w:rsidRPr="000A6C6F">
        <w:rPr>
          <w:rFonts w:eastAsia="Calibri" w:cs="Arial"/>
          <w:sz w:val="18"/>
          <w:szCs w:val="18"/>
          <w:lang w:eastAsia="en-US"/>
        </w:rPr>
        <w:t xml:space="preserve">Al </w:t>
      </w:r>
      <w:r w:rsidR="00F46DD5">
        <w:rPr>
          <w:rFonts w:eastAsia="Calibri" w:cs="Arial"/>
          <w:sz w:val="18"/>
          <w:szCs w:val="18"/>
          <w:lang w:eastAsia="en-US"/>
        </w:rPr>
        <w:t>cierre del primer trimestre del ej</w:t>
      </w:r>
      <w:r w:rsidR="005710EF">
        <w:rPr>
          <w:rFonts w:eastAsia="Calibri" w:cs="Arial"/>
          <w:sz w:val="18"/>
          <w:szCs w:val="18"/>
          <w:lang w:eastAsia="en-US"/>
        </w:rPr>
        <w:t>ercicio</w:t>
      </w:r>
      <w:r w:rsidRPr="000A6C6F">
        <w:rPr>
          <w:rFonts w:eastAsia="Calibri" w:cs="Arial"/>
          <w:sz w:val="18"/>
          <w:szCs w:val="18"/>
          <w:lang w:eastAsia="en-US"/>
        </w:rPr>
        <w:t xml:space="preserve"> 201</w:t>
      </w:r>
      <w:r w:rsidR="00F46DD5">
        <w:rPr>
          <w:rFonts w:eastAsia="Calibri" w:cs="Arial"/>
          <w:sz w:val="18"/>
          <w:szCs w:val="18"/>
          <w:lang w:eastAsia="en-US"/>
        </w:rPr>
        <w:t>9</w:t>
      </w:r>
      <w:r w:rsidRPr="000A6C6F">
        <w:rPr>
          <w:rFonts w:eastAsia="Calibri" w:cs="Arial"/>
          <w:sz w:val="18"/>
          <w:szCs w:val="18"/>
          <w:lang w:eastAsia="en-US"/>
        </w:rPr>
        <w:t xml:space="preserve">, el gasto del sector público presupuestario sumó </w:t>
      </w:r>
      <w:r w:rsidR="007121DA">
        <w:rPr>
          <w:rFonts w:eastAsia="Calibri" w:cs="Arial"/>
          <w:sz w:val="18"/>
          <w:szCs w:val="18"/>
          <w:lang w:eastAsia="en-US"/>
        </w:rPr>
        <w:t>3</w:t>
      </w:r>
      <w:r w:rsidRPr="000A6C6F">
        <w:rPr>
          <w:rFonts w:eastAsia="Calibri" w:cs="Arial"/>
          <w:sz w:val="18"/>
          <w:szCs w:val="18"/>
          <w:lang w:eastAsia="en-US"/>
        </w:rPr>
        <w:t xml:space="preserve"> mil </w:t>
      </w:r>
      <w:r w:rsidR="00E83208">
        <w:rPr>
          <w:rFonts w:eastAsia="Calibri" w:cs="Arial"/>
          <w:sz w:val="18"/>
          <w:szCs w:val="18"/>
          <w:lang w:eastAsia="en-US"/>
        </w:rPr>
        <w:t>692</w:t>
      </w:r>
      <w:r w:rsidRPr="000A6C6F">
        <w:rPr>
          <w:rFonts w:eastAsia="Calibri" w:cs="Arial"/>
          <w:sz w:val="18"/>
          <w:szCs w:val="18"/>
          <w:lang w:eastAsia="en-US"/>
        </w:rPr>
        <w:t>.</w:t>
      </w:r>
      <w:r w:rsidR="00E83208">
        <w:rPr>
          <w:rFonts w:eastAsia="Calibri" w:cs="Arial"/>
          <w:sz w:val="18"/>
          <w:szCs w:val="18"/>
          <w:lang w:eastAsia="en-US"/>
        </w:rPr>
        <w:t>2</w:t>
      </w:r>
      <w:r w:rsidRPr="000A6C6F">
        <w:rPr>
          <w:rFonts w:eastAsia="Calibri" w:cs="Arial"/>
          <w:sz w:val="18"/>
          <w:szCs w:val="18"/>
          <w:lang w:eastAsia="en-US"/>
        </w:rPr>
        <w:t xml:space="preserve"> millones de pesos. El</w:t>
      </w:r>
      <w:r>
        <w:rPr>
          <w:rFonts w:eastAsia="Calibri" w:cs="Arial"/>
          <w:sz w:val="18"/>
          <w:szCs w:val="18"/>
          <w:lang w:eastAsia="en-US"/>
        </w:rPr>
        <w:t xml:space="preserve"> </w:t>
      </w:r>
      <w:r w:rsidRPr="000A6C6F">
        <w:rPr>
          <w:rFonts w:eastAsia="Calibri" w:cs="Arial"/>
          <w:sz w:val="18"/>
          <w:szCs w:val="18"/>
          <w:lang w:eastAsia="en-US"/>
        </w:rPr>
        <w:t>gasto d</w:t>
      </w:r>
      <w:r>
        <w:rPr>
          <w:rFonts w:eastAsia="Calibri" w:cs="Arial"/>
          <w:sz w:val="18"/>
          <w:szCs w:val="18"/>
          <w:lang w:eastAsia="en-US"/>
        </w:rPr>
        <w:t>e</w:t>
      </w:r>
      <w:r w:rsidRPr="00AC1F91">
        <w:t xml:space="preserve"> </w:t>
      </w:r>
      <w:r w:rsidRPr="00AC1F91">
        <w:rPr>
          <w:rFonts w:eastAsia="Calibri" w:cs="Arial"/>
          <w:sz w:val="18"/>
          <w:szCs w:val="18"/>
          <w:lang w:eastAsia="en-US"/>
        </w:rPr>
        <w:t>consumo y/o de operación, el arrendamiento de la propiedad y las transferencias</w:t>
      </w:r>
      <w:r>
        <w:rPr>
          <w:rFonts w:eastAsia="Calibri" w:cs="Arial"/>
          <w:sz w:val="18"/>
          <w:szCs w:val="18"/>
          <w:lang w:eastAsia="en-US"/>
        </w:rPr>
        <w:t xml:space="preserve"> </w:t>
      </w:r>
      <w:r w:rsidRPr="00AC1F91">
        <w:rPr>
          <w:rFonts w:eastAsia="Calibri" w:cs="Arial"/>
          <w:sz w:val="18"/>
          <w:szCs w:val="18"/>
          <w:lang w:eastAsia="en-US"/>
        </w:rPr>
        <w:t>otorgadas a los otros componentes institucionales</w:t>
      </w:r>
      <w:r w:rsidRPr="000A6C6F">
        <w:rPr>
          <w:rFonts w:eastAsia="Calibri" w:cs="Arial"/>
          <w:sz w:val="18"/>
          <w:szCs w:val="18"/>
          <w:lang w:eastAsia="en-US"/>
        </w:rPr>
        <w:t xml:space="preserve"> significó </w:t>
      </w:r>
      <w:r w:rsidR="00C84A11">
        <w:rPr>
          <w:rFonts w:eastAsia="Calibri" w:cs="Arial"/>
          <w:sz w:val="18"/>
          <w:szCs w:val="18"/>
          <w:lang w:eastAsia="en-US"/>
        </w:rPr>
        <w:t>88</w:t>
      </w:r>
      <w:r w:rsidRPr="000A6C6F">
        <w:rPr>
          <w:rFonts w:eastAsia="Calibri" w:cs="Arial"/>
          <w:sz w:val="18"/>
          <w:szCs w:val="18"/>
          <w:lang w:eastAsia="en-US"/>
        </w:rPr>
        <w:t>.</w:t>
      </w:r>
      <w:r w:rsidR="00C84A11">
        <w:rPr>
          <w:rFonts w:eastAsia="Calibri" w:cs="Arial"/>
          <w:sz w:val="18"/>
          <w:szCs w:val="18"/>
          <w:lang w:eastAsia="en-US"/>
        </w:rPr>
        <w:t>5</w:t>
      </w:r>
      <w:r w:rsidRPr="000A6C6F">
        <w:rPr>
          <w:rFonts w:eastAsia="Calibri" w:cs="Arial"/>
          <w:sz w:val="18"/>
          <w:szCs w:val="18"/>
          <w:lang w:eastAsia="en-US"/>
        </w:rPr>
        <w:t xml:space="preserve"> % del total y el restante</w:t>
      </w:r>
      <w:r>
        <w:rPr>
          <w:rFonts w:eastAsia="Calibri" w:cs="Arial"/>
          <w:sz w:val="18"/>
          <w:szCs w:val="18"/>
          <w:lang w:eastAsia="en-US"/>
        </w:rPr>
        <w:t xml:space="preserve"> correspondiente a </w:t>
      </w:r>
      <w:r w:rsidRPr="00052B86">
        <w:rPr>
          <w:rFonts w:eastAsia="Calibri" w:cs="Arial"/>
          <w:sz w:val="18"/>
          <w:szCs w:val="18"/>
          <w:lang w:eastAsia="en-US"/>
        </w:rPr>
        <w:t xml:space="preserve">los gastos destinados a </w:t>
      </w:r>
      <w:r w:rsidR="00C84A11">
        <w:rPr>
          <w:rFonts w:eastAsia="Calibri" w:cs="Arial"/>
          <w:sz w:val="18"/>
          <w:szCs w:val="18"/>
          <w:lang w:eastAsia="en-US"/>
        </w:rPr>
        <w:t xml:space="preserve">Participaciones al cual le corresponde </w:t>
      </w:r>
      <w:r>
        <w:rPr>
          <w:rFonts w:eastAsia="Calibri" w:cs="Arial"/>
          <w:sz w:val="18"/>
          <w:szCs w:val="18"/>
          <w:lang w:eastAsia="en-US"/>
        </w:rPr>
        <w:t xml:space="preserve">el </w:t>
      </w:r>
      <w:r w:rsidR="00C84A11">
        <w:rPr>
          <w:rFonts w:eastAsia="Calibri" w:cs="Arial"/>
          <w:sz w:val="18"/>
          <w:szCs w:val="18"/>
          <w:lang w:eastAsia="en-US"/>
        </w:rPr>
        <w:t>11.5</w:t>
      </w:r>
      <w:r w:rsidRPr="000A6C6F">
        <w:rPr>
          <w:rFonts w:eastAsia="Calibri" w:cs="Arial"/>
          <w:sz w:val="18"/>
          <w:szCs w:val="18"/>
          <w:lang w:eastAsia="en-US"/>
        </w:rPr>
        <w:t xml:space="preserve"> %.</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35546C">
        <w:rPr>
          <w:rFonts w:eastAsia="Calibri" w:cs="Arial"/>
          <w:sz w:val="18"/>
          <w:szCs w:val="18"/>
          <w:lang w:eastAsia="en-US"/>
        </w:rPr>
        <w:t>1</w:t>
      </w:r>
      <w:r w:rsidR="00007386">
        <w:rPr>
          <w:rFonts w:eastAsia="Calibri" w:cs="Arial"/>
          <w:sz w:val="18"/>
          <w:szCs w:val="18"/>
          <w:lang w:eastAsia="en-US"/>
        </w:rPr>
        <w:t>6</w:t>
      </w:r>
      <w:r w:rsidRPr="000A6C6F">
        <w:rPr>
          <w:rFonts w:eastAsia="Calibri" w:cs="Arial"/>
          <w:sz w:val="18"/>
          <w:szCs w:val="18"/>
          <w:lang w:eastAsia="en-US"/>
        </w:rPr>
        <w:t xml:space="preserve"> mil </w:t>
      </w:r>
      <w:r w:rsidR="004F6E54">
        <w:rPr>
          <w:rFonts w:eastAsia="Calibri" w:cs="Arial"/>
          <w:sz w:val="18"/>
          <w:szCs w:val="18"/>
          <w:lang w:eastAsia="en-US"/>
        </w:rPr>
        <w:t>6</w:t>
      </w:r>
      <w:r w:rsidR="00007386">
        <w:rPr>
          <w:rFonts w:eastAsia="Calibri" w:cs="Arial"/>
          <w:sz w:val="18"/>
          <w:szCs w:val="18"/>
          <w:lang w:eastAsia="en-US"/>
        </w:rPr>
        <w:t>68</w:t>
      </w:r>
      <w:r w:rsidRPr="000A6C6F">
        <w:rPr>
          <w:rFonts w:eastAsia="Calibri" w:cs="Arial"/>
          <w:sz w:val="18"/>
          <w:szCs w:val="18"/>
          <w:lang w:eastAsia="en-US"/>
        </w:rPr>
        <w:t>.</w:t>
      </w:r>
      <w:r w:rsidR="00007386">
        <w:rPr>
          <w:rFonts w:eastAsia="Calibri" w:cs="Arial"/>
          <w:sz w:val="18"/>
          <w:szCs w:val="18"/>
          <w:lang w:eastAsia="en-US"/>
        </w:rPr>
        <w:t>4</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007386">
        <w:rPr>
          <w:rFonts w:eastAsia="Calibri" w:cs="Arial"/>
          <w:sz w:val="18"/>
          <w:szCs w:val="18"/>
          <w:lang w:eastAsia="en-US"/>
        </w:rPr>
        <w:t>5</w:t>
      </w:r>
      <w:r w:rsidR="00183C33">
        <w:rPr>
          <w:rFonts w:eastAsia="Calibri" w:cs="Arial"/>
          <w:sz w:val="18"/>
          <w:szCs w:val="18"/>
          <w:lang w:eastAsia="en-US"/>
        </w:rPr>
        <w:t>.</w:t>
      </w:r>
      <w:r w:rsidR="00007386">
        <w:rPr>
          <w:rFonts w:eastAsia="Calibri" w:cs="Arial"/>
          <w:sz w:val="18"/>
          <w:szCs w:val="18"/>
          <w:lang w:eastAsia="en-US"/>
        </w:rPr>
        <w:t>4</w:t>
      </w:r>
      <w:r w:rsidRPr="00A57C29">
        <w:rPr>
          <w:rFonts w:eastAsia="Calibri" w:cs="Arial"/>
          <w:sz w:val="18"/>
          <w:szCs w:val="18"/>
          <w:lang w:eastAsia="en-US"/>
        </w:rPr>
        <w:t xml:space="preserve"> % con relación a lo previsto para este ejercicio. Por su parte, el gasto de inversión registró </w:t>
      </w:r>
      <w:r w:rsidR="001E6926">
        <w:rPr>
          <w:rFonts w:eastAsia="Calibri" w:cs="Arial"/>
          <w:sz w:val="18"/>
          <w:szCs w:val="18"/>
          <w:lang w:eastAsia="en-US"/>
        </w:rPr>
        <w:t>62</w:t>
      </w:r>
      <w:r>
        <w:rPr>
          <w:rFonts w:eastAsia="Calibri" w:cs="Arial"/>
          <w:sz w:val="18"/>
          <w:szCs w:val="18"/>
          <w:lang w:eastAsia="en-US"/>
        </w:rPr>
        <w:t>.</w:t>
      </w:r>
      <w:r w:rsidR="001E6926">
        <w:rPr>
          <w:rFonts w:eastAsia="Calibri" w:cs="Arial"/>
          <w:sz w:val="18"/>
          <w:szCs w:val="18"/>
          <w:lang w:eastAsia="en-US"/>
        </w:rPr>
        <w:t>3</w:t>
      </w:r>
      <w:r w:rsidRPr="00A57C29">
        <w:rPr>
          <w:rFonts w:eastAsia="Calibri" w:cs="Arial"/>
          <w:sz w:val="18"/>
          <w:szCs w:val="18"/>
          <w:lang w:eastAsia="en-US"/>
        </w:rPr>
        <w:t xml:space="preserve"> millones</w:t>
      </w:r>
      <w:r>
        <w:rPr>
          <w:rFonts w:eastAsia="Calibri" w:cs="Arial"/>
          <w:sz w:val="18"/>
          <w:szCs w:val="18"/>
          <w:lang w:eastAsia="en-US"/>
        </w:rPr>
        <w:t xml:space="preserve"> con un incremento de </w:t>
      </w:r>
      <w:r w:rsidR="00835F86">
        <w:rPr>
          <w:rFonts w:eastAsia="Calibri" w:cs="Arial"/>
          <w:sz w:val="18"/>
          <w:szCs w:val="18"/>
          <w:lang w:eastAsia="en-US"/>
        </w:rPr>
        <w:t>6</w:t>
      </w:r>
      <w:r w:rsidR="00183C33">
        <w:rPr>
          <w:rFonts w:eastAsia="Calibri" w:cs="Arial"/>
          <w:sz w:val="18"/>
          <w:szCs w:val="18"/>
          <w:lang w:eastAsia="en-US"/>
        </w:rPr>
        <w:t>.</w:t>
      </w:r>
      <w:r w:rsidR="001E6926">
        <w:rPr>
          <w:rFonts w:eastAsia="Calibri" w:cs="Arial"/>
          <w:sz w:val="18"/>
          <w:szCs w:val="18"/>
          <w:lang w:eastAsia="en-US"/>
        </w:rPr>
        <w:t>2</w:t>
      </w:r>
      <w:r w:rsidR="002D51ED">
        <w:rPr>
          <w:rFonts w:eastAsia="Calibri" w:cs="Arial"/>
          <w:sz w:val="18"/>
          <w:szCs w:val="18"/>
          <w:lang w:eastAsia="en-US"/>
        </w:rPr>
        <w:t xml:space="preserve"> </w:t>
      </w:r>
      <w:r>
        <w:rPr>
          <w:rFonts w:eastAsia="Calibri" w:cs="Arial"/>
          <w:sz w:val="18"/>
          <w:szCs w:val="18"/>
          <w:lang w:eastAsia="en-US"/>
        </w:rPr>
        <w:t>%</w:t>
      </w:r>
      <w:r w:rsidRPr="00A57C29">
        <w:rPr>
          <w:rFonts w:eastAsia="Calibri" w:cs="Arial"/>
          <w:sz w:val="18"/>
          <w:szCs w:val="18"/>
          <w:lang w:eastAsia="en-US"/>
        </w:rPr>
        <w:t>.</w:t>
      </w:r>
    </w:p>
    <w:p w:rsidR="007B6CFC" w:rsidRDefault="007B6CFC" w:rsidP="007B6CFC"/>
    <w:tbl>
      <w:tblPr>
        <w:tblW w:w="12520" w:type="dxa"/>
        <w:jc w:val="center"/>
        <w:tblCellMar>
          <w:left w:w="70" w:type="dxa"/>
          <w:right w:w="70" w:type="dxa"/>
        </w:tblCellMar>
        <w:tblLook w:val="04A0" w:firstRow="1" w:lastRow="0" w:firstColumn="1" w:lastColumn="0" w:noHBand="0" w:noVBand="1"/>
      </w:tblPr>
      <w:tblGrid>
        <w:gridCol w:w="4060"/>
        <w:gridCol w:w="1460"/>
        <w:gridCol w:w="1360"/>
        <w:gridCol w:w="1460"/>
        <w:gridCol w:w="1360"/>
        <w:gridCol w:w="1360"/>
        <w:gridCol w:w="1460"/>
      </w:tblGrid>
      <w:tr w:rsidR="002170EF" w:rsidRPr="002170EF" w:rsidTr="002170EF">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2019</w:t>
            </w:r>
          </w:p>
        </w:tc>
      </w:tr>
      <w:tr w:rsidR="002170EF" w:rsidRPr="002170EF" w:rsidTr="002170EF">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rsidTr="002170EF">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rsidTr="002170EF">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rsidTr="002170EF">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DEL 01 DE ENERO DE 2019 AL 31 DE MARZO DE 2019</w:t>
            </w:r>
          </w:p>
        </w:tc>
      </w:tr>
      <w:tr w:rsidR="002170EF" w:rsidRPr="002170EF" w:rsidTr="002170EF">
        <w:trPr>
          <w:trHeight w:val="285"/>
          <w:jc w:val="center"/>
        </w:trPr>
        <w:tc>
          <w:tcPr>
            <w:tcW w:w="12520" w:type="dxa"/>
            <w:gridSpan w:val="7"/>
            <w:tcBorders>
              <w:top w:val="nil"/>
              <w:left w:val="nil"/>
              <w:bottom w:val="single" w:sz="4" w:space="0" w:color="000000"/>
              <w:right w:val="nil"/>
            </w:tcBorders>
            <w:shd w:val="clear" w:color="auto" w:fill="auto"/>
            <w:vAlign w:val="bottom"/>
            <w:hideMark/>
          </w:tcPr>
          <w:p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rsidTr="002170EF">
        <w:trPr>
          <w:trHeight w:val="402"/>
          <w:jc w:val="center"/>
        </w:trPr>
        <w:tc>
          <w:tcPr>
            <w:tcW w:w="40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rsidTr="002170EF">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2170EF">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2170EF">
        <w:trPr>
          <w:trHeight w:val="402"/>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2170EF" w:rsidRPr="002170EF" w:rsidTr="002170EF">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2170EF" w:rsidRPr="002170EF" w:rsidRDefault="002170EF" w:rsidP="002170EF">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15,811,238,749.77</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857,189,516.65</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16,668,428,266.42</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3,266,470,468.84</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3,264,850,753.36</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13,401,957,797.58</w:t>
            </w:r>
          </w:p>
        </w:tc>
      </w:tr>
      <w:tr w:rsidR="002170EF" w:rsidRPr="002170EF" w:rsidTr="002170EF">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2170EF" w:rsidRPr="002170EF" w:rsidRDefault="002170EF" w:rsidP="002170EF">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997,658,624.21</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62,328,733.92</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1,059,987,358.13</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264,990.01</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264,990.01</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1,059,722,368.12</w:t>
            </w:r>
          </w:p>
        </w:tc>
      </w:tr>
      <w:tr w:rsidR="002170EF" w:rsidRPr="002170EF" w:rsidTr="002170EF">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2170EF" w:rsidRPr="002170EF" w:rsidRDefault="002170EF" w:rsidP="002170EF">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r>
      <w:tr w:rsidR="002170EF" w:rsidRPr="002170EF" w:rsidTr="002170EF">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2170EF" w:rsidRPr="002170EF" w:rsidRDefault="002170EF" w:rsidP="002170EF">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r>
      <w:tr w:rsidR="002170EF" w:rsidRPr="002170EF" w:rsidTr="002170EF">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2170EF" w:rsidRPr="002170EF" w:rsidRDefault="002170EF" w:rsidP="002170EF">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1,896,212,214.93</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1,896,212,214.93</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425,501,248.55</w:t>
            </w:r>
          </w:p>
        </w:tc>
        <w:tc>
          <w:tcPr>
            <w:tcW w:w="13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425,501,248.55</w:t>
            </w:r>
          </w:p>
        </w:tc>
        <w:tc>
          <w:tcPr>
            <w:tcW w:w="1460" w:type="dxa"/>
            <w:tcBorders>
              <w:top w:val="nil"/>
              <w:left w:val="nil"/>
              <w:bottom w:val="single" w:sz="4" w:space="0" w:color="000000"/>
              <w:right w:val="single" w:sz="4" w:space="0" w:color="000000"/>
            </w:tcBorders>
            <w:shd w:val="clear" w:color="auto" w:fill="auto"/>
            <w:vAlign w:val="bottom"/>
            <w:hideMark/>
          </w:tcPr>
          <w:p w:rsidR="002170EF" w:rsidRPr="002170EF" w:rsidRDefault="002170EF" w:rsidP="002170EF">
            <w:pPr>
              <w:spacing w:after="0"/>
              <w:jc w:val="right"/>
              <w:rPr>
                <w:rFonts w:ascii="Calibri" w:hAnsi="Calibri" w:cs="Calibri"/>
                <w:color w:val="000000"/>
                <w:sz w:val="16"/>
                <w:szCs w:val="16"/>
                <w:lang w:eastAsia="es-MX"/>
              </w:rPr>
            </w:pPr>
            <w:r w:rsidRPr="002170EF">
              <w:rPr>
                <w:rFonts w:ascii="Calibri" w:hAnsi="Calibri" w:cs="Calibri"/>
                <w:color w:val="000000"/>
                <w:sz w:val="16"/>
                <w:szCs w:val="16"/>
                <w:lang w:eastAsia="es-MX"/>
              </w:rPr>
              <w:t>1,470,710,966.38</w:t>
            </w:r>
          </w:p>
        </w:tc>
      </w:tr>
      <w:tr w:rsidR="002170EF" w:rsidRPr="002170EF" w:rsidTr="002170EF">
        <w:trPr>
          <w:trHeight w:val="402"/>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2170EF" w:rsidRPr="002170EF" w:rsidRDefault="002170EF" w:rsidP="002170EF">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2170EF" w:rsidRPr="002170EF" w:rsidRDefault="002170EF" w:rsidP="002170EF">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18,705,109,588.91</w:t>
            </w:r>
          </w:p>
        </w:tc>
        <w:tc>
          <w:tcPr>
            <w:tcW w:w="1360" w:type="dxa"/>
            <w:tcBorders>
              <w:top w:val="nil"/>
              <w:left w:val="nil"/>
              <w:bottom w:val="single" w:sz="4" w:space="0" w:color="000000"/>
              <w:right w:val="single" w:sz="4" w:space="0" w:color="000000"/>
            </w:tcBorders>
            <w:shd w:val="clear" w:color="auto" w:fill="auto"/>
            <w:vAlign w:val="center"/>
            <w:hideMark/>
          </w:tcPr>
          <w:p w:rsidR="002170EF" w:rsidRPr="002170EF" w:rsidRDefault="002170EF" w:rsidP="002170EF">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919,518,250.57</w:t>
            </w:r>
          </w:p>
        </w:tc>
        <w:tc>
          <w:tcPr>
            <w:tcW w:w="1460" w:type="dxa"/>
            <w:tcBorders>
              <w:top w:val="nil"/>
              <w:left w:val="nil"/>
              <w:bottom w:val="single" w:sz="4" w:space="0" w:color="000000"/>
              <w:right w:val="single" w:sz="4" w:space="0" w:color="000000"/>
            </w:tcBorders>
            <w:shd w:val="clear" w:color="auto" w:fill="auto"/>
            <w:vAlign w:val="center"/>
            <w:hideMark/>
          </w:tcPr>
          <w:p w:rsidR="002170EF" w:rsidRPr="002170EF" w:rsidRDefault="002170EF" w:rsidP="002170EF">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19,624,627,839.48</w:t>
            </w:r>
          </w:p>
        </w:tc>
        <w:tc>
          <w:tcPr>
            <w:tcW w:w="1360" w:type="dxa"/>
            <w:tcBorders>
              <w:top w:val="nil"/>
              <w:left w:val="nil"/>
              <w:bottom w:val="single" w:sz="4" w:space="0" w:color="000000"/>
              <w:right w:val="single" w:sz="4" w:space="0" w:color="000000"/>
            </w:tcBorders>
            <w:shd w:val="clear" w:color="auto" w:fill="auto"/>
            <w:vAlign w:val="center"/>
            <w:hideMark/>
          </w:tcPr>
          <w:p w:rsidR="002170EF" w:rsidRPr="002170EF" w:rsidRDefault="002170EF" w:rsidP="002170EF">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3,692,236,707.40</w:t>
            </w:r>
          </w:p>
        </w:tc>
        <w:tc>
          <w:tcPr>
            <w:tcW w:w="1360" w:type="dxa"/>
            <w:tcBorders>
              <w:top w:val="nil"/>
              <w:left w:val="nil"/>
              <w:bottom w:val="single" w:sz="4" w:space="0" w:color="000000"/>
              <w:right w:val="single" w:sz="4" w:space="0" w:color="000000"/>
            </w:tcBorders>
            <w:shd w:val="clear" w:color="auto" w:fill="auto"/>
            <w:vAlign w:val="center"/>
            <w:hideMark/>
          </w:tcPr>
          <w:p w:rsidR="002170EF" w:rsidRPr="002170EF" w:rsidRDefault="002170EF" w:rsidP="002170EF">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3,690,616,991.92</w:t>
            </w:r>
          </w:p>
        </w:tc>
        <w:tc>
          <w:tcPr>
            <w:tcW w:w="1460" w:type="dxa"/>
            <w:tcBorders>
              <w:top w:val="nil"/>
              <w:left w:val="nil"/>
              <w:bottom w:val="single" w:sz="4" w:space="0" w:color="000000"/>
              <w:right w:val="single" w:sz="4" w:space="0" w:color="000000"/>
            </w:tcBorders>
            <w:shd w:val="clear" w:color="auto" w:fill="auto"/>
            <w:vAlign w:val="center"/>
            <w:hideMark/>
          </w:tcPr>
          <w:p w:rsidR="002170EF" w:rsidRPr="002170EF" w:rsidRDefault="002170EF" w:rsidP="002170EF">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15,932,391,132.08</w:t>
            </w:r>
          </w:p>
        </w:tc>
      </w:tr>
    </w:tbl>
    <w:p w:rsidR="002170EF" w:rsidRDefault="002170EF" w:rsidP="007B6CFC"/>
    <w:p w:rsidR="002170EF" w:rsidRDefault="002170EF" w:rsidP="007B6CFC"/>
    <w:p w:rsidR="002170EF" w:rsidRDefault="002170EF" w:rsidP="007B6CFC"/>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rsidR="007B6CFC" w:rsidRDefault="007B6CFC" w:rsidP="007B6CFC">
      <w:pPr>
        <w:spacing w:after="0" w:line="250" w:lineRule="exact"/>
        <w:rPr>
          <w:rFonts w:cs="Arial"/>
          <w:sz w:val="18"/>
          <w:szCs w:val="18"/>
        </w:rPr>
      </w:pPr>
      <w:r w:rsidRPr="00BC1D48">
        <w:rPr>
          <w:rFonts w:cs="Arial"/>
          <w:sz w:val="18"/>
          <w:szCs w:val="18"/>
        </w:rPr>
        <w:t xml:space="preserve">En el ejercicio de los recursos les corresponde al Poder Legislativo </w:t>
      </w:r>
      <w:r w:rsidR="00266D7F">
        <w:rPr>
          <w:rFonts w:cs="Arial"/>
          <w:sz w:val="18"/>
          <w:szCs w:val="18"/>
        </w:rPr>
        <w:t>2</w:t>
      </w:r>
      <w:r w:rsidRPr="00BC1D48">
        <w:rPr>
          <w:rFonts w:cs="Arial"/>
          <w:sz w:val="18"/>
          <w:szCs w:val="18"/>
        </w:rPr>
        <w:t>.</w:t>
      </w:r>
      <w:r w:rsidR="00266D7F">
        <w:rPr>
          <w:rFonts w:cs="Arial"/>
          <w:sz w:val="18"/>
          <w:szCs w:val="18"/>
        </w:rPr>
        <w:t>7</w:t>
      </w:r>
      <w:r>
        <w:rPr>
          <w:rFonts w:cs="Arial"/>
          <w:sz w:val="18"/>
          <w:szCs w:val="18"/>
        </w:rPr>
        <w:t xml:space="preserve"> </w:t>
      </w:r>
      <w:r w:rsidRPr="00BC1D48">
        <w:rPr>
          <w:rFonts w:cs="Arial"/>
          <w:sz w:val="18"/>
          <w:szCs w:val="18"/>
        </w:rPr>
        <w:t>%; Poder Judicial 1.</w:t>
      </w:r>
      <w:r w:rsidR="00266D7F">
        <w:rPr>
          <w:rFonts w:cs="Arial"/>
          <w:sz w:val="18"/>
          <w:szCs w:val="18"/>
        </w:rPr>
        <w:t>7</w:t>
      </w:r>
      <w:r>
        <w:rPr>
          <w:rFonts w:cs="Arial"/>
          <w:sz w:val="18"/>
          <w:szCs w:val="18"/>
        </w:rPr>
        <w:t xml:space="preserve"> </w:t>
      </w:r>
      <w:r w:rsidRPr="00BC1D48">
        <w:rPr>
          <w:rFonts w:cs="Arial"/>
          <w:sz w:val="18"/>
          <w:szCs w:val="18"/>
        </w:rPr>
        <w:t xml:space="preserve">%; órganos autónomos </w:t>
      </w:r>
      <w:r w:rsidR="009C52A5">
        <w:rPr>
          <w:rFonts w:cs="Arial"/>
          <w:sz w:val="18"/>
          <w:szCs w:val="18"/>
        </w:rPr>
        <w:t>7</w:t>
      </w:r>
      <w:r>
        <w:rPr>
          <w:rFonts w:cs="Arial"/>
          <w:sz w:val="18"/>
          <w:szCs w:val="18"/>
        </w:rPr>
        <w:t>.</w:t>
      </w:r>
      <w:r w:rsidR="009C52A5">
        <w:rPr>
          <w:rFonts w:cs="Arial"/>
          <w:sz w:val="18"/>
          <w:szCs w:val="18"/>
        </w:rPr>
        <w:t>4</w:t>
      </w:r>
      <w:r>
        <w:rPr>
          <w:rFonts w:cs="Arial"/>
          <w:sz w:val="18"/>
          <w:szCs w:val="18"/>
        </w:rPr>
        <w:t xml:space="preserve"> </w:t>
      </w:r>
      <w:r w:rsidRPr="00BC1D48">
        <w:rPr>
          <w:rFonts w:cs="Arial"/>
          <w:sz w:val="18"/>
          <w:szCs w:val="18"/>
        </w:rPr>
        <w:t xml:space="preserve">%; Municipios </w:t>
      </w:r>
      <w:r w:rsidR="009C52A5">
        <w:rPr>
          <w:rFonts w:cs="Arial"/>
          <w:sz w:val="18"/>
          <w:szCs w:val="18"/>
        </w:rPr>
        <w:t>24</w:t>
      </w:r>
      <w:r w:rsidR="00371B89">
        <w:rPr>
          <w:rFonts w:cs="Arial"/>
          <w:sz w:val="18"/>
          <w:szCs w:val="18"/>
        </w:rPr>
        <w:t>.</w:t>
      </w:r>
      <w:r w:rsidR="006E10A4">
        <w:rPr>
          <w:rFonts w:cs="Arial"/>
          <w:sz w:val="18"/>
          <w:szCs w:val="18"/>
        </w:rPr>
        <w:t>1</w:t>
      </w:r>
      <w:r>
        <w:rPr>
          <w:rFonts w:cs="Arial"/>
          <w:sz w:val="18"/>
          <w:szCs w:val="18"/>
        </w:rPr>
        <w:t xml:space="preserve"> %</w:t>
      </w:r>
      <w:r w:rsidRPr="00BC1D48">
        <w:rPr>
          <w:rFonts w:cs="Arial"/>
          <w:sz w:val="18"/>
          <w:szCs w:val="18"/>
        </w:rPr>
        <w:t xml:space="preserve"> y el restante </w:t>
      </w:r>
      <w:r w:rsidR="009C52A5">
        <w:rPr>
          <w:rFonts w:cs="Arial"/>
          <w:sz w:val="18"/>
          <w:szCs w:val="18"/>
        </w:rPr>
        <w:t>6</w:t>
      </w:r>
      <w:r w:rsidR="006E10A4">
        <w:rPr>
          <w:rFonts w:cs="Arial"/>
          <w:sz w:val="18"/>
          <w:szCs w:val="18"/>
        </w:rPr>
        <w:t>4</w:t>
      </w:r>
      <w:r w:rsidR="009C52A5">
        <w:rPr>
          <w:rFonts w:cs="Arial"/>
          <w:sz w:val="18"/>
          <w:szCs w:val="18"/>
        </w:rPr>
        <w:t>.</w:t>
      </w:r>
      <w:r w:rsidR="006E10A4">
        <w:rPr>
          <w:rFonts w:cs="Arial"/>
          <w:sz w:val="18"/>
          <w:szCs w:val="18"/>
        </w:rPr>
        <w:t>1</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rsidR="00C92C73" w:rsidRDefault="00C92C73" w:rsidP="007B6CFC">
      <w:pPr>
        <w:spacing w:after="0" w:line="250" w:lineRule="exact"/>
        <w:rPr>
          <w:rFonts w:cs="Arial"/>
          <w:sz w:val="18"/>
          <w:szCs w:val="18"/>
        </w:rPr>
      </w:pPr>
    </w:p>
    <w:tbl>
      <w:tblPr>
        <w:tblW w:w="13180" w:type="dxa"/>
        <w:jc w:val="center"/>
        <w:tblCellMar>
          <w:left w:w="70" w:type="dxa"/>
          <w:right w:w="70" w:type="dxa"/>
        </w:tblCellMar>
        <w:tblLook w:val="04A0" w:firstRow="1" w:lastRow="0" w:firstColumn="1" w:lastColumn="0" w:noHBand="0" w:noVBand="1"/>
      </w:tblPr>
      <w:tblGrid>
        <w:gridCol w:w="4800"/>
        <w:gridCol w:w="1460"/>
        <w:gridCol w:w="1280"/>
        <w:gridCol w:w="1460"/>
        <w:gridCol w:w="1360"/>
        <w:gridCol w:w="1360"/>
        <w:gridCol w:w="1460"/>
      </w:tblGrid>
      <w:tr w:rsidR="00C92C73" w:rsidRPr="00C92C73" w:rsidTr="00A82609">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rsidTr="00A82609">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rsidTr="00A82609">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rsidTr="00A82609">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DEL 01 DE ENERO DE 2019 AL 31 DE MARZO DE 2019</w:t>
            </w:r>
          </w:p>
        </w:tc>
      </w:tr>
      <w:tr w:rsidR="00C92C73" w:rsidRPr="00C92C73" w:rsidTr="00A82609">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rsidTr="00A82609">
        <w:trPr>
          <w:trHeight w:val="402"/>
          <w:tblHeader/>
          <w:jc w:val="center"/>
        </w:trPr>
        <w:tc>
          <w:tcPr>
            <w:tcW w:w="480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rsidTr="00A82609">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A82609">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A82609">
        <w:trPr>
          <w:trHeight w:val="402"/>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PODER LEGISLATIVO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307,504,800.00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26,687,722.00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334,192,522.00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100,213,922.00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100,213,922.00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233,978,600.00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PODER JUDICIAL</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294,954,131.58</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294,954,131.58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65,253,789.06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65,253,789.06</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229,700,342.52</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 xml:space="preserve">UNIVERSIDAD </w:t>
            </w:r>
            <w:r w:rsidR="00BD19F8" w:rsidRPr="00C92C73">
              <w:rPr>
                <w:rFonts w:ascii="Calibri" w:hAnsi="Calibri" w:cs="Calibri"/>
                <w:color w:val="000000"/>
                <w:sz w:val="16"/>
                <w:szCs w:val="16"/>
                <w:lang w:eastAsia="es-MX"/>
              </w:rPr>
              <w:t>AUTÓNOMA</w:t>
            </w:r>
            <w:r w:rsidRPr="00C92C73">
              <w:rPr>
                <w:rFonts w:ascii="Calibri" w:hAnsi="Calibri" w:cs="Calibri"/>
                <w:color w:val="000000"/>
                <w:sz w:val="16"/>
                <w:szCs w:val="16"/>
                <w:lang w:eastAsia="es-MX"/>
              </w:rPr>
              <w:t xml:space="preserve">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103,422,984.80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193,990,049.00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297,413,033.80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219,845,795.00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219,845,795.00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77,567,238.80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80,586,408.85</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374,115.90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80,960,524.75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17,251,089.63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17,201,023.40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63,709,435.12</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682,223,149.45</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3,311,805.10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685,534,954.55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121,421,394.46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121,189,316.02</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564,113,560.09</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173,340,680.00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-523,892.13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172,816,787.87</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31,140,530.77</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30,865,682.80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141,676,257.10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161,338,071.72</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161,338,071.72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31,128,924.77</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31,019,984.75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130,209,146.95</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PLANEACIÓN Y FINANZAS</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1,710,610,936.30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595,026,584.25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2,305,637,520.55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34,362,911.20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34,123,543.84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2,271,274,609.35</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3,320,166,077.27</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88,362,245.23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3,408,528,322.50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888,190,573.01</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888,190,573.01</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2,520,337,749.49</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48,215,394.00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250,181.60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48,465,575.60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4,646,330.03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4,632,928.50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43,819,245.57</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34,071,668.62</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190,013.46</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34,261,682.08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6,335,381.86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6,307,805.74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27,926,300.22</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OBRAS PÚBLICAS DESARROLLO URBANO Y VIVIENDA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638,699,825.68</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68,591,533.00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707,291,358.68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11,868,231.64</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11,785,232.24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695,423,127.04</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1,042,403,112.50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1,042,403,112.50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174,487,713.92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174,132,377.50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867,915,398.58</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COMUNICACIONES Y TRANSPORTES</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99,798,718.00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16,244.64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99,814,962.64</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15,213,887.63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15,117,433.82</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84,601,075.01</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O.P.D SALUD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1,912,819,260.13</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19,859,294.50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1,932,678,554.63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542,925,032.10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542,925,032.10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1,389,753,522.53</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CONTRALORÍA DEL EJECUTIVO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31,171,903.70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5,558,813.33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36,730,717.03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7,969,040.54</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7,969,040.54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28,761,676.49</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FOMENTO AGROPECUARIO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204,374,335.00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1,603,585.08</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205,977,920.08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7,031,418.65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7,031,418.65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198,946,501.43</w:t>
            </w:r>
          </w:p>
        </w:tc>
      </w:tr>
      <w:tr w:rsidR="00C92C73" w:rsidRPr="00C92C73" w:rsidTr="00A8260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37,558,515.00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37,558,515.00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4,922,022.15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4,876,510.90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32,636,492.85</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25,653,209.00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7,148.73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25,660,357.73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4,503,846.67</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4,425,148.93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21,156,511.06</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GENERAL DE ECOLOGÍA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70,248,354.00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70,248,354.00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11,565,730.90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11,552,554.59</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58,682,623.10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21,866,660.40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21,866,660.40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7,018,458.56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7,018,458.56</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14,848,201.84</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80,000,000.00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4,605,886.78</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84,605,886.78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33,413,499.00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33,413,499.00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51,192,387.78</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9,740,072.17</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9,740,072.17</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1,155,827.43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1,155,827.43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8,584,244.74</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3,545,000.00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3,545,000.00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822,864.50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822,864.50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2,722,135.50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179,600,764.87</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11,791,990.24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191,392,755.11</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2,269,975.76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2,269,975.76</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189,122,779.35</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5,578,794.00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5,578,794.00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1,359,070.13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1,359,070.13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4,219,723.87</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4,138,000.00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4,138,000.00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791,589.00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791,589.00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3,346,411.00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11,462,870.00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20,164.19</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11,483,034.19</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2,278,270.87</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2,278,270.87</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9,204,763.32</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28,740,682.00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28,740,682.00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5,584,519.01</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5,584,519.01</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23,156,162.99</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2,313,668.91</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2,313,668.91</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413,738.48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413,738.48</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1,899,930.43</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CULTURA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38,483,851.00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-71,465.65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38,412,385.35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8,222,370.63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8,222,370.63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30,190,014.72</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20,705,666.56</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123,456.00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20,829,122.56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5,317,385.45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5,317,385.45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15,511,737.11</w:t>
            </w:r>
          </w:p>
        </w:tc>
      </w:tr>
      <w:tr w:rsidR="00C92C73" w:rsidRPr="00C92C73" w:rsidTr="00A8260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1,340,870.00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1,340,870.00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338,460.00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338,460.00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1,002,410.00</w:t>
            </w:r>
          </w:p>
        </w:tc>
      </w:tr>
      <w:tr w:rsidR="00C92C73" w:rsidRPr="00C92C73" w:rsidTr="00A8260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217,131,015.41</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3,385,751.42</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220,516,766.83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45,752,750.89</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45,752,750.89</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174,764,015.94</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249,793,721.68</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10,765,268.88</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260,558,990.56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65,117,054.81</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65,117,054.81</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195,441,935.75</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197,898,577.42</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2,188,773.76</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200,087,351.18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39,353,760.40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39,353,760.40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160,733,590.78</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POLITÉCNICA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52,306,000.00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4,948,706.00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57,254,706.00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17,025,212.00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17,025,212.00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40,229,494.00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TECNOLÓGICO SUPERIOR DE TLAXCO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11,127,510.95</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-97,930.91</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11,029,580.04</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2,668,446.52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2,668,446.52</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8,361,133.52</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36,054,000.00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8,671,501.85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44,725,501.85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16,559,538.52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16,559,538.52</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28,165,963.33</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55,405,983.78</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1,906,305.40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57,312,289.18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17,316,409.00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17,316,409.00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39,995,880.18</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8,660,100.00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8,660,100.00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1,212,849.15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1,212,849.15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7,447,250.85</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15,607,698.80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80,409.74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15,688,108.54</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3,623,656.05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3,623,656.05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12,064,452.49</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11,388,966.00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11,388,966.00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1,389,048.93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1,387,786.05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9,999,917.07</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194,689,398.75</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3,441,010.57</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198,130,409.32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47,875,335.00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47,875,335.00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150,255,074.32</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8,708,142.00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8,708,142.00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2,082,621.25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2,082,621.25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6,625,520.75</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29,809,800.00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11,472.43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29,821,272.43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3,917,480.70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3,917,480.70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25,903,791.73</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2,548,668.00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2,548,668.00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486,382.61</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486,382.61</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2,062,285.39</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3,052,300.00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3,052,300.00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820,372.00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820,372.00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2,231,928.00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8,494,351.56</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8,494,351.56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1,739,630.15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1,739,630.15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6,754,721.41</w:t>
            </w:r>
          </w:p>
        </w:tc>
      </w:tr>
      <w:tr w:rsidR="00C92C73" w:rsidRPr="00C92C73" w:rsidTr="00A8260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30,909,000.00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1,809,386.35</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32,718,386.35</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8,331,992.82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8,331,992.82</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24,386,393.53</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5,644,677,003.55</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-404,687,056.36</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5,239,989,947.19</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660,977,279.26</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660,977,279.26</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4,579,012,667.93</w:t>
            </w:r>
          </w:p>
        </w:tc>
      </w:tr>
      <w:tr w:rsidR="00C92C73" w:rsidRPr="00C92C73" w:rsidTr="00A8260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58,618,028.02</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331,359.88</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58,949,387.90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16,767,789.97</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16,767,789.97</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42,181,597.93</w:t>
            </w:r>
          </w:p>
        </w:tc>
      </w:tr>
      <w:tr w:rsidR="00C92C73" w:rsidRPr="00C92C73" w:rsidTr="00A8260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13,247,826.10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755,156.14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14,002,982.24</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3,810,957.80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3,810,957.80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10,192,024.44</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13,528,325.40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13,528,325.40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3,204,325.40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3,204,325.40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10,324,000.00</w:t>
            </w:r>
          </w:p>
        </w:tc>
      </w:tr>
      <w:tr w:rsidR="00C92C73" w:rsidRPr="00C92C73" w:rsidTr="00A8260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21,404,948.00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21,404,948.00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9,843,045.54</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9,843,045.54</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11,561,902.46</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COMISIÓN ESTATAL DE AGUA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15,100,000.00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15,100,000.00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4,770,576.00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4,770,576.00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10,329,424.00</w:t>
            </w:r>
          </w:p>
        </w:tc>
      </w:tr>
      <w:tr w:rsidR="00C92C73" w:rsidRPr="00C92C73" w:rsidTr="00A82609">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47,088,305.73</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-6,406,646.63</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40,681,659.10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10,014,640.00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10,014,640.00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30,667,019.10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7,810,000.00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1,739,015.22</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9,549,015.22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3,597,624.22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3,597,624.22</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5,951,391.00</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lastRenderedPageBreak/>
              <w:t>RÉGIMEN ESTATAL DE PROTECCIÓN SOCIAL EN SALUD EN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315,909,000.00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270,820,731.58</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586,729,731.58</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324,797,600.31</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324,797,600.31</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261,932,131.27</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25,290,600.00</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79,560.00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25,370,160.00</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6,073,450.81</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6,073,450.81</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19,296,709.19</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 xml:space="preserve">CASA DE LAS </w:t>
            </w:r>
            <w:r w:rsidR="00BD19F8" w:rsidRPr="00C92C73">
              <w:rPr>
                <w:rFonts w:ascii="Calibri" w:hAnsi="Calibri" w:cs="Calibri"/>
                <w:color w:val="000000"/>
                <w:sz w:val="16"/>
                <w:szCs w:val="16"/>
                <w:lang w:eastAsia="es-MX"/>
              </w:rPr>
              <w:t>ARTESANÍAS</w:t>
            </w:r>
            <w:r w:rsidRPr="00C92C73">
              <w:rPr>
                <w:rFonts w:ascii="Calibri" w:hAnsi="Calibri" w:cs="Calibri"/>
                <w:color w:val="000000"/>
                <w:sz w:val="16"/>
                <w:szCs w:val="16"/>
                <w:lang w:eastAsia="es-MX"/>
              </w:rPr>
              <w:t xml:space="preserve"> DE TLAXCALA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11,136,352.43</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11,136,352.43</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2,407,646.59</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2,407,646.59</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8,728,705.84</w:t>
            </w:r>
          </w:p>
        </w:tc>
      </w:tr>
      <w:tr w:rsidR="00C92C73" w:rsidRPr="00C92C73" w:rsidTr="00A82609">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bottom"/>
            <w:hideMark/>
          </w:tcPr>
          <w:p w:rsidR="00C92C73" w:rsidRPr="00C92C73" w:rsidRDefault="00C92C73" w:rsidP="00C92C73">
            <w:pPr>
              <w:spacing w:after="0"/>
              <w:jc w:val="left"/>
              <w:rPr>
                <w:rFonts w:ascii="Calibri" w:hAnsi="Calibri" w:cs="Calibri"/>
                <w:color w:val="000000"/>
                <w:sz w:val="16"/>
                <w:szCs w:val="16"/>
                <w:lang w:eastAsia="es-MX"/>
              </w:rPr>
            </w:pPr>
            <w:r w:rsidRPr="00C92C73">
              <w:rPr>
                <w:rFonts w:ascii="Calibri" w:hAnsi="Calibri" w:cs="Calibri"/>
                <w:color w:val="000000"/>
                <w:sz w:val="16"/>
                <w:szCs w:val="16"/>
                <w:lang w:eastAsia="es-MX"/>
              </w:rPr>
              <w:t>SECRETARÍA DE POLÍTICAS PÚBLICAS Y PARTICIPACIÓN CIUDADANA</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11,035,529.82</w:t>
            </w:r>
          </w:p>
        </w:tc>
        <w:tc>
          <w:tcPr>
            <w:tcW w:w="128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0.00</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11,035,529.82</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1,435,635.89</w:t>
            </w:r>
          </w:p>
        </w:tc>
        <w:tc>
          <w:tcPr>
            <w:tcW w:w="13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1,435,635.89</w:t>
            </w:r>
          </w:p>
        </w:tc>
        <w:tc>
          <w:tcPr>
            <w:tcW w:w="1460" w:type="dxa"/>
            <w:tcBorders>
              <w:top w:val="nil"/>
              <w:left w:val="nil"/>
              <w:bottom w:val="single" w:sz="4" w:space="0" w:color="000000"/>
              <w:right w:val="single" w:sz="4" w:space="0" w:color="000000"/>
            </w:tcBorders>
            <w:shd w:val="clear" w:color="auto" w:fill="auto"/>
            <w:vAlign w:val="bottom"/>
            <w:hideMark/>
          </w:tcPr>
          <w:p w:rsidR="00C92C73" w:rsidRPr="00C92C73" w:rsidRDefault="00C92C73" w:rsidP="00C92C73">
            <w:pPr>
              <w:spacing w:after="0"/>
              <w:jc w:val="right"/>
              <w:rPr>
                <w:rFonts w:ascii="Calibri" w:hAnsi="Calibri" w:cs="Calibri"/>
                <w:color w:val="000000"/>
                <w:sz w:val="16"/>
                <w:szCs w:val="16"/>
                <w:lang w:eastAsia="es-MX"/>
              </w:rPr>
            </w:pPr>
            <w:r w:rsidRPr="00C92C73">
              <w:rPr>
                <w:rFonts w:ascii="Calibri" w:hAnsi="Calibri" w:cs="Calibri"/>
                <w:color w:val="000000"/>
                <w:sz w:val="16"/>
                <w:szCs w:val="16"/>
                <w:lang w:eastAsia="es-MX"/>
              </w:rPr>
              <w:t>9,599,893.93</w:t>
            </w:r>
          </w:p>
        </w:tc>
      </w:tr>
      <w:tr w:rsidR="00C92C73" w:rsidRPr="00C92C73" w:rsidTr="00A82609">
        <w:trPr>
          <w:trHeight w:val="402"/>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C92C73" w:rsidRPr="00C92C73" w:rsidRDefault="00C92C73" w:rsidP="00C92C73">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C92C73" w:rsidRPr="00C92C73" w:rsidRDefault="00C92C73" w:rsidP="00C92C73">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18,705,109,588.91</w:t>
            </w:r>
          </w:p>
        </w:tc>
        <w:tc>
          <w:tcPr>
            <w:tcW w:w="1280" w:type="dxa"/>
            <w:tcBorders>
              <w:top w:val="nil"/>
              <w:left w:val="nil"/>
              <w:bottom w:val="single" w:sz="4" w:space="0" w:color="000000"/>
              <w:right w:val="single" w:sz="4" w:space="0" w:color="000000"/>
            </w:tcBorders>
            <w:shd w:val="clear" w:color="auto" w:fill="auto"/>
            <w:vAlign w:val="center"/>
            <w:hideMark/>
          </w:tcPr>
          <w:p w:rsidR="00C92C73" w:rsidRPr="00C92C73" w:rsidRDefault="00C92C73" w:rsidP="00C92C73">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919,518,250.57</w:t>
            </w:r>
          </w:p>
        </w:tc>
        <w:tc>
          <w:tcPr>
            <w:tcW w:w="1460" w:type="dxa"/>
            <w:tcBorders>
              <w:top w:val="nil"/>
              <w:left w:val="nil"/>
              <w:bottom w:val="single" w:sz="4" w:space="0" w:color="000000"/>
              <w:right w:val="single" w:sz="4" w:space="0" w:color="000000"/>
            </w:tcBorders>
            <w:shd w:val="clear" w:color="auto" w:fill="auto"/>
            <w:vAlign w:val="center"/>
            <w:hideMark/>
          </w:tcPr>
          <w:p w:rsidR="00C92C73" w:rsidRPr="00C92C73" w:rsidRDefault="00C92C73" w:rsidP="00C92C73">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19,624,627,839.48</w:t>
            </w:r>
          </w:p>
        </w:tc>
        <w:tc>
          <w:tcPr>
            <w:tcW w:w="1360" w:type="dxa"/>
            <w:tcBorders>
              <w:top w:val="nil"/>
              <w:left w:val="nil"/>
              <w:bottom w:val="single" w:sz="4" w:space="0" w:color="000000"/>
              <w:right w:val="single" w:sz="4" w:space="0" w:color="000000"/>
            </w:tcBorders>
            <w:shd w:val="clear" w:color="auto" w:fill="auto"/>
            <w:vAlign w:val="center"/>
            <w:hideMark/>
          </w:tcPr>
          <w:p w:rsidR="00C92C73" w:rsidRPr="00C92C73" w:rsidRDefault="00C92C73" w:rsidP="00C92C73">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3,692,236,707.40</w:t>
            </w:r>
          </w:p>
        </w:tc>
        <w:tc>
          <w:tcPr>
            <w:tcW w:w="1360" w:type="dxa"/>
            <w:tcBorders>
              <w:top w:val="nil"/>
              <w:left w:val="nil"/>
              <w:bottom w:val="single" w:sz="4" w:space="0" w:color="000000"/>
              <w:right w:val="single" w:sz="4" w:space="0" w:color="000000"/>
            </w:tcBorders>
            <w:shd w:val="clear" w:color="auto" w:fill="auto"/>
            <w:vAlign w:val="center"/>
            <w:hideMark/>
          </w:tcPr>
          <w:p w:rsidR="00C92C73" w:rsidRPr="00C92C73" w:rsidRDefault="00C92C73" w:rsidP="00C92C73">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3,690,616,991.92</w:t>
            </w:r>
          </w:p>
        </w:tc>
        <w:tc>
          <w:tcPr>
            <w:tcW w:w="1460" w:type="dxa"/>
            <w:tcBorders>
              <w:top w:val="nil"/>
              <w:left w:val="nil"/>
              <w:bottom w:val="single" w:sz="4" w:space="0" w:color="000000"/>
              <w:right w:val="single" w:sz="4" w:space="0" w:color="000000"/>
            </w:tcBorders>
            <w:shd w:val="clear" w:color="auto" w:fill="auto"/>
            <w:vAlign w:val="center"/>
            <w:hideMark/>
          </w:tcPr>
          <w:p w:rsidR="00C92C73" w:rsidRPr="00C92C73" w:rsidRDefault="00C92C73" w:rsidP="00C92C73">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15,932,391,132.08</w:t>
            </w:r>
          </w:p>
        </w:tc>
      </w:tr>
    </w:tbl>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Pr="00BC1D48" w:rsidRDefault="00C92C73" w:rsidP="007B6CFC">
      <w:pPr>
        <w:spacing w:after="0" w:line="250" w:lineRule="exact"/>
        <w:rPr>
          <w:rFonts w:cs="Arial"/>
          <w:sz w:val="18"/>
          <w:szCs w:val="18"/>
        </w:rPr>
      </w:pPr>
    </w:p>
    <w:p w:rsidR="007B6CFC" w:rsidRDefault="007B6CF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F677A6" w:rsidRDefault="00F677A6" w:rsidP="007B6CFC">
      <w:pPr>
        <w:spacing w:after="0" w:line="250" w:lineRule="exact"/>
      </w:pPr>
    </w:p>
    <w:p w:rsidR="00F677A6" w:rsidRDefault="00F677A6" w:rsidP="007B6CFC">
      <w:pPr>
        <w:spacing w:after="0" w:line="250" w:lineRule="exact"/>
      </w:pPr>
    </w:p>
    <w:p w:rsidR="007B6CFC" w:rsidRDefault="007B6CFC" w:rsidP="007B6CFC">
      <w:pPr>
        <w:spacing w:after="0" w:line="250" w:lineRule="exact"/>
      </w:pPr>
    </w:p>
    <w:p w:rsidR="007B6CFC" w:rsidRDefault="007B6CFC" w:rsidP="007B6CFC">
      <w:pPr>
        <w:spacing w:after="0" w:line="250" w:lineRule="exact"/>
      </w:pPr>
    </w:p>
    <w:p w:rsidR="007B6CFC" w:rsidRDefault="007B6CFC" w:rsidP="007B6CFC"/>
    <w:p w:rsidR="007B6CFC" w:rsidRPr="001E4968" w:rsidRDefault="007B6CFC" w:rsidP="00EF7B1E">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GASTO PROGRAMABLE EN CLASIFICACIÓN FUNCIONAL</w:t>
      </w:r>
    </w:p>
    <w:p w:rsidR="007B6CFC" w:rsidRDefault="007B6CFC" w:rsidP="007B6CFC">
      <w:pPr>
        <w:autoSpaceDE w:val="0"/>
        <w:autoSpaceDN w:val="0"/>
        <w:adjustRightInd w:val="0"/>
        <w:spacing w:before="80" w:after="0" w:line="250" w:lineRule="exact"/>
        <w:rPr>
          <w:rFonts w:eastAsia="Calibri" w:cs="Arial"/>
          <w:sz w:val="18"/>
          <w:szCs w:val="18"/>
          <w:lang w:eastAsia="en-US"/>
        </w:rPr>
      </w:pPr>
      <w:r w:rsidRPr="00233FD5">
        <w:rPr>
          <w:rFonts w:cs="Arial"/>
          <w:color w:val="000000"/>
          <w:sz w:val="18"/>
          <w:szCs w:val="18"/>
          <w:lang w:val="es-ES_tradnl"/>
        </w:rPr>
        <w:t>La distribución funcional del gasto, muestra que conforme a las prioridades establecidas</w:t>
      </w:r>
      <w:r w:rsidRPr="00233FD5">
        <w:rPr>
          <w:rFonts w:eastAsia="Calibri" w:cs="Arial"/>
          <w:sz w:val="18"/>
          <w:szCs w:val="18"/>
          <w:lang w:eastAsia="en-US"/>
        </w:rPr>
        <w:t xml:space="preserve">, </w:t>
      </w:r>
      <w:r w:rsidR="005238BE">
        <w:rPr>
          <w:rFonts w:eastAsia="Calibri" w:cs="Arial"/>
          <w:sz w:val="18"/>
          <w:szCs w:val="18"/>
          <w:lang w:eastAsia="en-US"/>
        </w:rPr>
        <w:t>6</w:t>
      </w:r>
      <w:r w:rsidR="00DE5DC4">
        <w:rPr>
          <w:rFonts w:eastAsia="Calibri" w:cs="Arial"/>
          <w:sz w:val="18"/>
          <w:szCs w:val="18"/>
          <w:lang w:eastAsia="en-US"/>
        </w:rPr>
        <w:t>2</w:t>
      </w:r>
      <w:r>
        <w:rPr>
          <w:rFonts w:eastAsia="Calibri" w:cs="Arial"/>
          <w:color w:val="000000"/>
          <w:sz w:val="18"/>
          <w:szCs w:val="18"/>
          <w:lang w:eastAsia="en-US"/>
        </w:rPr>
        <w:t>.</w:t>
      </w:r>
      <w:r w:rsidR="00B6120E">
        <w:rPr>
          <w:rFonts w:eastAsia="Calibri" w:cs="Arial"/>
          <w:color w:val="000000"/>
          <w:sz w:val="18"/>
          <w:szCs w:val="18"/>
          <w:lang w:eastAsia="en-US"/>
        </w:rPr>
        <w:t>1</w:t>
      </w:r>
      <w:r w:rsidRPr="00233FD5">
        <w:rPr>
          <w:rFonts w:eastAsia="Calibri" w:cs="Arial"/>
          <w:sz w:val="18"/>
          <w:szCs w:val="18"/>
          <w:lang w:eastAsia="en-US"/>
        </w:rPr>
        <w:t xml:space="preserve"> % de las erogaciones programables se canalizó a las funciones de desarrollo social; </w:t>
      </w:r>
      <w:r w:rsidR="00B6120E">
        <w:rPr>
          <w:rFonts w:eastAsia="Calibri" w:cs="Arial"/>
          <w:sz w:val="18"/>
          <w:szCs w:val="18"/>
          <w:lang w:eastAsia="en-US"/>
        </w:rPr>
        <w:t xml:space="preserve">a otras 24.1 % </w:t>
      </w:r>
      <w:r w:rsidRPr="00233FD5">
        <w:rPr>
          <w:rFonts w:eastAsia="Calibri" w:cs="Arial"/>
          <w:sz w:val="18"/>
          <w:szCs w:val="18"/>
          <w:lang w:eastAsia="en-US"/>
        </w:rPr>
        <w:t xml:space="preserve">a las de gobierno </w:t>
      </w:r>
      <w:r w:rsidR="00B6120E">
        <w:rPr>
          <w:rFonts w:eastAsia="Calibri" w:cs="Arial"/>
          <w:sz w:val="18"/>
          <w:szCs w:val="18"/>
          <w:lang w:eastAsia="en-US"/>
        </w:rPr>
        <w:t>12</w:t>
      </w:r>
      <w:r w:rsidR="009A6D26">
        <w:rPr>
          <w:rFonts w:eastAsia="Calibri" w:cs="Arial"/>
          <w:sz w:val="18"/>
          <w:szCs w:val="18"/>
          <w:lang w:eastAsia="en-US"/>
        </w:rPr>
        <w:t>.</w:t>
      </w:r>
      <w:r w:rsidR="00B6120E">
        <w:rPr>
          <w:rFonts w:eastAsia="Calibri" w:cs="Arial"/>
          <w:sz w:val="18"/>
          <w:szCs w:val="18"/>
          <w:lang w:eastAsia="en-US"/>
        </w:rPr>
        <w:t>7</w:t>
      </w:r>
      <w:r w:rsidRPr="00233FD5">
        <w:rPr>
          <w:rFonts w:eastAsia="Calibri" w:cs="Arial"/>
          <w:sz w:val="18"/>
          <w:szCs w:val="18"/>
          <w:lang w:eastAsia="en-US"/>
        </w:rPr>
        <w:t xml:space="preserve"> % y </w:t>
      </w:r>
      <w:r w:rsidR="00B6120E">
        <w:rPr>
          <w:rFonts w:eastAsia="Calibri" w:cs="Arial"/>
          <w:sz w:val="18"/>
          <w:szCs w:val="18"/>
          <w:lang w:eastAsia="en-US"/>
        </w:rPr>
        <w:t>1</w:t>
      </w:r>
      <w:r w:rsidRPr="00233FD5">
        <w:rPr>
          <w:rFonts w:eastAsia="Calibri" w:cs="Arial"/>
          <w:sz w:val="18"/>
          <w:szCs w:val="18"/>
          <w:lang w:eastAsia="en-US"/>
        </w:rPr>
        <w:t>.</w:t>
      </w:r>
      <w:r w:rsidR="00B6120E">
        <w:rPr>
          <w:rFonts w:eastAsia="Calibri" w:cs="Arial"/>
          <w:sz w:val="18"/>
          <w:szCs w:val="18"/>
          <w:lang w:eastAsia="en-US"/>
        </w:rPr>
        <w:t>1</w:t>
      </w:r>
      <w:r w:rsidRPr="00233FD5">
        <w:rPr>
          <w:rFonts w:eastAsia="Calibri" w:cs="Arial"/>
          <w:sz w:val="18"/>
          <w:szCs w:val="18"/>
          <w:lang w:eastAsia="en-US"/>
        </w:rPr>
        <w:t xml:space="preserve"> % a las de desarrollo económico.</w:t>
      </w:r>
      <w:r w:rsidRPr="00BC1D48">
        <w:rPr>
          <w:rFonts w:eastAsia="Calibri" w:cs="Arial"/>
          <w:sz w:val="18"/>
          <w:szCs w:val="18"/>
          <w:lang w:eastAsia="en-US"/>
        </w:rPr>
        <w:t xml:space="preserve"> </w:t>
      </w:r>
    </w:p>
    <w:p w:rsidR="006E10A4" w:rsidRDefault="006E10A4" w:rsidP="007B6CFC">
      <w:pPr>
        <w:autoSpaceDE w:val="0"/>
        <w:autoSpaceDN w:val="0"/>
        <w:adjustRightInd w:val="0"/>
        <w:spacing w:before="80" w:after="0" w:line="250" w:lineRule="exact"/>
        <w:rPr>
          <w:rFonts w:eastAsia="Calibri" w:cs="Arial"/>
          <w:sz w:val="18"/>
          <w:szCs w:val="18"/>
          <w:lang w:eastAsia="en-US"/>
        </w:rPr>
      </w:pPr>
    </w:p>
    <w:tbl>
      <w:tblPr>
        <w:tblW w:w="5000" w:type="pct"/>
        <w:tblCellMar>
          <w:left w:w="70" w:type="dxa"/>
          <w:right w:w="70" w:type="dxa"/>
        </w:tblCellMar>
        <w:tblLook w:val="04A0" w:firstRow="1" w:lastRow="0" w:firstColumn="1" w:lastColumn="0" w:noHBand="0" w:noVBand="1"/>
      </w:tblPr>
      <w:tblGrid>
        <w:gridCol w:w="1472"/>
        <w:gridCol w:w="3894"/>
        <w:gridCol w:w="1388"/>
        <w:gridCol w:w="1242"/>
        <w:gridCol w:w="1361"/>
        <w:gridCol w:w="1280"/>
        <w:gridCol w:w="1280"/>
        <w:gridCol w:w="1361"/>
      </w:tblGrid>
      <w:tr w:rsidR="0031459D" w:rsidRPr="0031459D" w:rsidTr="00334BC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31459D" w:rsidRPr="0031459D" w:rsidTr="00334BC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rsidTr="00334BC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rsidTr="00334BC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rsidTr="00334BC0">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DEL 01 DE ENERO DE 2019 AL 31 DE MARZO DE 2019</w:t>
            </w:r>
          </w:p>
        </w:tc>
      </w:tr>
      <w:tr w:rsidR="0031459D" w:rsidRPr="0031459D" w:rsidTr="00334BC0">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rsidTr="00DF6115">
        <w:trPr>
          <w:trHeight w:val="402"/>
          <w:tblHeader/>
        </w:trPr>
        <w:tc>
          <w:tcPr>
            <w:tcW w:w="203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62" w:type="pct"/>
            <w:gridSpan w:val="5"/>
            <w:tcBorders>
              <w:top w:val="single" w:sz="4" w:space="0" w:color="000000"/>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rsidTr="00DF6115">
        <w:trPr>
          <w:trHeight w:val="300"/>
          <w:tblHeader/>
        </w:trPr>
        <w:tc>
          <w:tcPr>
            <w:tcW w:w="2031"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2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3" w:type="pct"/>
            <w:tcBorders>
              <w:top w:val="nil"/>
              <w:left w:val="nil"/>
              <w:bottom w:val="nil"/>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rsidTr="00DF6115">
        <w:trPr>
          <w:trHeight w:val="300"/>
          <w:tblHeader/>
        </w:trPr>
        <w:tc>
          <w:tcPr>
            <w:tcW w:w="2031"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28"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473"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rsidTr="00DF6115">
        <w:trPr>
          <w:trHeight w:val="402"/>
          <w:tblHeader/>
        </w:trPr>
        <w:tc>
          <w:tcPr>
            <w:tcW w:w="2031"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28"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3"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7"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7"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31459D" w:rsidRPr="0031459D" w:rsidTr="00DF6115">
        <w:trPr>
          <w:trHeight w:val="300"/>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3,725,427,226.40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644,431,442.09</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4,369,858,668.49</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470,081,999.71</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469,183,676.45</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3,899,776,668.78</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307,504,800.00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26,687,722.00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334,192,522.00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100,213,922.00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100,213,922.00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233,978,600.00</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629,874,560.55</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1,376,133.17</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631,250,693.72</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127,200,054.04</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127,034,864.70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504,050,639.68</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312,366,134.37</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10,538,816.01</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322,904,950.38</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81,098,020.23</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80,955,350.20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241,806,930.15</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1,602,168,999.34</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591,783,136.00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2,193,952,135.34</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29,815,024.53</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29,661,331.67</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2,164,137,110.81</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285"/>
        </w:trPr>
        <w:tc>
          <w:tcPr>
            <w:tcW w:w="560" w:type="pct"/>
            <w:tcBorders>
              <w:top w:val="nil"/>
              <w:left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655,692,223.04</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13,807,222.17</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669,499,445.21</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90,940,573.54</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90,857,348.22</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578,558,871.67</w:t>
            </w:r>
          </w:p>
        </w:tc>
      </w:tr>
      <w:tr w:rsidR="0031459D" w:rsidRPr="0031459D" w:rsidTr="00DF6115">
        <w:trPr>
          <w:trHeight w:val="285"/>
        </w:trPr>
        <w:tc>
          <w:tcPr>
            <w:tcW w:w="560" w:type="pct"/>
            <w:tcBorders>
              <w:top w:val="nil"/>
              <w:left w:val="single" w:sz="4" w:space="0" w:color="000000"/>
              <w:bottom w:val="single" w:sz="4" w:space="0" w:color="auto"/>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217,820,509.10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238,412.74</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218,058,921.84</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40,814,405.37</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40,460,859.66</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177,244,516.47</w:t>
            </w:r>
          </w:p>
        </w:tc>
      </w:tr>
      <w:tr w:rsidR="0031459D" w:rsidRPr="0031459D" w:rsidTr="00DF6115">
        <w:trPr>
          <w:trHeight w:val="300"/>
        </w:trPr>
        <w:tc>
          <w:tcPr>
            <w:tcW w:w="560" w:type="pct"/>
            <w:tcBorders>
              <w:top w:val="single" w:sz="4" w:space="0" w:color="auto"/>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11,223,981,959.19</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184,644,374.28</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11,408,626,333.47</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2,291,598,870.03</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2,291,043,968.85</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9,117,027,463.44</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132,436,659.73</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-6,406,646.63</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126,030,013.10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26,350,946.90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26,337,770.59</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99,679,066.20</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768,546,710.64</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71,834,981.25</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840,381,691.89</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26,259,163.85</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26,090,489.95</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814,122,528.04</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2,266,920,928.13</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290,691,498.51</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2,557,612,426.64</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873,135,695.72</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873,135,695.72</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1,684,476,730.92</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90,243,868.47</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51,990.35</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90,295,858.82</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19,538,013.57</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19,538,013.57</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70,757,845.25</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7,741,659,958.47</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-174,968,459.77</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7,566,691,498.70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1,294,715,962.68</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1,294,360,626.26</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6,271,975,536.02</w:t>
            </w:r>
          </w:p>
        </w:tc>
      </w:tr>
      <w:tr w:rsidR="0031459D" w:rsidRPr="0031459D" w:rsidTr="00DF6115">
        <w:trPr>
          <w:trHeight w:val="285"/>
        </w:trPr>
        <w:tc>
          <w:tcPr>
            <w:tcW w:w="560" w:type="pct"/>
            <w:tcBorders>
              <w:top w:val="nil"/>
              <w:left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224,173,833.75</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3,441,010.57</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227,614,844.32</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51,599,087.31</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51,581,372.76</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176,015,757.01</w:t>
            </w:r>
          </w:p>
        </w:tc>
      </w:tr>
      <w:tr w:rsidR="0031459D" w:rsidRPr="0031459D" w:rsidTr="00DF6115">
        <w:trPr>
          <w:trHeight w:val="285"/>
        </w:trPr>
        <w:tc>
          <w:tcPr>
            <w:tcW w:w="560" w:type="pct"/>
            <w:tcBorders>
              <w:top w:val="nil"/>
              <w:left w:val="single" w:sz="4" w:space="0" w:color="000000"/>
              <w:bottom w:val="single" w:sz="4" w:space="0" w:color="auto"/>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465"/>
        </w:trPr>
        <w:tc>
          <w:tcPr>
            <w:tcW w:w="560" w:type="pct"/>
            <w:tcBorders>
              <w:top w:val="single" w:sz="4" w:space="0" w:color="auto"/>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435,534,326.05</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2,080,188.97</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437,614,515.02</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42,365,264.65</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42,198,773.61</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395,249,250.37</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93,151,604.43</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270,345.79</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93,421,950.22</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12,992,987.51</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12,950,526.40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80,428,962.71</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204,374,335.00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1,603,585.08</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205,977,920.08</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7,031,418.65</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7,031,418.65</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198,946,501.43</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99,798,718.00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16,244.64</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99,814,962.64</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15,213,887.63</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15,117,433.82</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84,601,075.01</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34,071,668.62</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190,013.46</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34,261,682.08</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6,335,381.86</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6,307,805.74</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27,926,300.22</w:t>
            </w:r>
          </w:p>
        </w:tc>
      </w:tr>
      <w:tr w:rsidR="0031459D" w:rsidRPr="0031459D" w:rsidTr="00DF6115">
        <w:trPr>
          <w:trHeight w:val="285"/>
        </w:trPr>
        <w:tc>
          <w:tcPr>
            <w:tcW w:w="560" w:type="pct"/>
            <w:tcBorders>
              <w:top w:val="nil"/>
              <w:left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285"/>
        </w:trPr>
        <w:tc>
          <w:tcPr>
            <w:tcW w:w="560" w:type="pct"/>
            <w:tcBorders>
              <w:top w:val="nil"/>
              <w:left w:val="single" w:sz="4" w:space="0" w:color="000000"/>
              <w:bottom w:val="single" w:sz="4" w:space="0" w:color="auto"/>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4,138,000.00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4,138,000.00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791,589.00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791,589.00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3,346,411.00</w:t>
            </w:r>
          </w:p>
        </w:tc>
      </w:tr>
      <w:tr w:rsidR="0031459D" w:rsidRPr="0031459D" w:rsidTr="00DF6115">
        <w:trPr>
          <w:trHeight w:val="300"/>
        </w:trPr>
        <w:tc>
          <w:tcPr>
            <w:tcW w:w="560" w:type="pct"/>
            <w:tcBorders>
              <w:top w:val="single" w:sz="4" w:space="0" w:color="auto"/>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3,320,166,077.27</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88,362,245.23</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3,408,528,322.50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888,190,573.01</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888,190,573.01</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2,520,337,749.49</w:t>
            </w:r>
          </w:p>
        </w:tc>
      </w:tr>
      <w:tr w:rsidR="0031459D" w:rsidRPr="0031459D" w:rsidTr="00DF6115">
        <w:trPr>
          <w:trHeight w:val="450"/>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450"/>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3,320,166,077.27</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88,362,245.23</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3,408,528,322.50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888,190,573.01</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888,190,573.01</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2,520,337,749.49</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28"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31459D" w:rsidRPr="0031459D" w:rsidRDefault="0031459D" w:rsidP="0031459D">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31459D" w:rsidRPr="0031459D" w:rsidTr="00DF6115">
        <w:trPr>
          <w:trHeight w:val="402"/>
        </w:trPr>
        <w:tc>
          <w:tcPr>
            <w:tcW w:w="20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28" w:type="pct"/>
            <w:tcBorders>
              <w:top w:val="nil"/>
              <w:left w:val="nil"/>
              <w:bottom w:val="single" w:sz="4" w:space="0" w:color="000000"/>
              <w:right w:val="single" w:sz="4" w:space="0" w:color="000000"/>
            </w:tcBorders>
            <w:shd w:val="clear" w:color="auto" w:fill="auto"/>
            <w:vAlign w:val="center"/>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18,705,109,588.91</w:t>
            </w:r>
          </w:p>
        </w:tc>
        <w:tc>
          <w:tcPr>
            <w:tcW w:w="473" w:type="pct"/>
            <w:tcBorders>
              <w:top w:val="nil"/>
              <w:left w:val="nil"/>
              <w:bottom w:val="single" w:sz="4" w:space="0" w:color="000000"/>
              <w:right w:val="single" w:sz="4" w:space="0" w:color="000000"/>
            </w:tcBorders>
            <w:shd w:val="clear" w:color="auto" w:fill="auto"/>
            <w:vAlign w:val="center"/>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919,518,250.57</w:t>
            </w:r>
          </w:p>
        </w:tc>
        <w:tc>
          <w:tcPr>
            <w:tcW w:w="507" w:type="pct"/>
            <w:tcBorders>
              <w:top w:val="nil"/>
              <w:left w:val="nil"/>
              <w:bottom w:val="single" w:sz="4" w:space="0" w:color="000000"/>
              <w:right w:val="single" w:sz="4" w:space="0" w:color="000000"/>
            </w:tcBorders>
            <w:shd w:val="clear" w:color="auto" w:fill="auto"/>
            <w:vAlign w:val="center"/>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19,624,627,839.48</w:t>
            </w:r>
          </w:p>
        </w:tc>
        <w:tc>
          <w:tcPr>
            <w:tcW w:w="477" w:type="pct"/>
            <w:tcBorders>
              <w:top w:val="nil"/>
              <w:left w:val="nil"/>
              <w:bottom w:val="single" w:sz="4" w:space="0" w:color="000000"/>
              <w:right w:val="single" w:sz="4" w:space="0" w:color="000000"/>
            </w:tcBorders>
            <w:shd w:val="clear" w:color="auto" w:fill="auto"/>
            <w:vAlign w:val="center"/>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3,692,236,707.40</w:t>
            </w:r>
          </w:p>
        </w:tc>
        <w:tc>
          <w:tcPr>
            <w:tcW w:w="477" w:type="pct"/>
            <w:tcBorders>
              <w:top w:val="nil"/>
              <w:left w:val="nil"/>
              <w:bottom w:val="single" w:sz="4" w:space="0" w:color="000000"/>
              <w:right w:val="single" w:sz="4" w:space="0" w:color="000000"/>
            </w:tcBorders>
            <w:shd w:val="clear" w:color="auto" w:fill="auto"/>
            <w:vAlign w:val="center"/>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3,690,616,991.92</w:t>
            </w:r>
          </w:p>
        </w:tc>
        <w:tc>
          <w:tcPr>
            <w:tcW w:w="507" w:type="pct"/>
            <w:tcBorders>
              <w:top w:val="nil"/>
              <w:left w:val="nil"/>
              <w:bottom w:val="single" w:sz="4" w:space="0" w:color="000000"/>
              <w:right w:val="single" w:sz="4" w:space="0" w:color="000000"/>
            </w:tcBorders>
            <w:shd w:val="clear" w:color="auto" w:fill="auto"/>
            <w:vAlign w:val="center"/>
            <w:hideMark/>
          </w:tcPr>
          <w:p w:rsidR="0031459D" w:rsidRPr="0031459D" w:rsidRDefault="0031459D" w:rsidP="0031459D">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15,932,391,132.08</w:t>
            </w:r>
          </w:p>
        </w:tc>
      </w:tr>
    </w:tbl>
    <w:p w:rsidR="006E10A4" w:rsidRDefault="006E10A4" w:rsidP="007B6CFC">
      <w:pPr>
        <w:autoSpaceDE w:val="0"/>
        <w:autoSpaceDN w:val="0"/>
        <w:adjustRightInd w:val="0"/>
        <w:spacing w:before="80" w:after="0" w:line="250" w:lineRule="exact"/>
        <w:rPr>
          <w:rFonts w:eastAsia="Calibri" w:cs="Arial"/>
          <w:sz w:val="18"/>
          <w:szCs w:val="18"/>
          <w:lang w:eastAsia="en-US"/>
        </w:rPr>
      </w:pPr>
    </w:p>
    <w:p w:rsidR="007B6CFC" w:rsidRPr="001E4968" w:rsidRDefault="007B6CFC" w:rsidP="007B6CFC">
      <w:pPr>
        <w:autoSpaceDE w:val="0"/>
        <w:autoSpaceDN w:val="0"/>
        <w:adjustRightInd w:val="0"/>
        <w:spacing w:before="80" w:after="200" w:line="250" w:lineRule="exact"/>
        <w:jc w:val="center"/>
        <w:rPr>
          <w:rFonts w:cs="Arial"/>
          <w:b/>
          <w:bCs/>
          <w:color w:val="800000"/>
          <w:sz w:val="18"/>
          <w:szCs w:val="18"/>
        </w:rPr>
      </w:pPr>
      <w:r w:rsidRPr="001E4968">
        <w:rPr>
          <w:rFonts w:cs="Arial"/>
          <w:b/>
          <w:bCs/>
          <w:color w:val="800000"/>
          <w:sz w:val="18"/>
          <w:szCs w:val="18"/>
        </w:rPr>
        <w:lastRenderedPageBreak/>
        <w:t>FUNCIONES DE DESARROLLO SOCIAL</w:t>
      </w:r>
    </w:p>
    <w:p w:rsidR="00434773" w:rsidRDefault="007B6CFC" w:rsidP="007B6CFC">
      <w:pPr>
        <w:autoSpaceDE w:val="0"/>
        <w:autoSpaceDN w:val="0"/>
        <w:adjustRightInd w:val="0"/>
        <w:spacing w:after="0" w:line="250" w:lineRule="exact"/>
        <w:rPr>
          <w:rFonts w:eastAsia="Calibri" w:cs="Arial"/>
          <w:sz w:val="18"/>
          <w:szCs w:val="18"/>
          <w:lang w:eastAsia="en-US"/>
        </w:rPr>
      </w:pPr>
      <w:r w:rsidRPr="00A17D84">
        <w:rPr>
          <w:rFonts w:eastAsia="Calibri" w:cs="Arial"/>
          <w:sz w:val="18"/>
          <w:szCs w:val="18"/>
          <w:shd w:val="clear" w:color="auto" w:fill="FFFFFF"/>
          <w:lang w:eastAsia="en-US"/>
        </w:rPr>
        <w:t>Los recursos destinados</w:t>
      </w:r>
      <w:r w:rsidRPr="00A17D84">
        <w:rPr>
          <w:rFonts w:eastAsia="Calibri" w:cs="Arial"/>
          <w:sz w:val="18"/>
          <w:szCs w:val="18"/>
          <w:lang w:eastAsia="en-US"/>
        </w:rPr>
        <w:t xml:space="preserve"> a las funciones de Desarrollo Social sumaron  </w:t>
      </w:r>
      <w:r w:rsidR="00453AFA">
        <w:rPr>
          <w:rFonts w:eastAsia="Calibri" w:cs="Arial"/>
          <w:sz w:val="18"/>
          <w:szCs w:val="18"/>
          <w:lang w:eastAsia="en-US"/>
        </w:rPr>
        <w:t>1</w:t>
      </w:r>
      <w:r w:rsidR="000F37D3">
        <w:rPr>
          <w:rFonts w:eastAsia="Calibri" w:cs="Arial"/>
          <w:sz w:val="18"/>
          <w:szCs w:val="18"/>
          <w:lang w:eastAsia="en-US"/>
        </w:rPr>
        <w:t>1</w:t>
      </w:r>
      <w:r w:rsidRPr="00A17D84">
        <w:rPr>
          <w:rFonts w:eastAsia="Calibri" w:cs="Arial"/>
          <w:sz w:val="18"/>
          <w:szCs w:val="18"/>
          <w:lang w:eastAsia="en-US"/>
        </w:rPr>
        <w:t xml:space="preserve"> mil </w:t>
      </w:r>
      <w:r w:rsidR="000F37D3">
        <w:rPr>
          <w:rFonts w:eastAsia="Calibri" w:cs="Arial"/>
          <w:sz w:val="18"/>
          <w:szCs w:val="18"/>
          <w:lang w:eastAsia="en-US"/>
        </w:rPr>
        <w:t>408</w:t>
      </w:r>
      <w:r w:rsidR="00864141">
        <w:rPr>
          <w:rFonts w:eastAsia="Calibri" w:cs="Arial"/>
          <w:sz w:val="18"/>
          <w:szCs w:val="18"/>
          <w:lang w:eastAsia="en-US"/>
        </w:rPr>
        <w:t>.</w:t>
      </w:r>
      <w:r w:rsidR="00453AFA">
        <w:rPr>
          <w:rFonts w:eastAsia="Calibri" w:cs="Arial"/>
          <w:sz w:val="18"/>
          <w:szCs w:val="18"/>
          <w:lang w:eastAsia="en-US"/>
        </w:rPr>
        <w:t>6</w:t>
      </w:r>
      <w:r w:rsidRPr="00A17D84">
        <w:rPr>
          <w:rFonts w:eastAsia="Calibri" w:cs="Arial"/>
          <w:sz w:val="18"/>
          <w:szCs w:val="18"/>
          <w:lang w:eastAsia="en-US"/>
        </w:rPr>
        <w:t xml:space="preserve"> millones de pesos. </w:t>
      </w:r>
      <w:r w:rsidR="001F3D51" w:rsidRPr="00A17D84">
        <w:rPr>
          <w:rFonts w:eastAsia="Calibri" w:cs="Arial"/>
          <w:sz w:val="18"/>
          <w:szCs w:val="18"/>
          <w:lang w:eastAsia="en-US"/>
        </w:rPr>
        <w:t>E</w:t>
      </w:r>
      <w:r w:rsidRPr="00A17D84">
        <w:rPr>
          <w:rFonts w:eastAsia="Calibri" w:cs="Arial"/>
          <w:sz w:val="18"/>
          <w:szCs w:val="18"/>
          <w:lang w:eastAsia="en-US"/>
        </w:rPr>
        <w:t>l</w:t>
      </w:r>
      <w:r w:rsidR="001F3D51" w:rsidRPr="00A17D84">
        <w:rPr>
          <w:rFonts w:eastAsia="Calibri" w:cs="Arial"/>
          <w:sz w:val="18"/>
          <w:szCs w:val="18"/>
          <w:lang w:eastAsia="en-US"/>
        </w:rPr>
        <w:t xml:space="preserve"> </w:t>
      </w:r>
      <w:r w:rsidRPr="00A17D84">
        <w:rPr>
          <w:rFonts w:eastAsia="Calibri" w:cs="Arial"/>
          <w:sz w:val="18"/>
          <w:szCs w:val="18"/>
          <w:lang w:eastAsia="en-US"/>
        </w:rPr>
        <w:t xml:space="preserve"> </w:t>
      </w:r>
      <w:r w:rsidR="000F37D3">
        <w:rPr>
          <w:rFonts w:eastAsia="Calibri" w:cs="Arial"/>
          <w:sz w:val="18"/>
          <w:szCs w:val="18"/>
          <w:lang w:eastAsia="en-US"/>
        </w:rPr>
        <w:t>100</w:t>
      </w:r>
      <w:r w:rsidR="007E33DB">
        <w:rPr>
          <w:rFonts w:eastAsia="Calibri" w:cs="Arial"/>
          <w:sz w:val="18"/>
          <w:szCs w:val="18"/>
          <w:lang w:eastAsia="en-US"/>
        </w:rPr>
        <w:t>.</w:t>
      </w:r>
      <w:r w:rsidR="000F37D3">
        <w:rPr>
          <w:rFonts w:eastAsia="Calibri" w:cs="Arial"/>
          <w:sz w:val="18"/>
          <w:szCs w:val="18"/>
          <w:lang w:eastAsia="en-US"/>
        </w:rPr>
        <w:t>0</w:t>
      </w:r>
      <w:r w:rsidRPr="00A17D84">
        <w:rPr>
          <w:rFonts w:eastAsia="Calibri" w:cs="Arial"/>
          <w:sz w:val="18"/>
          <w:szCs w:val="18"/>
          <w:lang w:eastAsia="en-US"/>
        </w:rPr>
        <w:t xml:space="preserve"> % se concentró en las funciones de Educación; Salud; </w:t>
      </w:r>
      <w:r w:rsidR="008D0658" w:rsidRPr="00A17D84">
        <w:rPr>
          <w:rFonts w:eastAsia="Calibri" w:cs="Arial"/>
          <w:sz w:val="18"/>
          <w:szCs w:val="18"/>
          <w:lang w:eastAsia="en-US"/>
        </w:rPr>
        <w:t>Vivienda y Servicios a la Comunidad</w:t>
      </w:r>
      <w:r w:rsidR="008D0658">
        <w:rPr>
          <w:rFonts w:eastAsia="Calibri" w:cs="Arial"/>
          <w:sz w:val="18"/>
          <w:szCs w:val="18"/>
          <w:lang w:eastAsia="en-US"/>
        </w:rPr>
        <w:t xml:space="preserve">; </w:t>
      </w:r>
      <w:r w:rsidR="00983522" w:rsidRPr="00A17D84">
        <w:rPr>
          <w:rFonts w:eastAsia="Calibri" w:cs="Arial"/>
          <w:sz w:val="18"/>
          <w:szCs w:val="18"/>
          <w:lang w:eastAsia="en-US"/>
        </w:rPr>
        <w:t>Protección Social</w:t>
      </w:r>
      <w:r w:rsidR="00983522">
        <w:rPr>
          <w:rFonts w:eastAsia="Calibri" w:cs="Arial"/>
          <w:sz w:val="18"/>
          <w:szCs w:val="18"/>
          <w:lang w:eastAsia="en-US"/>
        </w:rPr>
        <w:t xml:space="preserve">; </w:t>
      </w:r>
      <w:r w:rsidRPr="00A17D84">
        <w:rPr>
          <w:rFonts w:eastAsia="Calibri" w:cs="Arial"/>
          <w:sz w:val="18"/>
          <w:szCs w:val="18"/>
          <w:lang w:eastAsia="en-US"/>
        </w:rPr>
        <w:t>Protección Ambiental</w:t>
      </w:r>
      <w:r w:rsidR="00983522">
        <w:rPr>
          <w:rFonts w:eastAsia="Calibri" w:cs="Arial"/>
          <w:sz w:val="18"/>
          <w:szCs w:val="18"/>
          <w:lang w:eastAsia="en-US"/>
        </w:rPr>
        <w:t xml:space="preserve"> y</w:t>
      </w:r>
      <w:r w:rsidRPr="00A17D84">
        <w:rPr>
          <w:rFonts w:eastAsia="Calibri" w:cs="Arial"/>
          <w:sz w:val="18"/>
          <w:szCs w:val="18"/>
          <w:lang w:eastAsia="en-US"/>
        </w:rPr>
        <w:t xml:space="preserve"> Recreación, Cultura y otras Manifesta</w:t>
      </w:r>
      <w:r w:rsidR="00A17D84" w:rsidRPr="00A17D84">
        <w:rPr>
          <w:rFonts w:eastAsia="Calibri" w:cs="Arial"/>
          <w:sz w:val="18"/>
          <w:szCs w:val="18"/>
          <w:lang w:eastAsia="en-US"/>
        </w:rPr>
        <w:t>ciones Sociales</w:t>
      </w:r>
    </w:p>
    <w:p w:rsidR="007B6CFC" w:rsidRDefault="00983522" w:rsidP="007B6CFC">
      <w:pPr>
        <w:autoSpaceDE w:val="0"/>
        <w:autoSpaceDN w:val="0"/>
        <w:adjustRightInd w:val="0"/>
        <w:spacing w:after="0" w:line="250" w:lineRule="exact"/>
        <w:rPr>
          <w:rFonts w:eastAsia="Calibri" w:cs="Arial"/>
          <w:sz w:val="18"/>
          <w:szCs w:val="18"/>
          <w:lang w:eastAsia="en-US"/>
        </w:rPr>
      </w:pPr>
      <w:r>
        <w:rPr>
          <w:rFonts w:eastAsia="Calibri" w:cs="Arial"/>
          <w:sz w:val="18"/>
          <w:szCs w:val="18"/>
          <w:lang w:eastAsia="en-US"/>
        </w:rPr>
        <w:t>.</w:t>
      </w:r>
    </w:p>
    <w:p w:rsidR="005F3DEE" w:rsidRDefault="005F3DEE" w:rsidP="007B6CFC">
      <w:pPr>
        <w:autoSpaceDE w:val="0"/>
        <w:autoSpaceDN w:val="0"/>
        <w:adjustRightInd w:val="0"/>
        <w:spacing w:after="0" w:line="250" w:lineRule="exact"/>
        <w:rPr>
          <w:rFonts w:eastAsia="Calibri" w:cs="Arial"/>
          <w:sz w:val="18"/>
          <w:szCs w:val="18"/>
          <w:lang w:eastAsia="en-US"/>
        </w:rPr>
      </w:pPr>
    </w:p>
    <w:tbl>
      <w:tblPr>
        <w:tblW w:w="5000" w:type="pct"/>
        <w:tblCellMar>
          <w:left w:w="70" w:type="dxa"/>
          <w:right w:w="70" w:type="dxa"/>
        </w:tblCellMar>
        <w:tblLook w:val="04A0" w:firstRow="1" w:lastRow="0" w:firstColumn="1" w:lastColumn="0" w:noHBand="0" w:noVBand="1"/>
      </w:tblPr>
      <w:tblGrid>
        <w:gridCol w:w="1479"/>
        <w:gridCol w:w="3901"/>
        <w:gridCol w:w="1394"/>
        <w:gridCol w:w="1245"/>
        <w:gridCol w:w="1361"/>
        <w:gridCol w:w="1280"/>
        <w:gridCol w:w="1280"/>
        <w:gridCol w:w="1338"/>
      </w:tblGrid>
      <w:tr w:rsidR="005F3DEE"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5F3DEE"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DEL 01 DE ENERO DE 2019 AL 31 DE MARZO DE 2019</w:t>
            </w:r>
          </w:p>
        </w:tc>
      </w:tr>
      <w:tr w:rsidR="005F3DEE" w:rsidRPr="0031459D" w:rsidTr="00434773">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rsidTr="00DF6115">
        <w:trPr>
          <w:trHeight w:val="402"/>
          <w:tblHeader/>
        </w:trPr>
        <w:tc>
          <w:tcPr>
            <w:tcW w:w="2032"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61" w:type="pct"/>
            <w:gridSpan w:val="5"/>
            <w:tcBorders>
              <w:top w:val="single" w:sz="4" w:space="0" w:color="000000"/>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rsidTr="00DF6115">
        <w:trPr>
          <w:trHeight w:val="300"/>
          <w:tblHeader/>
        </w:trPr>
        <w:tc>
          <w:tcPr>
            <w:tcW w:w="2032"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2" w:type="pct"/>
            <w:tcBorders>
              <w:top w:val="nil"/>
              <w:left w:val="nil"/>
              <w:bottom w:val="nil"/>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DF6115">
        <w:trPr>
          <w:trHeight w:val="300"/>
          <w:tblHeader/>
        </w:trPr>
        <w:tc>
          <w:tcPr>
            <w:tcW w:w="2032"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8"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7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DF6115">
        <w:trPr>
          <w:trHeight w:val="402"/>
          <w:tblHeader/>
        </w:trPr>
        <w:tc>
          <w:tcPr>
            <w:tcW w:w="2032"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8"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7"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7"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5F3DEE" w:rsidRPr="0031459D" w:rsidTr="00DF6115">
        <w:trPr>
          <w:trHeight w:val="300"/>
        </w:trPr>
        <w:tc>
          <w:tcPr>
            <w:tcW w:w="560" w:type="pct"/>
            <w:tcBorders>
              <w:top w:val="single" w:sz="4" w:space="0" w:color="auto"/>
              <w:left w:val="single" w:sz="4" w:space="0" w:color="000000"/>
              <w:bottom w:val="nil"/>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8"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11,223,981,959.19</w:t>
            </w:r>
          </w:p>
        </w:tc>
        <w:tc>
          <w:tcPr>
            <w:tcW w:w="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184,644,374.28</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11,408,626,333.47</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2,291,598,870.03</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2,291,043,968.85</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9,117,027,463.44</w:t>
            </w:r>
          </w:p>
        </w:tc>
      </w:tr>
      <w:tr w:rsidR="005F3DEE"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28"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132,436,659.73</w:t>
            </w:r>
          </w:p>
        </w:tc>
        <w:tc>
          <w:tcPr>
            <w:tcW w:w="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-6,406,646.63</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126,030,013.10</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26,350,946.90</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26,337,770.59</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99,679,066.20</w:t>
            </w:r>
          </w:p>
        </w:tc>
      </w:tr>
      <w:tr w:rsidR="005F3DEE"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28"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768,546,710.64</w:t>
            </w:r>
          </w:p>
        </w:tc>
        <w:tc>
          <w:tcPr>
            <w:tcW w:w="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71,834,981.25</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840,381,691.89</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26,259,163.85</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26,090,489.95</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814,122,528.04</w:t>
            </w:r>
          </w:p>
        </w:tc>
      </w:tr>
      <w:tr w:rsidR="005F3DEE"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28"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2,266,920,928.13</w:t>
            </w:r>
          </w:p>
        </w:tc>
        <w:tc>
          <w:tcPr>
            <w:tcW w:w="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290,691,498.51</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2,557,612,426.64</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873,135,695.72</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873,135,695.72</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1,684,476,730.92</w:t>
            </w:r>
          </w:p>
        </w:tc>
      </w:tr>
      <w:tr w:rsidR="005F3DEE"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28"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90,243,868.47</w:t>
            </w:r>
          </w:p>
        </w:tc>
        <w:tc>
          <w:tcPr>
            <w:tcW w:w="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51,990.35</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90,295,858.82</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19,538,013.57</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19,538,013.57</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70,757,845.25</w:t>
            </w:r>
          </w:p>
        </w:tc>
      </w:tr>
      <w:tr w:rsidR="005F3DEE" w:rsidRPr="0031459D" w:rsidTr="00DF6115">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28"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7,741,659,958.47</w:t>
            </w:r>
          </w:p>
        </w:tc>
        <w:tc>
          <w:tcPr>
            <w:tcW w:w="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-174,968,459.77</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7,566,691,498.70</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1,294,715,962.68</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1,294,360,626.26</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6,271,975,536.02</w:t>
            </w:r>
          </w:p>
        </w:tc>
      </w:tr>
      <w:tr w:rsidR="005F3DEE" w:rsidRPr="0031459D" w:rsidTr="00DF6115">
        <w:trPr>
          <w:trHeight w:val="285"/>
        </w:trPr>
        <w:tc>
          <w:tcPr>
            <w:tcW w:w="560" w:type="pct"/>
            <w:tcBorders>
              <w:top w:val="nil"/>
              <w:left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28"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224,173,833.75</w:t>
            </w:r>
          </w:p>
        </w:tc>
        <w:tc>
          <w:tcPr>
            <w:tcW w:w="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3,441,010.57</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227,614,844.32</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51,599,087.31</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51,581,372.76</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176,015,757.01</w:t>
            </w:r>
          </w:p>
        </w:tc>
      </w:tr>
      <w:tr w:rsidR="005F3DEE" w:rsidRPr="0031459D" w:rsidTr="00DF6115">
        <w:trPr>
          <w:trHeight w:val="285"/>
        </w:trPr>
        <w:tc>
          <w:tcPr>
            <w:tcW w:w="560" w:type="pct"/>
            <w:tcBorders>
              <w:top w:val="nil"/>
              <w:left w:val="single" w:sz="4" w:space="0" w:color="000000"/>
              <w:bottom w:val="single" w:sz="4" w:space="0" w:color="auto"/>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28"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2"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5F3DEE" w:rsidRPr="0031459D" w:rsidRDefault="005F3DEE"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bl>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Pr="00A17D84" w:rsidRDefault="005F3DEE" w:rsidP="007B6CFC">
      <w:pPr>
        <w:autoSpaceDE w:val="0"/>
        <w:autoSpaceDN w:val="0"/>
        <w:adjustRightInd w:val="0"/>
        <w:spacing w:after="0" w:line="250" w:lineRule="exact"/>
        <w:rPr>
          <w:rFonts w:eastAsia="Calibri" w:cs="Arial"/>
          <w:sz w:val="18"/>
          <w:szCs w:val="18"/>
          <w:lang w:eastAsia="en-US"/>
        </w:rPr>
      </w:pPr>
    </w:p>
    <w:p w:rsidR="007B6CFC" w:rsidRDefault="007B6CFC" w:rsidP="007B6CFC"/>
    <w:p w:rsidR="00E22CB9" w:rsidRDefault="00E22CB9" w:rsidP="007B6CFC"/>
    <w:p w:rsidR="00DF6115" w:rsidRDefault="00DF6115" w:rsidP="007B6CFC"/>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lastRenderedPageBreak/>
        <w:t>FUNCIONES DE DESARROLLO ECONÓMICO</w:t>
      </w:r>
    </w:p>
    <w:p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C06B01">
        <w:rPr>
          <w:rFonts w:eastAsia="Calibri" w:cs="Arial"/>
          <w:sz w:val="18"/>
          <w:szCs w:val="18"/>
          <w:shd w:val="clear" w:color="auto" w:fill="FFFFFF"/>
          <w:lang w:eastAsia="en-US"/>
        </w:rPr>
        <w:t>Los recursos destinados</w:t>
      </w:r>
      <w:r w:rsidRPr="00C06B01">
        <w:rPr>
          <w:rFonts w:eastAsia="Calibri" w:cs="Arial"/>
          <w:sz w:val="18"/>
          <w:szCs w:val="18"/>
          <w:lang w:eastAsia="en-US"/>
        </w:rPr>
        <w:t xml:space="preserve"> a las funciones de Desarrollo Económico sumaron </w:t>
      </w:r>
      <w:r w:rsidR="00DF6115">
        <w:rPr>
          <w:rFonts w:eastAsia="Calibri" w:cs="Arial"/>
          <w:sz w:val="18"/>
          <w:szCs w:val="18"/>
          <w:lang w:eastAsia="en-US"/>
        </w:rPr>
        <w:t>437</w:t>
      </w:r>
      <w:r w:rsidR="003503F4">
        <w:rPr>
          <w:rFonts w:eastAsia="Calibri" w:cs="Arial"/>
          <w:sz w:val="18"/>
          <w:szCs w:val="18"/>
          <w:lang w:eastAsia="en-US"/>
        </w:rPr>
        <w:t>.</w:t>
      </w:r>
      <w:r w:rsidR="00DF6115">
        <w:rPr>
          <w:rFonts w:eastAsia="Calibri" w:cs="Arial"/>
          <w:sz w:val="18"/>
          <w:szCs w:val="18"/>
          <w:lang w:eastAsia="en-US"/>
        </w:rPr>
        <w:t>6</w:t>
      </w:r>
      <w:r w:rsidRPr="00C06B01">
        <w:rPr>
          <w:rFonts w:eastAsia="Calibri" w:cs="Arial"/>
          <w:sz w:val="18"/>
          <w:szCs w:val="18"/>
          <w:lang w:eastAsia="en-US"/>
        </w:rPr>
        <w:t xml:space="preserve"> millones de pesos. Del total, </w:t>
      </w:r>
      <w:r w:rsidR="00836988" w:rsidRPr="00C06B01">
        <w:rPr>
          <w:rFonts w:eastAsia="Calibri" w:cs="Arial"/>
          <w:sz w:val="18"/>
          <w:szCs w:val="18"/>
          <w:shd w:val="clear" w:color="auto" w:fill="FFFFFF"/>
          <w:lang w:eastAsia="en-US"/>
        </w:rPr>
        <w:t>9</w:t>
      </w:r>
      <w:r w:rsidR="001F4BD6">
        <w:rPr>
          <w:rFonts w:eastAsia="Calibri" w:cs="Arial"/>
          <w:sz w:val="18"/>
          <w:szCs w:val="18"/>
          <w:shd w:val="clear" w:color="auto" w:fill="FFFFFF"/>
          <w:lang w:eastAsia="en-US"/>
        </w:rPr>
        <w:t>9</w:t>
      </w:r>
      <w:r w:rsidRPr="00C06B01">
        <w:rPr>
          <w:rFonts w:eastAsia="Calibri" w:cs="Arial"/>
          <w:sz w:val="18"/>
          <w:szCs w:val="18"/>
          <w:shd w:val="clear" w:color="auto" w:fill="FFFFFF"/>
          <w:lang w:eastAsia="en-US"/>
        </w:rPr>
        <w:t>.</w:t>
      </w:r>
      <w:r w:rsidR="006709F5">
        <w:rPr>
          <w:rFonts w:eastAsia="Calibri" w:cs="Arial"/>
          <w:sz w:val="18"/>
          <w:szCs w:val="18"/>
          <w:shd w:val="clear" w:color="auto" w:fill="FFFFFF"/>
          <w:lang w:eastAsia="en-US"/>
        </w:rPr>
        <w:t>1</w:t>
      </w:r>
      <w:r w:rsidRPr="00C06B01">
        <w:rPr>
          <w:rFonts w:eastAsia="Calibri" w:cs="Arial"/>
          <w:sz w:val="18"/>
          <w:szCs w:val="18"/>
          <w:lang w:eastAsia="en-US"/>
        </w:rPr>
        <w:t xml:space="preserve"> % se concentró en las funciones de</w:t>
      </w:r>
      <w:r w:rsidR="00E866D6">
        <w:rPr>
          <w:rFonts w:eastAsia="Calibri" w:cs="Arial"/>
          <w:sz w:val="18"/>
          <w:szCs w:val="18"/>
          <w:lang w:eastAsia="en-US"/>
        </w:rPr>
        <w:t xml:space="preserve"> </w:t>
      </w:r>
      <w:r w:rsidR="00E866D6" w:rsidRPr="00C06B01">
        <w:rPr>
          <w:rFonts w:eastAsia="Calibri" w:cs="Arial"/>
          <w:sz w:val="18"/>
          <w:szCs w:val="18"/>
          <w:lang w:eastAsia="en-US"/>
        </w:rPr>
        <w:t xml:space="preserve">Agropecuaria, Silvicultura, Pesca y Caza; </w:t>
      </w:r>
      <w:r w:rsidR="00407591" w:rsidRPr="00C06B01">
        <w:rPr>
          <w:rFonts w:eastAsia="Calibri" w:cs="Arial"/>
          <w:sz w:val="18"/>
          <w:szCs w:val="18"/>
          <w:lang w:eastAsia="en-US"/>
        </w:rPr>
        <w:t xml:space="preserve">Transporte; </w:t>
      </w:r>
      <w:r w:rsidRPr="00C06B01">
        <w:rPr>
          <w:rFonts w:eastAsia="Calibri" w:cs="Arial"/>
          <w:sz w:val="18"/>
          <w:szCs w:val="18"/>
          <w:lang w:eastAsia="en-US"/>
        </w:rPr>
        <w:t>Asuntos Económicos, Comerciales y Laborales en General;</w:t>
      </w:r>
      <w:r w:rsidR="00E57894">
        <w:rPr>
          <w:rFonts w:eastAsia="Calibri" w:cs="Arial"/>
          <w:sz w:val="18"/>
          <w:szCs w:val="18"/>
          <w:lang w:eastAsia="en-US"/>
        </w:rPr>
        <w:t xml:space="preserve"> </w:t>
      </w:r>
      <w:r w:rsidR="00E57894" w:rsidRPr="00C06B01">
        <w:rPr>
          <w:rFonts w:eastAsia="Calibri" w:cs="Arial"/>
          <w:sz w:val="18"/>
          <w:szCs w:val="18"/>
          <w:lang w:eastAsia="en-US"/>
        </w:rPr>
        <w:t>Turismo;</w:t>
      </w:r>
      <w:r w:rsidR="00E57894">
        <w:rPr>
          <w:rFonts w:eastAsia="Calibri" w:cs="Arial"/>
          <w:sz w:val="18"/>
          <w:szCs w:val="18"/>
          <w:lang w:eastAsia="en-US"/>
        </w:rPr>
        <w:t xml:space="preserve"> </w:t>
      </w:r>
      <w:r w:rsidRPr="00C06B01">
        <w:rPr>
          <w:rFonts w:eastAsia="Calibri" w:cs="Arial"/>
          <w:sz w:val="18"/>
          <w:szCs w:val="18"/>
          <w:lang w:eastAsia="en-US"/>
        </w:rPr>
        <w:t xml:space="preserve"> y el restante </w:t>
      </w:r>
      <w:r w:rsidR="001F4BD6">
        <w:rPr>
          <w:rFonts w:eastAsia="Calibri" w:cs="Arial"/>
          <w:sz w:val="18"/>
          <w:szCs w:val="18"/>
          <w:lang w:eastAsia="en-US"/>
        </w:rPr>
        <w:t>0</w:t>
      </w:r>
      <w:r w:rsidRPr="00C06B01">
        <w:rPr>
          <w:rFonts w:eastAsia="Calibri" w:cs="Arial"/>
          <w:sz w:val="18"/>
          <w:szCs w:val="18"/>
          <w:lang w:eastAsia="en-US"/>
        </w:rPr>
        <w:t>.</w:t>
      </w:r>
      <w:r w:rsidR="00407591">
        <w:rPr>
          <w:rFonts w:eastAsia="Calibri" w:cs="Arial"/>
          <w:sz w:val="18"/>
          <w:szCs w:val="18"/>
          <w:lang w:eastAsia="en-US"/>
        </w:rPr>
        <w:t>9</w:t>
      </w:r>
      <w:r w:rsidRPr="00C06B01">
        <w:rPr>
          <w:rFonts w:eastAsia="Calibri" w:cs="Arial"/>
          <w:sz w:val="18"/>
          <w:szCs w:val="18"/>
          <w:lang w:eastAsia="en-US"/>
        </w:rPr>
        <w:t xml:space="preserve"> % en otras </w:t>
      </w:r>
      <w:r w:rsidR="00A470A1">
        <w:rPr>
          <w:rFonts w:eastAsia="Calibri" w:cs="Arial"/>
          <w:sz w:val="18"/>
          <w:szCs w:val="18"/>
          <w:lang w:eastAsia="en-US"/>
        </w:rPr>
        <w:t>I</w:t>
      </w:r>
      <w:r w:rsidR="00694C15">
        <w:rPr>
          <w:rFonts w:eastAsia="Calibri" w:cs="Arial"/>
          <w:sz w:val="18"/>
          <w:szCs w:val="18"/>
          <w:lang w:eastAsia="en-US"/>
        </w:rPr>
        <w:t>ndustrias y otros</w:t>
      </w:r>
      <w:r w:rsidR="00407591">
        <w:rPr>
          <w:rFonts w:eastAsia="Calibri" w:cs="Arial"/>
          <w:sz w:val="18"/>
          <w:szCs w:val="18"/>
          <w:lang w:eastAsia="en-US"/>
        </w:rPr>
        <w:t xml:space="preserve"> Asuntos</w:t>
      </w:r>
      <w:r w:rsidR="00694C15">
        <w:rPr>
          <w:rFonts w:eastAsia="Calibri" w:cs="Arial"/>
          <w:sz w:val="18"/>
          <w:szCs w:val="18"/>
          <w:lang w:eastAsia="en-US"/>
        </w:rPr>
        <w:t xml:space="preserve"> </w:t>
      </w:r>
      <w:r w:rsidR="00A470A1">
        <w:rPr>
          <w:rFonts w:eastAsia="Calibri" w:cs="Arial"/>
          <w:sz w:val="18"/>
          <w:szCs w:val="18"/>
          <w:lang w:eastAsia="en-US"/>
        </w:rPr>
        <w:t>Económicos</w:t>
      </w:r>
      <w:r w:rsidR="00694C15">
        <w:rPr>
          <w:rFonts w:eastAsia="Calibri" w:cs="Arial"/>
          <w:sz w:val="18"/>
          <w:szCs w:val="18"/>
          <w:lang w:eastAsia="en-US"/>
        </w:rPr>
        <w:t>.</w:t>
      </w:r>
    </w:p>
    <w:p w:rsidR="00184C84" w:rsidRDefault="00184C84" w:rsidP="007B6CFC"/>
    <w:tbl>
      <w:tblPr>
        <w:tblW w:w="5000" w:type="pct"/>
        <w:tblCellMar>
          <w:left w:w="70" w:type="dxa"/>
          <w:right w:w="70" w:type="dxa"/>
        </w:tblCellMar>
        <w:tblLook w:val="04A0" w:firstRow="1" w:lastRow="0" w:firstColumn="1" w:lastColumn="0" w:noHBand="0" w:noVBand="1"/>
      </w:tblPr>
      <w:tblGrid>
        <w:gridCol w:w="1485"/>
        <w:gridCol w:w="4037"/>
        <w:gridCol w:w="1344"/>
        <w:gridCol w:w="1193"/>
        <w:gridCol w:w="1344"/>
        <w:gridCol w:w="1265"/>
        <w:gridCol w:w="1265"/>
        <w:gridCol w:w="1345"/>
      </w:tblGrid>
      <w:tr w:rsidR="00434773"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434773"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rsidTr="00434773">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DEL 01 DE ENERO DE 2019 AL 31 DE MARZO DE 2019</w:t>
            </w:r>
          </w:p>
        </w:tc>
      </w:tr>
      <w:tr w:rsidR="00434773" w:rsidRPr="0031459D" w:rsidTr="00434773">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rsidTr="00434773">
        <w:trPr>
          <w:trHeight w:val="402"/>
          <w:tblHeader/>
        </w:trPr>
        <w:tc>
          <w:tcPr>
            <w:tcW w:w="208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2" w:type="pct"/>
            <w:gridSpan w:val="5"/>
            <w:tcBorders>
              <w:top w:val="single" w:sz="4" w:space="0" w:color="000000"/>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rsidTr="00434773">
        <w:trPr>
          <w:trHeight w:val="300"/>
          <w:tblHeader/>
        </w:trPr>
        <w:tc>
          <w:tcPr>
            <w:tcW w:w="2081"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4" w:type="pct"/>
            <w:tcBorders>
              <w:top w:val="nil"/>
              <w:left w:val="nil"/>
              <w:bottom w:val="nil"/>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434773">
        <w:trPr>
          <w:trHeight w:val="300"/>
          <w:tblHeader/>
        </w:trPr>
        <w:tc>
          <w:tcPr>
            <w:tcW w:w="2081"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44"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434773">
        <w:trPr>
          <w:trHeight w:val="402"/>
          <w:tblHeader/>
        </w:trPr>
        <w:tc>
          <w:tcPr>
            <w:tcW w:w="2081"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4"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434773" w:rsidRPr="0031459D" w:rsidTr="00434773">
        <w:trPr>
          <w:trHeight w:val="465"/>
        </w:trPr>
        <w:tc>
          <w:tcPr>
            <w:tcW w:w="560" w:type="pct"/>
            <w:tcBorders>
              <w:top w:val="single" w:sz="4" w:space="0" w:color="auto"/>
              <w:left w:val="single" w:sz="4" w:space="0" w:color="000000"/>
              <w:bottom w:val="nil"/>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435,534,326.05</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2,080,188.97</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437,614,515.02</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42,365,264.65</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42,198,773.61</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395,249,250.37</w:t>
            </w:r>
          </w:p>
        </w:tc>
      </w:tr>
      <w:tr w:rsidR="00434773" w:rsidRPr="0031459D" w:rsidTr="00434773">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93,151,604.43</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270,345.79</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93,421,950.22</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12,992,987.51</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12,950,526.40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80,428,962.71</w:t>
            </w:r>
          </w:p>
        </w:tc>
      </w:tr>
      <w:tr w:rsidR="00434773" w:rsidRPr="0031459D" w:rsidTr="00434773">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204,374,335.00</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1,603,585.08</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205,977,920.08</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7,031,418.65</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7,031,418.65</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198,946,501.43</w:t>
            </w:r>
          </w:p>
        </w:tc>
      </w:tr>
      <w:tr w:rsidR="00434773" w:rsidRPr="0031459D" w:rsidTr="00434773">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434773" w:rsidRPr="0031459D" w:rsidTr="00434773">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434773" w:rsidRPr="0031459D" w:rsidTr="00434773">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99,798,718.00</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16,244.64</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99,814,962.64</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15,213,887.63</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15,117,433.82</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84,601,075.01</w:t>
            </w:r>
          </w:p>
        </w:tc>
      </w:tr>
      <w:tr w:rsidR="00434773" w:rsidRPr="0031459D" w:rsidTr="00434773">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434773" w:rsidRPr="0031459D" w:rsidTr="00434773">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34,071,668.62</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190,013.46</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34,261,682.08</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6,335,381.86</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6,307,805.74</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27,926,300.22</w:t>
            </w:r>
          </w:p>
        </w:tc>
      </w:tr>
      <w:tr w:rsidR="00434773" w:rsidRPr="0031459D" w:rsidTr="00434773">
        <w:trPr>
          <w:trHeight w:val="285"/>
        </w:trPr>
        <w:tc>
          <w:tcPr>
            <w:tcW w:w="560" w:type="pct"/>
            <w:tcBorders>
              <w:top w:val="nil"/>
              <w:left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434773" w:rsidRPr="0031459D" w:rsidTr="00434773">
        <w:trPr>
          <w:trHeight w:val="285"/>
        </w:trPr>
        <w:tc>
          <w:tcPr>
            <w:tcW w:w="560" w:type="pct"/>
            <w:tcBorders>
              <w:top w:val="nil"/>
              <w:left w:val="single" w:sz="4" w:space="0" w:color="000000"/>
              <w:bottom w:val="single" w:sz="4" w:space="0" w:color="auto"/>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1"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4,138,000.00</w:t>
            </w:r>
          </w:p>
        </w:tc>
        <w:tc>
          <w:tcPr>
            <w:tcW w:w="444"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4,138,000.00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791,589.00</w:t>
            </w:r>
          </w:p>
        </w:tc>
        <w:tc>
          <w:tcPr>
            <w:tcW w:w="47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791,589.00</w:t>
            </w:r>
          </w:p>
        </w:tc>
        <w:tc>
          <w:tcPr>
            <w:tcW w:w="507" w:type="pct"/>
            <w:tcBorders>
              <w:top w:val="nil"/>
              <w:left w:val="nil"/>
              <w:bottom w:val="single" w:sz="4" w:space="0" w:color="000000"/>
              <w:right w:val="single" w:sz="4" w:space="0" w:color="000000"/>
            </w:tcBorders>
            <w:shd w:val="clear" w:color="auto" w:fill="auto"/>
            <w:vAlign w:val="bottom"/>
            <w:hideMark/>
          </w:tcPr>
          <w:p w:rsidR="00434773" w:rsidRPr="0031459D" w:rsidRDefault="00434773" w:rsidP="00434773">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3,346,411.00</w:t>
            </w:r>
          </w:p>
        </w:tc>
      </w:tr>
    </w:tbl>
    <w:p w:rsidR="00434773" w:rsidRDefault="00434773" w:rsidP="007B6CFC"/>
    <w:p w:rsidR="00434773" w:rsidRDefault="00434773" w:rsidP="007B6CFC"/>
    <w:p w:rsidR="00260833" w:rsidRDefault="00260833" w:rsidP="007B6CFC">
      <w:pPr>
        <w:autoSpaceDE w:val="0"/>
        <w:autoSpaceDN w:val="0"/>
        <w:adjustRightInd w:val="0"/>
        <w:spacing w:after="0" w:line="180" w:lineRule="exact"/>
        <w:ind w:left="57" w:right="57"/>
        <w:jc w:val="center"/>
        <w:rPr>
          <w:rFonts w:cs="Arial"/>
          <w:b/>
          <w:bCs/>
          <w:color w:val="00B050"/>
          <w:sz w:val="18"/>
          <w:szCs w:val="18"/>
        </w:rPr>
      </w:pPr>
    </w:p>
    <w:p w:rsidR="00E13AC6" w:rsidRDefault="00E13AC6" w:rsidP="007B6CFC">
      <w:pPr>
        <w:autoSpaceDE w:val="0"/>
        <w:autoSpaceDN w:val="0"/>
        <w:adjustRightInd w:val="0"/>
        <w:spacing w:after="0" w:line="180" w:lineRule="exact"/>
        <w:ind w:left="57" w:right="57"/>
        <w:jc w:val="center"/>
        <w:rPr>
          <w:rFonts w:cs="Arial"/>
          <w:b/>
          <w:bCs/>
          <w:color w:val="00B050"/>
          <w:sz w:val="18"/>
          <w:szCs w:val="18"/>
        </w:rPr>
      </w:pPr>
    </w:p>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GOBIERNO</w:t>
      </w:r>
    </w:p>
    <w:p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rsidR="007B6CFC" w:rsidRDefault="007B6CFC" w:rsidP="007B6CFC">
      <w:pPr>
        <w:autoSpaceDE w:val="0"/>
        <w:autoSpaceDN w:val="0"/>
        <w:adjustRightInd w:val="0"/>
        <w:spacing w:before="80" w:after="200" w:line="250" w:lineRule="exact"/>
        <w:rPr>
          <w:rFonts w:eastAsia="Calibri" w:cs="Arial"/>
          <w:sz w:val="18"/>
          <w:szCs w:val="18"/>
          <w:lang w:eastAsia="en-US"/>
        </w:rPr>
      </w:pPr>
      <w:r w:rsidRPr="00260833">
        <w:rPr>
          <w:rFonts w:eastAsia="Calibri" w:cs="Arial"/>
          <w:sz w:val="18"/>
          <w:szCs w:val="18"/>
          <w:shd w:val="clear" w:color="auto" w:fill="FFFFFF"/>
          <w:lang w:eastAsia="en-US"/>
        </w:rPr>
        <w:t>Los recursos destinados</w:t>
      </w:r>
      <w:r w:rsidRPr="00260833">
        <w:rPr>
          <w:rFonts w:eastAsia="Calibri" w:cs="Arial"/>
          <w:sz w:val="18"/>
          <w:szCs w:val="18"/>
          <w:lang w:eastAsia="en-US"/>
        </w:rPr>
        <w:t xml:space="preserve"> a las funciones de Gobierno sumaron </w:t>
      </w:r>
      <w:r w:rsidR="002521EB">
        <w:rPr>
          <w:rFonts w:eastAsia="Calibri" w:cs="Arial"/>
          <w:sz w:val="18"/>
          <w:szCs w:val="18"/>
          <w:lang w:eastAsia="en-US"/>
        </w:rPr>
        <w:t>4</w:t>
      </w:r>
      <w:r w:rsidRPr="00260833">
        <w:rPr>
          <w:rFonts w:eastAsia="Calibri" w:cs="Arial"/>
          <w:sz w:val="18"/>
          <w:szCs w:val="18"/>
          <w:lang w:eastAsia="en-US"/>
        </w:rPr>
        <w:t>,</w:t>
      </w:r>
      <w:r w:rsidR="002521EB">
        <w:rPr>
          <w:rFonts w:eastAsia="Calibri" w:cs="Arial"/>
          <w:sz w:val="18"/>
          <w:szCs w:val="18"/>
          <w:lang w:eastAsia="en-US"/>
        </w:rPr>
        <w:t>369</w:t>
      </w:r>
      <w:r w:rsidR="00393D92">
        <w:rPr>
          <w:rFonts w:eastAsia="Calibri" w:cs="Arial"/>
          <w:sz w:val="18"/>
          <w:szCs w:val="18"/>
          <w:lang w:eastAsia="en-US"/>
        </w:rPr>
        <w:t>.</w:t>
      </w:r>
      <w:r w:rsidR="002521EB">
        <w:rPr>
          <w:rFonts w:eastAsia="Calibri" w:cs="Arial"/>
          <w:sz w:val="18"/>
          <w:szCs w:val="18"/>
          <w:lang w:eastAsia="en-US"/>
        </w:rPr>
        <w:t>8</w:t>
      </w:r>
      <w:r w:rsidRPr="00260833">
        <w:rPr>
          <w:rFonts w:eastAsia="Calibri" w:cs="Arial"/>
          <w:sz w:val="18"/>
          <w:szCs w:val="18"/>
          <w:lang w:eastAsia="en-US"/>
        </w:rPr>
        <w:t xml:space="preserve"> millones de pesos. Del total, </w:t>
      </w:r>
      <w:r w:rsidR="002521EB">
        <w:rPr>
          <w:rFonts w:eastAsia="Calibri" w:cs="Arial"/>
          <w:sz w:val="18"/>
          <w:szCs w:val="18"/>
          <w:lang w:eastAsia="en-US"/>
        </w:rPr>
        <w:t>95</w:t>
      </w:r>
      <w:r w:rsidRPr="00260833">
        <w:rPr>
          <w:rFonts w:eastAsia="Calibri" w:cs="Arial"/>
          <w:sz w:val="18"/>
          <w:szCs w:val="18"/>
          <w:lang w:eastAsia="en-US"/>
        </w:rPr>
        <w:t>.</w:t>
      </w:r>
      <w:r w:rsidR="002521EB">
        <w:rPr>
          <w:rFonts w:eastAsia="Calibri" w:cs="Arial"/>
          <w:sz w:val="18"/>
          <w:szCs w:val="18"/>
          <w:lang w:eastAsia="en-US"/>
        </w:rPr>
        <w:t>0</w:t>
      </w:r>
      <w:r w:rsidRPr="00260833">
        <w:rPr>
          <w:rFonts w:eastAsia="Calibri" w:cs="Arial"/>
          <w:sz w:val="18"/>
          <w:szCs w:val="18"/>
          <w:lang w:eastAsia="en-US"/>
        </w:rPr>
        <w:t xml:space="preserve"> % se concentró en las funciones </w:t>
      </w:r>
      <w:r w:rsidR="003A2941">
        <w:rPr>
          <w:rFonts w:eastAsia="Calibri" w:cs="Arial"/>
          <w:sz w:val="18"/>
          <w:szCs w:val="18"/>
          <w:lang w:eastAsia="en-US"/>
        </w:rPr>
        <w:t>sobre</w:t>
      </w:r>
      <w:r w:rsidR="004916B9">
        <w:rPr>
          <w:rFonts w:eastAsia="Calibri" w:cs="Arial"/>
          <w:sz w:val="18"/>
          <w:szCs w:val="18"/>
          <w:lang w:eastAsia="en-US"/>
        </w:rPr>
        <w:t xml:space="preserve"> </w:t>
      </w:r>
      <w:r w:rsidR="00FD0111" w:rsidRPr="00260833">
        <w:rPr>
          <w:rFonts w:eastAsia="Calibri" w:cs="Arial"/>
          <w:sz w:val="18"/>
          <w:szCs w:val="18"/>
          <w:lang w:eastAsia="en-US"/>
        </w:rPr>
        <w:t xml:space="preserve">Asuntos financieros y hacendarios; </w:t>
      </w:r>
      <w:r w:rsidR="003A2941" w:rsidRPr="00260833">
        <w:rPr>
          <w:rFonts w:eastAsia="Calibri" w:cs="Arial"/>
          <w:sz w:val="18"/>
          <w:szCs w:val="18"/>
          <w:lang w:eastAsia="en-US"/>
        </w:rPr>
        <w:t>Asuntos de Orden Público y de Seguridad Interior;</w:t>
      </w:r>
      <w:r w:rsidR="008A58EF">
        <w:rPr>
          <w:rFonts w:eastAsia="Calibri" w:cs="Arial"/>
          <w:sz w:val="18"/>
          <w:szCs w:val="18"/>
          <w:lang w:eastAsia="en-US"/>
        </w:rPr>
        <w:t xml:space="preserve"> </w:t>
      </w:r>
      <w:r w:rsidR="008A58EF" w:rsidRPr="00260833">
        <w:rPr>
          <w:rFonts w:eastAsia="Calibri" w:cs="Arial"/>
          <w:sz w:val="18"/>
          <w:szCs w:val="18"/>
          <w:lang w:eastAsia="en-US"/>
        </w:rPr>
        <w:t>Justicia;</w:t>
      </w:r>
      <w:r w:rsidR="001F48A5">
        <w:rPr>
          <w:rFonts w:eastAsia="Calibri" w:cs="Arial"/>
          <w:sz w:val="18"/>
          <w:szCs w:val="18"/>
          <w:lang w:eastAsia="en-US"/>
        </w:rPr>
        <w:t xml:space="preserve"> </w:t>
      </w:r>
      <w:r w:rsidR="001F48A5" w:rsidRPr="00260833">
        <w:rPr>
          <w:rFonts w:eastAsia="Calibri" w:cs="Arial"/>
          <w:sz w:val="18"/>
          <w:szCs w:val="18"/>
          <w:lang w:eastAsia="en-US"/>
        </w:rPr>
        <w:t xml:space="preserve">Legislación; </w:t>
      </w:r>
      <w:r w:rsidR="008A58EF" w:rsidRPr="00260833">
        <w:rPr>
          <w:rFonts w:eastAsia="Calibri" w:cs="Arial"/>
          <w:sz w:val="18"/>
          <w:szCs w:val="18"/>
          <w:lang w:eastAsia="en-US"/>
        </w:rPr>
        <w:t xml:space="preserve"> </w:t>
      </w:r>
      <w:r w:rsidR="004916B9" w:rsidRPr="00260833">
        <w:rPr>
          <w:rFonts w:eastAsia="Calibri" w:cs="Arial"/>
          <w:sz w:val="18"/>
          <w:szCs w:val="18"/>
          <w:lang w:eastAsia="en-US"/>
        </w:rPr>
        <w:t>Coordinación de la Política de Gobierno;</w:t>
      </w:r>
      <w:r w:rsidR="00FD0111" w:rsidRPr="00260833">
        <w:rPr>
          <w:rFonts w:eastAsia="Calibri" w:cs="Arial"/>
          <w:sz w:val="18"/>
          <w:szCs w:val="18"/>
          <w:lang w:eastAsia="en-US"/>
        </w:rPr>
        <w:t xml:space="preserve">  </w:t>
      </w:r>
      <w:r w:rsidRPr="00260833">
        <w:rPr>
          <w:rFonts w:eastAsia="Calibri" w:cs="Arial"/>
          <w:sz w:val="18"/>
          <w:szCs w:val="18"/>
          <w:lang w:eastAsia="en-US"/>
        </w:rPr>
        <w:t xml:space="preserve">y el restante </w:t>
      </w:r>
      <w:r w:rsidR="002521EB">
        <w:rPr>
          <w:rFonts w:eastAsia="Calibri" w:cs="Arial"/>
          <w:sz w:val="18"/>
          <w:szCs w:val="18"/>
          <w:lang w:eastAsia="en-US"/>
        </w:rPr>
        <w:t>5</w:t>
      </w:r>
      <w:r w:rsidRPr="00260833">
        <w:rPr>
          <w:rFonts w:eastAsia="Calibri" w:cs="Arial"/>
          <w:sz w:val="18"/>
          <w:szCs w:val="18"/>
          <w:lang w:eastAsia="en-US"/>
        </w:rPr>
        <w:t>.</w:t>
      </w:r>
      <w:r w:rsidR="002521EB">
        <w:rPr>
          <w:rFonts w:eastAsia="Calibri" w:cs="Arial"/>
          <w:sz w:val="18"/>
          <w:szCs w:val="18"/>
          <w:lang w:eastAsia="en-US"/>
        </w:rPr>
        <w:t>0</w:t>
      </w:r>
      <w:r w:rsidR="00AF7F6E">
        <w:rPr>
          <w:rFonts w:eastAsia="Calibri" w:cs="Arial"/>
          <w:sz w:val="18"/>
          <w:szCs w:val="18"/>
          <w:lang w:eastAsia="en-US"/>
        </w:rPr>
        <w:t xml:space="preserve"> % en otro</w:t>
      </w:r>
      <w:r w:rsidRPr="00260833">
        <w:rPr>
          <w:rFonts w:eastAsia="Calibri" w:cs="Arial"/>
          <w:sz w:val="18"/>
          <w:szCs w:val="18"/>
          <w:lang w:eastAsia="en-US"/>
        </w:rPr>
        <w:t xml:space="preserve">s </w:t>
      </w:r>
      <w:r w:rsidR="00AF7F6E">
        <w:rPr>
          <w:rFonts w:eastAsia="Calibri" w:cs="Arial"/>
          <w:sz w:val="18"/>
          <w:szCs w:val="18"/>
          <w:lang w:eastAsia="en-US"/>
        </w:rPr>
        <w:t>servicios generales</w:t>
      </w:r>
      <w:r w:rsidRPr="00260833">
        <w:rPr>
          <w:rFonts w:eastAsia="Calibri" w:cs="Arial"/>
          <w:sz w:val="18"/>
          <w:szCs w:val="18"/>
          <w:lang w:eastAsia="en-US"/>
        </w:rPr>
        <w:t>.</w:t>
      </w:r>
      <w:r w:rsidR="003A2941">
        <w:rPr>
          <w:rFonts w:eastAsia="Calibri" w:cs="Arial"/>
          <w:sz w:val="18"/>
          <w:szCs w:val="18"/>
          <w:lang w:eastAsia="en-US"/>
        </w:rPr>
        <w:t xml:space="preserve"> </w:t>
      </w:r>
    </w:p>
    <w:tbl>
      <w:tblPr>
        <w:tblW w:w="5000" w:type="pct"/>
        <w:tblCellMar>
          <w:left w:w="70" w:type="dxa"/>
          <w:right w:w="70" w:type="dxa"/>
        </w:tblCellMar>
        <w:tblLook w:val="04A0" w:firstRow="1" w:lastRow="0" w:firstColumn="1" w:lastColumn="0" w:noHBand="0" w:noVBand="1"/>
      </w:tblPr>
      <w:tblGrid>
        <w:gridCol w:w="1487"/>
        <w:gridCol w:w="3909"/>
        <w:gridCol w:w="1402"/>
        <w:gridCol w:w="1256"/>
        <w:gridCol w:w="1346"/>
        <w:gridCol w:w="1267"/>
        <w:gridCol w:w="1267"/>
        <w:gridCol w:w="1344"/>
      </w:tblGrid>
      <w:tr w:rsidR="00B163C9" w:rsidRPr="0031459D" w:rsidTr="00233BBC">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233BBC">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2019</w:t>
            </w:r>
          </w:p>
        </w:tc>
      </w:tr>
      <w:tr w:rsidR="00B163C9" w:rsidRPr="0031459D" w:rsidTr="00233BBC">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233BBC">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rsidTr="00233BBC">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233BBC">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rsidTr="00233BBC">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233BBC">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rsidTr="00233BBC">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233BBC">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DEL 01 DE ENERO DE 2019 AL 31 DE MARZO DE 2019</w:t>
            </w:r>
          </w:p>
        </w:tc>
      </w:tr>
      <w:tr w:rsidR="00B163C9" w:rsidRPr="0031459D" w:rsidTr="00233BBC">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B163C9" w:rsidRPr="0031459D" w:rsidRDefault="00B163C9" w:rsidP="00233BBC">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rsidTr="00233BBC">
        <w:trPr>
          <w:trHeight w:val="402"/>
          <w:tblHeader/>
        </w:trPr>
        <w:tc>
          <w:tcPr>
            <w:tcW w:w="2031"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62" w:type="pct"/>
            <w:gridSpan w:val="5"/>
            <w:tcBorders>
              <w:top w:val="single" w:sz="4" w:space="0" w:color="000000"/>
              <w:left w:val="nil"/>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rsidTr="00233BBC">
        <w:trPr>
          <w:trHeight w:val="300"/>
          <w:tblHeader/>
        </w:trPr>
        <w:tc>
          <w:tcPr>
            <w:tcW w:w="2031"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c>
          <w:tcPr>
            <w:tcW w:w="528"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3" w:type="pct"/>
            <w:tcBorders>
              <w:top w:val="nil"/>
              <w:left w:val="nil"/>
              <w:bottom w:val="nil"/>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r>
      <w:tr w:rsidR="00B163C9" w:rsidRPr="0031459D" w:rsidTr="00233BBC">
        <w:trPr>
          <w:trHeight w:val="300"/>
          <w:tblHeader/>
        </w:trPr>
        <w:tc>
          <w:tcPr>
            <w:tcW w:w="2031"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c>
          <w:tcPr>
            <w:tcW w:w="528"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c>
          <w:tcPr>
            <w:tcW w:w="47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7"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r>
      <w:tr w:rsidR="00B163C9" w:rsidRPr="0031459D" w:rsidTr="00233BBC">
        <w:trPr>
          <w:trHeight w:val="402"/>
          <w:tblHeader/>
        </w:trPr>
        <w:tc>
          <w:tcPr>
            <w:tcW w:w="2031"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233BBC">
            <w:pPr>
              <w:spacing w:after="0"/>
              <w:jc w:val="left"/>
              <w:rPr>
                <w:rFonts w:ascii="Calibri" w:hAnsi="Calibri" w:cs="Calibri"/>
                <w:b/>
                <w:bCs/>
                <w:color w:val="000000"/>
                <w:sz w:val="16"/>
                <w:szCs w:val="16"/>
                <w:lang w:eastAsia="es-MX"/>
              </w:rPr>
            </w:pPr>
          </w:p>
        </w:tc>
        <w:tc>
          <w:tcPr>
            <w:tcW w:w="528"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3"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7"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7"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233BBC">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B163C9" w:rsidRPr="0031459D" w:rsidTr="00233BBC">
        <w:trPr>
          <w:trHeight w:val="300"/>
        </w:trPr>
        <w:tc>
          <w:tcPr>
            <w:tcW w:w="560" w:type="pct"/>
            <w:tcBorders>
              <w:top w:val="nil"/>
              <w:left w:val="single" w:sz="4" w:space="0" w:color="000000"/>
              <w:bottom w:val="nil"/>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3,725,427,226.40</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644,431,442.09</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4,369,858,668.49</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470,081,999.71</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469,183,676.45</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3,899,776,668.78</w:t>
            </w:r>
          </w:p>
        </w:tc>
      </w:tr>
      <w:tr w:rsidR="00B163C9" w:rsidRPr="0031459D" w:rsidTr="00233BBC">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307,504,800.00</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26,687,722.00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334,192,522.00</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100,213,922.00</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100,213,922.00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233,978,600.00</w:t>
            </w:r>
          </w:p>
        </w:tc>
      </w:tr>
      <w:tr w:rsidR="00B163C9" w:rsidRPr="0031459D" w:rsidTr="00233BBC">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629,874,560.55</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1,376,133.17</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631,250,693.72</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127,200,054.04</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127,034,864.70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504,050,639.68</w:t>
            </w:r>
          </w:p>
        </w:tc>
      </w:tr>
      <w:tr w:rsidR="00B163C9" w:rsidRPr="0031459D" w:rsidTr="00233BBC">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312,366,134.37</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10,538,816.01</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322,904,950.38</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81,098,020.23</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80,955,350.20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241,806,930.15</w:t>
            </w:r>
          </w:p>
        </w:tc>
      </w:tr>
      <w:tr w:rsidR="00B163C9" w:rsidRPr="0031459D" w:rsidTr="00233BBC">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B163C9" w:rsidRPr="0031459D" w:rsidTr="00233BBC">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1,602,168,999.34</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591,783,136.00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2,193,952,135.34</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29,815,024.53</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29,661,331.67</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2,164,137,110.81</w:t>
            </w:r>
          </w:p>
        </w:tc>
      </w:tr>
      <w:tr w:rsidR="00B163C9" w:rsidRPr="0031459D" w:rsidTr="00233BBC">
        <w:trPr>
          <w:trHeight w:val="285"/>
        </w:trPr>
        <w:tc>
          <w:tcPr>
            <w:tcW w:w="560" w:type="pct"/>
            <w:tcBorders>
              <w:top w:val="nil"/>
              <w:left w:val="single" w:sz="4" w:space="0" w:color="000000"/>
              <w:bottom w:val="nil"/>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0.00</w:t>
            </w:r>
          </w:p>
        </w:tc>
      </w:tr>
      <w:tr w:rsidR="00B163C9" w:rsidRPr="0031459D" w:rsidTr="00233BBC">
        <w:trPr>
          <w:trHeight w:val="285"/>
        </w:trPr>
        <w:tc>
          <w:tcPr>
            <w:tcW w:w="560" w:type="pct"/>
            <w:tcBorders>
              <w:top w:val="nil"/>
              <w:left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655,692,223.04</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13,807,222.17</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669,499,445.21</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90,940,573.54</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90,857,348.22</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578,558,871.67</w:t>
            </w:r>
          </w:p>
        </w:tc>
      </w:tr>
      <w:tr w:rsidR="00B163C9" w:rsidRPr="0031459D" w:rsidTr="00233BBC">
        <w:trPr>
          <w:trHeight w:val="285"/>
        </w:trPr>
        <w:tc>
          <w:tcPr>
            <w:tcW w:w="560" w:type="pct"/>
            <w:tcBorders>
              <w:top w:val="nil"/>
              <w:left w:val="single" w:sz="4" w:space="0" w:color="000000"/>
              <w:bottom w:val="single" w:sz="4" w:space="0" w:color="auto"/>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2"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8"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217,820,509.10</w:t>
            </w:r>
          </w:p>
        </w:tc>
        <w:tc>
          <w:tcPr>
            <w:tcW w:w="473"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238,412.74</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218,058,921.84</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40,814,405.37</w:t>
            </w:r>
          </w:p>
        </w:tc>
        <w:tc>
          <w:tcPr>
            <w:tcW w:w="47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40,460,859.66</w:t>
            </w:r>
          </w:p>
        </w:tc>
        <w:tc>
          <w:tcPr>
            <w:tcW w:w="507" w:type="pct"/>
            <w:tcBorders>
              <w:top w:val="nil"/>
              <w:left w:val="nil"/>
              <w:bottom w:val="single" w:sz="4" w:space="0" w:color="000000"/>
              <w:right w:val="single" w:sz="4" w:space="0" w:color="000000"/>
            </w:tcBorders>
            <w:shd w:val="clear" w:color="auto" w:fill="auto"/>
            <w:vAlign w:val="bottom"/>
            <w:hideMark/>
          </w:tcPr>
          <w:p w:rsidR="00B163C9" w:rsidRPr="0031459D" w:rsidRDefault="00B163C9" w:rsidP="00233BBC">
            <w:pPr>
              <w:spacing w:after="0"/>
              <w:jc w:val="right"/>
              <w:rPr>
                <w:rFonts w:ascii="Calibri" w:hAnsi="Calibri" w:cs="Calibri"/>
                <w:color w:val="000000"/>
                <w:sz w:val="16"/>
                <w:szCs w:val="16"/>
                <w:lang w:eastAsia="es-MX"/>
              </w:rPr>
            </w:pPr>
            <w:r w:rsidRPr="0031459D">
              <w:rPr>
                <w:rFonts w:ascii="Calibri" w:hAnsi="Calibri" w:cs="Calibri"/>
                <w:color w:val="000000"/>
                <w:sz w:val="16"/>
                <w:szCs w:val="16"/>
                <w:lang w:eastAsia="es-MX"/>
              </w:rPr>
              <w:t>177,244,516.47</w:t>
            </w:r>
          </w:p>
        </w:tc>
      </w:tr>
    </w:tbl>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MEDIDAS DE AUSTERIDAD Y AHORRO EN EL GASTO PÚBLICO</w:t>
      </w:r>
    </w:p>
    <w:p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rsidR="007B6CFC" w:rsidRPr="0004140A" w:rsidRDefault="007B6CFC" w:rsidP="007B6CFC">
      <w:pPr>
        <w:autoSpaceDE w:val="0"/>
        <w:autoSpaceDN w:val="0"/>
        <w:adjustRightInd w:val="0"/>
        <w:spacing w:after="0" w:line="276" w:lineRule="auto"/>
        <w:rPr>
          <w:rFonts w:eastAsia="Calibri" w:cs="Arial"/>
          <w:sz w:val="18"/>
          <w:szCs w:val="18"/>
          <w:lang w:eastAsia="en-US"/>
        </w:rPr>
      </w:pPr>
    </w:p>
    <w:p w:rsidR="007B6CFC" w:rsidRPr="00BC6C28" w:rsidRDefault="007B6CFC" w:rsidP="007B6CFC">
      <w:pPr>
        <w:autoSpaceDE w:val="0"/>
        <w:autoSpaceDN w:val="0"/>
        <w:adjustRightInd w:val="0"/>
        <w:spacing w:after="0" w:line="276" w:lineRule="auto"/>
        <w:rPr>
          <w:rFonts w:eastAsia="Calibri" w:cs="Arial"/>
          <w:sz w:val="18"/>
          <w:szCs w:val="18"/>
          <w:lang w:eastAsia="en-US"/>
        </w:rPr>
      </w:pPr>
      <w:r w:rsidRPr="00BC6C28">
        <w:rPr>
          <w:rFonts w:eastAsia="Calibri" w:cs="Arial"/>
          <w:sz w:val="18"/>
          <w:szCs w:val="18"/>
          <w:lang w:eastAsia="en-US"/>
        </w:rPr>
        <w:t xml:space="preserve">En congruencia con lo anterior, </w:t>
      </w:r>
      <w:r w:rsidR="00186739" w:rsidRPr="00BC6C28">
        <w:rPr>
          <w:rFonts w:eastAsia="Calibri" w:cs="Arial"/>
          <w:sz w:val="18"/>
          <w:szCs w:val="18"/>
          <w:lang w:eastAsia="en-US"/>
        </w:rPr>
        <w:t xml:space="preserve">el Ejecutivo Estatal emitió el </w:t>
      </w:r>
      <w:r w:rsidRPr="00BC6C28">
        <w:rPr>
          <w:rFonts w:eastAsia="Calibri" w:cs="Arial"/>
          <w:sz w:val="18"/>
          <w:szCs w:val="18"/>
          <w:lang w:eastAsia="en-US"/>
        </w:rPr>
        <w:t>1</w:t>
      </w:r>
      <w:r w:rsidR="00186739" w:rsidRPr="00BC6C28">
        <w:rPr>
          <w:rFonts w:eastAsia="Calibri" w:cs="Arial"/>
          <w:sz w:val="18"/>
          <w:szCs w:val="18"/>
          <w:lang w:eastAsia="en-US"/>
        </w:rPr>
        <w:t>5</w:t>
      </w:r>
      <w:r w:rsidRPr="00BC6C28">
        <w:rPr>
          <w:rFonts w:eastAsia="Calibri" w:cs="Arial"/>
          <w:sz w:val="18"/>
          <w:szCs w:val="18"/>
          <w:lang w:eastAsia="en-US"/>
        </w:rPr>
        <w:t xml:space="preserve"> de </w:t>
      </w:r>
      <w:r w:rsidR="00186739" w:rsidRPr="00BC6C28">
        <w:rPr>
          <w:rFonts w:eastAsia="Calibri" w:cs="Arial"/>
          <w:sz w:val="18"/>
          <w:szCs w:val="18"/>
          <w:lang w:eastAsia="en-US"/>
        </w:rPr>
        <w:t>febr</w:t>
      </w:r>
      <w:r w:rsidRPr="00BC6C28">
        <w:rPr>
          <w:rFonts w:eastAsia="Calibri" w:cs="Arial"/>
          <w:sz w:val="18"/>
          <w:szCs w:val="18"/>
          <w:lang w:eastAsia="en-US"/>
        </w:rPr>
        <w:t>ero de 201</w:t>
      </w:r>
      <w:r w:rsidR="00D54009" w:rsidRPr="00BC6C28">
        <w:rPr>
          <w:rFonts w:eastAsia="Calibri" w:cs="Arial"/>
          <w:sz w:val="18"/>
          <w:szCs w:val="18"/>
          <w:lang w:eastAsia="en-US"/>
        </w:rPr>
        <w:t>9</w:t>
      </w:r>
      <w:r w:rsidRPr="00BC6C28">
        <w:rPr>
          <w:rFonts w:eastAsia="Calibri" w:cs="Arial"/>
          <w:sz w:val="18"/>
          <w:szCs w:val="18"/>
          <w:lang w:eastAsia="en-US"/>
        </w:rPr>
        <w:t xml:space="preserve"> el “Acuerdo que establece los Lineamientos y Políticas Generales del Ejercicio del Presupuesto, las Medidas de Mejora y Modernización</w:t>
      </w:r>
      <w:r w:rsidR="007900E5" w:rsidRPr="00BC6C28">
        <w:rPr>
          <w:rFonts w:eastAsia="Calibri" w:cs="Arial"/>
          <w:sz w:val="18"/>
          <w:szCs w:val="18"/>
          <w:lang w:eastAsia="en-US"/>
        </w:rPr>
        <w:t>, así como</w:t>
      </w:r>
      <w:r w:rsidRPr="00BC6C28">
        <w:rPr>
          <w:rFonts w:eastAsia="Calibri" w:cs="Arial"/>
          <w:sz w:val="18"/>
          <w:szCs w:val="18"/>
          <w:lang w:eastAsia="en-US"/>
        </w:rPr>
        <w:t xml:space="preserve"> de Austeridad del Gasto Púbico </w:t>
      </w:r>
      <w:r w:rsidR="007900E5" w:rsidRPr="00BC6C28">
        <w:rPr>
          <w:rFonts w:eastAsia="Calibri" w:cs="Arial"/>
          <w:sz w:val="18"/>
          <w:szCs w:val="18"/>
          <w:lang w:eastAsia="en-US"/>
        </w:rPr>
        <w:t xml:space="preserve">de la Gestión </w:t>
      </w:r>
      <w:r w:rsidR="00D26965" w:rsidRPr="00BC6C28">
        <w:rPr>
          <w:rFonts w:eastAsia="Calibri" w:cs="Arial"/>
          <w:sz w:val="18"/>
          <w:szCs w:val="18"/>
          <w:lang w:eastAsia="en-US"/>
        </w:rPr>
        <w:t>Administrativa</w:t>
      </w:r>
      <w:r w:rsidRPr="00BC6C28">
        <w:rPr>
          <w:rFonts w:eastAsia="Calibri" w:cs="Arial"/>
          <w:sz w:val="18"/>
          <w:szCs w:val="18"/>
          <w:lang w:eastAsia="en-US"/>
        </w:rPr>
        <w:t xml:space="preserve">”. </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rsidR="00C074C1" w:rsidRPr="00E441FB" w:rsidRDefault="00C074C1" w:rsidP="00C074C1">
      <w:pPr>
        <w:rPr>
          <w:rFonts w:cs="Arial"/>
          <w:sz w:val="18"/>
          <w:szCs w:val="18"/>
        </w:rPr>
      </w:pPr>
      <w:r w:rsidRPr="00E441FB">
        <w:rPr>
          <w:rFonts w:cs="Arial"/>
          <w:sz w:val="18"/>
          <w:szCs w:val="18"/>
        </w:rPr>
        <w:t xml:space="preserve">Las dependencias y entidades en materia de servicios personales, deberán observar lo siguiente: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 menor entre: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3 por ciento de crecimiento real, 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Se exceptúa del cumplimiento de la presente fracción, el monto erogado por sentencias laborales definitivas emitidas por la autoridad competente.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Así como a los criterios que en la materia establezca el Ejecutivo por conducto de la Oficialía Mayor;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Contar con la autorización expresa de la Contraloría respecto de los organigramas y de Oficialía Mayor a lo que corresponde a la plantilla y los tabuladores de percepciones respectivamente, en los plazos que se establezcan;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Reducir al mínimo indispensable el personal por honorarios y cancelar los interinatos administrativos y los comisionados no justificados. Esta acción será coordinada y controlada por la Oficialía Mayor para garantizar su cumplimiento;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plazas operativas del área de seguridad que estén utilizadas en actividades administrativas, deberán regresar a su tarea sustantiva, garantizando que se cubra el perfil del puesto;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habrá incrementos salariales, excepto los previstos en el presupuesto para el personal operativo con la autorización de la Oficialía Mayor y la Secretaría;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En el Poder Ejecutivo, ningún salario podrá ser superior al asignado al Gobernador del Estado;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entidades deberán contar además, con la aprobación de su Órgano de Gobierno;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Transferencias.- No se podrán transferir recursos de otros capítulos de gasto al de servicios personales;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Plazas vacantes.- Con excepción de las plazas pertenecientes a áreas que por la naturaleza de su función o por determinación de Ley requieren de todo su personal; las plazas no sustantivas que se encuentran vacantes se mantendrán congeladas;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Retiro voluntario.- Atender las disposiciones que emita la Oficialía Mayor, para promover la aportación de recursos para el Fondo de retiro, el retiro voluntario de los servidores públicos de acuerdo al programa que apruebe la Secretaría en razón de la disponibilidad financiera;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Establecer sistemas de administración de personal y reportar trimestralmente a la Oficialía Mayor, el número de plazas por tipo de relación laboral, nivel, sueldo, prestaciones y costo;</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Asimismo, deberán promover la capacitación de sus servidores públicos y diseñar procedimientos para evaluar su desempeño;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plazas de apoyo.- La Oficialía Mayor determinará la asignación de plazas de secretarios particulares, asesores o choferes, a los Titulares de dependencias y entidades, y por excepción, cuando la operación lo amerite, a los mandos medios;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Servicios Médicos.- En la prestación de servicios médicos, se deberá revisar, racionalizar y transparentar el gasto, sin afectar el derecho de los trabajadores, mediante: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verificación del padrón de beneficiarios, garantizando que sean derechohabientes, conforme a la normatividad;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utilización del cuadro básico de medicamentos establecido por el Sector Salud;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El registro y seguimiento puntual del expediente de cada paciente, a fin de verificar la racionalidad y congruencia del tratamiento y medicamentos recetados;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promoción por la Oficialía Mayor para que se utilicen, en primera instancia, los servicios de las instituciones públicas y sólo en caso de excepción, las privadas;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servidores públicos que cuenten con plaza federal, sólo tendrán derecho a los servicios médicos del Instituto de Seguridad y Servicios Sociales de los Trabajadores del Estado (ISSSTE), no podrán recibir servicio médico estatal, 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El reembolso de gastos médicos erogados por los servidores públicos se realizará de manera eficiente y transparente en sus cuentas bancarias de nómina.</w:t>
      </w:r>
    </w:p>
    <w:p w:rsidR="004703E9" w:rsidRDefault="004703E9" w:rsidP="00C074C1">
      <w:pPr>
        <w:rPr>
          <w:rFonts w:cs="Arial"/>
          <w:sz w:val="18"/>
          <w:szCs w:val="18"/>
        </w:rPr>
      </w:pPr>
    </w:p>
    <w:p w:rsidR="004703E9" w:rsidRDefault="004703E9" w:rsidP="00C074C1">
      <w:pPr>
        <w:rPr>
          <w:rFonts w:cs="Arial"/>
          <w:sz w:val="18"/>
          <w:szCs w:val="18"/>
        </w:rPr>
      </w:pPr>
    </w:p>
    <w:p w:rsidR="00C074C1" w:rsidRPr="00E441FB" w:rsidRDefault="00C074C1" w:rsidP="00C074C1">
      <w:pPr>
        <w:rPr>
          <w:rFonts w:cs="Arial"/>
          <w:sz w:val="18"/>
          <w:szCs w:val="18"/>
        </w:rPr>
      </w:pPr>
      <w:r w:rsidRPr="00E441FB">
        <w:rPr>
          <w:rFonts w:cs="Arial"/>
          <w:sz w:val="18"/>
          <w:szCs w:val="18"/>
        </w:rPr>
        <w:lastRenderedPageBreak/>
        <w:t xml:space="preserve">En materia de recursos materiales deberán observar lo siguiente: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Reproducción.- Se reducirá el gasto de impresión y fotocopiado, se aumentarán los procesos electrónicos de gestión de documentos.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Queda prohibida la impresión y fotocopiado de documentos que no tengan relación con las funciones de las dependencias y entidades;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Actualización tecnológica.- La adquisición y actualización de tecnologías de información y comunicación deberá cumplir con las especificaciones y estándares establecidas por la Contraloría, conforme a la política de estrategia digital implementada por el Ejecutivo.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El equipo informático debe estar debidamente inventariado, asegurado, contar con las licencias actualizadas para su uso y estar integrado a un programa permanente de mantenimiento, y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Combustibles.- La dotación de combustible a los vehículos propiedad del Gobierno del Estado, se hará invariablemente, mediante el sistema de tarjetas electrónicas, el cual debe ser de amplia cobertura, ágil y que garantice el control del suministro.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comprobación se hará mensualmente por medio de una bitácora de servicio, debidamente revisada y firmada por el jefe del área correspondiente a la de asignación del vehículo.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rsidR="00C074C1" w:rsidRPr="00E441FB" w:rsidRDefault="00C074C1" w:rsidP="00C074C1">
      <w:pPr>
        <w:rPr>
          <w:rFonts w:cs="Arial"/>
          <w:sz w:val="18"/>
          <w:szCs w:val="18"/>
        </w:rPr>
      </w:pPr>
      <w:r w:rsidRPr="00E441FB">
        <w:rPr>
          <w:rFonts w:cs="Arial"/>
          <w:sz w:val="18"/>
          <w:szCs w:val="18"/>
        </w:rPr>
        <w:t>En materia de servicios generales deberán observar lo siguiente:</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Comunicación.- Para disminuir el gasto de telefonía, la Oficialía Mayor, en coordinación con la SECTE, realizarán acciones para: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Promover la utilización del correo electrónico;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Verificar el consumo en cada dependencia y entidad, contra el recibo correspondiente, dictar medidas para evitar excesos y determinar el procedimiento para el cobro de llamadas personales de larga distancia a los usuarios;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Revisar las tarifas y cuotas establecidas por la empresa prestadora del servicio a fin de verificar que estén establecidos de acuerdo a los precios del mercado;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El servicio de internet será contratado centralmente por SECTE, la cual verificará el servicio en escuelas y centros de salud sin conectividad, e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Servicio de agua potable y eléctrico.- Para racionalizar los consumos y aplicar medidas de protección del medio ambiente, se deberán efectuar revisiones periódicas a las instalaciones </w:t>
      </w:r>
      <w:proofErr w:type="spellStart"/>
      <w:r w:rsidRPr="00E441FB">
        <w:rPr>
          <w:rFonts w:ascii="Arial" w:hAnsi="Arial" w:cs="Arial"/>
          <w:sz w:val="18"/>
          <w:szCs w:val="18"/>
        </w:rPr>
        <w:t>hidrosanitarias</w:t>
      </w:r>
      <w:proofErr w:type="spellEnd"/>
      <w:r w:rsidRPr="00E441FB">
        <w:rPr>
          <w:rFonts w:ascii="Arial" w:hAnsi="Arial" w:cs="Arial"/>
          <w:sz w:val="18"/>
          <w:szCs w:val="18"/>
        </w:rPr>
        <w:t xml:space="preserve">, a fin de detectar fugas y proceder a su inmediata reparación, así como instalar llaves especiales en lavamanos y mingitorios para evitar que se mantengan abiertas.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La SECODUVI,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Asimismo, para prevenir accidentes y controlar el consumo, queda prohibida, en las oficinas de las dependencias y entidades, la utilización de parrillas eléctricas, ornamentos y cualquier otro aparato ajeno a las labores de oficina;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lastRenderedPageBreak/>
        <w:t xml:space="preserve">Para racionalizar el gasto destinado al mantenimiento de vehículos, se deberá cumplir de manera estricta con las normas administrativas para asignación, uso y control de los vehículos propiedad del Ejecutivo, emitidas por la Oficialía Mayor. Queda prohibida la asignación de vehículos para uso personal de mandos medios, en caso de requerirse el servicio, cada dependencia o entidad deberá establecer una reserva de vehículos para cubrir sus necesidades;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Los gastos de difusión deberán sujetarse a las reglas y tiempos señalados en la Ley General de Instituciones y Procedimientos Electorales vigente;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Pasajes y viáticos.- Su otorgamiento para viajes nacionales e internacionales, se ajustará invariablemente a la normatividad y tabulador autorizado, bajo los criterios de racionalidad.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 Pasajes terrestres.- Los recibos que comprueben el pago de pasajes deberán ser acompañados por la bitácora de traslados correspondiente, los pagos por este concepto no pueden ser utilizados como compensación salarial, y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VII. 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rsidR="00C074C1" w:rsidRPr="00E441FB" w:rsidRDefault="00C074C1" w:rsidP="00C074C1">
      <w:pPr>
        <w:pStyle w:val="Prrafodelista"/>
        <w:ind w:left="1845"/>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 xml:space="preserve">En materia de bienes muebles e inmuebles deberán observar lo siguiente: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Adquisiciones de mobiliario y equipo.- Deberán reducirse al mínimo indispensable;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operación deberá apegarse a las reglas generales de asignación, uso y mantenimiento de vehículos de la Oficialía Mayor;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Inventarios.- Los bienes muebles propiedad del Estado, deberán ser inventariados, asegurados, conciliados en la contabilidad y resguardados por los usuarios conforme al procedimiento establecido.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Los bienes inmuebles patrimonio del Estado, se registrarán, controlarán, resguardarán y, en su caso, se regularizará la situación legal de los mismos;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Almacenes.- Las dependencias y entidades establecerán un sistema permanente de depuración de almacenes, a fin de que los recursos existentes sean utilizados, se eviten compras innecesarias, y se enajenen los bienes que estén obsoletos o en desuso.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 y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Inmuebles.- La adquisición y/o arrendamiento de inmuebles se realizará por conducto de la Oficialía Mayor y procederá exclusivamente cuando no se cuente con bienes propios aptos para cubrir las necesidades y previo análisis del costo – beneficio. </w:t>
      </w:r>
    </w:p>
    <w:p w:rsidR="00C074C1" w:rsidRPr="00E441FB" w:rsidRDefault="00C074C1" w:rsidP="00C074C1">
      <w:pPr>
        <w:rPr>
          <w:rFonts w:cs="Arial"/>
          <w:sz w:val="18"/>
          <w:szCs w:val="18"/>
        </w:rPr>
      </w:pPr>
      <w:r w:rsidRPr="00E441FB">
        <w:rPr>
          <w:rFonts w:cs="Arial"/>
          <w:sz w:val="18"/>
          <w:szCs w:val="18"/>
        </w:rPr>
        <w:t>En materia de obra pública deberán observar lo siguiente:</w:t>
      </w:r>
    </w:p>
    <w:p w:rsidR="00C074C1" w:rsidRPr="00E441FB" w:rsidRDefault="00C074C1" w:rsidP="00C074C1">
      <w:pPr>
        <w:rPr>
          <w:rFonts w:cs="Arial"/>
          <w:sz w:val="18"/>
          <w:szCs w:val="18"/>
        </w:rPr>
      </w:pPr>
      <w:r w:rsidRPr="00E441FB">
        <w:rPr>
          <w:rFonts w:cs="Arial"/>
          <w:sz w:val="18"/>
          <w:szCs w:val="18"/>
        </w:rPr>
        <w:t xml:space="preserve">Para garantizar las mejores condiciones de calidad, precio y oportunidad para el Estado, la ejecución y/o contratación de la obra pública y servicios relacionados con la misma, que requieran las dependencias y entidades, se efectuará por conducto de la SECODUVI, en términos del Programa Anual de Obras autorizado, cumpliendo estrictamente con lo establecido en la fracción IV del artículo 13 del presente Acuerdo. </w:t>
      </w:r>
    </w:p>
    <w:p w:rsidR="00C074C1" w:rsidRPr="00E441FB" w:rsidRDefault="00C074C1" w:rsidP="00C074C1">
      <w:pPr>
        <w:rPr>
          <w:rFonts w:cs="Arial"/>
          <w:sz w:val="18"/>
          <w:szCs w:val="18"/>
        </w:rPr>
      </w:pPr>
      <w:r w:rsidRPr="00E441FB">
        <w:rPr>
          <w:rFonts w:cs="Arial"/>
          <w:sz w:val="18"/>
          <w:szCs w:val="18"/>
        </w:rPr>
        <w:t xml:space="preserve">En tratándose de infraestructura educativa, esta se realizará por conducto del Instituto Tlaxcalteca de la Infraestructura Física Educativa, conforme al Programa Anual de Obras respectivo. </w:t>
      </w:r>
    </w:p>
    <w:p w:rsidR="00C074C1" w:rsidRPr="00E441FB" w:rsidRDefault="00C074C1" w:rsidP="00C074C1">
      <w:pPr>
        <w:rPr>
          <w:rFonts w:cs="Arial"/>
          <w:sz w:val="18"/>
          <w:szCs w:val="18"/>
        </w:rPr>
      </w:pPr>
      <w:r w:rsidRPr="00E441FB">
        <w:rPr>
          <w:rFonts w:cs="Arial"/>
          <w:sz w:val="18"/>
          <w:szCs w:val="18"/>
        </w:rPr>
        <w:lastRenderedPageBreak/>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rsidR="00C074C1" w:rsidRPr="00E441FB" w:rsidRDefault="00C074C1" w:rsidP="00C074C1">
      <w:pPr>
        <w:rPr>
          <w:rFonts w:cs="Arial"/>
          <w:sz w:val="18"/>
          <w:szCs w:val="18"/>
        </w:rPr>
      </w:pPr>
      <w:r w:rsidRPr="00E441FB">
        <w:rPr>
          <w:rFonts w:cs="Arial"/>
          <w:sz w:val="18"/>
          <w:szCs w:val="18"/>
        </w:rPr>
        <w:t xml:space="preserve">Las entidades para la ejecución de obra pública o servicios relacionados con la misma, deberán convenir con la SECODUVI, la ejecución de la misma. </w:t>
      </w:r>
    </w:p>
    <w:p w:rsidR="00C074C1" w:rsidRPr="00E441FB" w:rsidRDefault="00C074C1" w:rsidP="00C074C1">
      <w:pPr>
        <w:rPr>
          <w:rFonts w:cs="Arial"/>
          <w:sz w:val="18"/>
          <w:szCs w:val="18"/>
        </w:rPr>
      </w:pPr>
      <w:r w:rsidRPr="00E441FB">
        <w:rPr>
          <w:rFonts w:cs="Arial"/>
          <w:sz w:val="18"/>
          <w:szCs w:val="18"/>
        </w:rPr>
        <w:t xml:space="preserve">La SECODUVI y el Instituto Tlaxcalteca de la Infraestructura Física Educativa, al llevar a cabo procesos licitatorios y de contratación, deberán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rsidR="00C074C1" w:rsidRPr="00E441FB" w:rsidRDefault="00C074C1" w:rsidP="00C074C1">
      <w:pPr>
        <w:rPr>
          <w:rFonts w:cs="Arial"/>
          <w:sz w:val="18"/>
          <w:szCs w:val="18"/>
        </w:rPr>
      </w:pPr>
      <w:r w:rsidRPr="00E441FB">
        <w:rPr>
          <w:rFonts w:cs="Arial"/>
          <w:sz w:val="18"/>
          <w:szCs w:val="18"/>
        </w:rPr>
        <w:t xml:space="preserve">Los programas de obras del ejercicio correspondiente, deberán quedar presupuestariamente comprometidos y ejecutados, conforme a disponibilidad financiera y en su caso, a la calendarización establecida atendiendo a la fuente y </w:t>
      </w:r>
      <w:proofErr w:type="spellStart"/>
      <w:r w:rsidRPr="00E441FB">
        <w:rPr>
          <w:rFonts w:cs="Arial"/>
          <w:sz w:val="18"/>
          <w:szCs w:val="18"/>
        </w:rPr>
        <w:t>subfuente</w:t>
      </w:r>
      <w:proofErr w:type="spellEnd"/>
      <w:r w:rsidRPr="00E441FB">
        <w:rPr>
          <w:rFonts w:cs="Arial"/>
          <w:sz w:val="18"/>
          <w:szCs w:val="18"/>
        </w:rPr>
        <w:t xml:space="preserve"> de financiamiento, a más tardar el 30 de noviembre del mismo año, cuando no exista impedimento normativo o financiero alguno.</w:t>
      </w:r>
    </w:p>
    <w:p w:rsidR="00895C66" w:rsidRPr="00DB69C4" w:rsidRDefault="00895C66" w:rsidP="00895C66">
      <w:pPr>
        <w:rPr>
          <w:rFonts w:cs="Arial"/>
          <w:sz w:val="18"/>
          <w:szCs w:val="18"/>
        </w:rPr>
      </w:pPr>
      <w:r w:rsidRPr="00DB69C4">
        <w:rPr>
          <w:rFonts w:cs="Arial"/>
          <w:sz w:val="18"/>
          <w:szCs w:val="18"/>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Clasificadores presupuestarios: rubro de ingresos, administrativo, funcional del gasto, programático, tipo de gasto, objeto de gasto, fuentes y </w:t>
      </w:r>
      <w:proofErr w:type="spellStart"/>
      <w:r w:rsidRPr="00DB69C4">
        <w:rPr>
          <w:rFonts w:ascii="Arial" w:hAnsi="Arial" w:cs="Arial"/>
          <w:sz w:val="18"/>
          <w:szCs w:val="18"/>
        </w:rPr>
        <w:t>subfuentes</w:t>
      </w:r>
      <w:proofErr w:type="spellEnd"/>
      <w:r w:rsidRPr="00DB69C4">
        <w:rPr>
          <w:rFonts w:ascii="Arial" w:hAnsi="Arial" w:cs="Arial"/>
          <w:sz w:val="18"/>
          <w:szCs w:val="18"/>
        </w:rPr>
        <w:t xml:space="preserve"> de financiamiento;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 Tabulador de sueldos;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III. Analítico de plazas y remuneraciones;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IV. Avance trimestral del ejercicio del presupuesto;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 Cuenta pública;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 Convenios;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 Reglas de operación de los programas sociales (federales y estatales);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VIII. Estudios, diagnósticos e investigaciones;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IX. Manuales de organización y procedimientos;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 Diagramas de operación;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 Padrones de beneficiarios de programas;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 Informes de actividades;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XIII. Reportes oficiales del ejercicio del presupuesto de los fondos federales;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XIV. Informe de evaluaciones internas y externas;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 Resultados de las evaluaciones con base en los formatos que emita el Consejo Nacional de Armonización Contable;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 Programa Operativo Anual;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 Matriz de indicadores para resultados;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XVIII. Indicadores de resultados y gestión;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XIX. Fichas técnicas de indicadores.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 Proyectos de infraestructura aprobados en el Ramo General 23 Provisiones Salariales y Económicas, incluyendo el monto aprobado y pagado, su ubicación geográfica y los lineamientos aplicables a dichos recursos;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 Informe de evaluación de resultados Presupuesto basado en Resultados y Sistema de Evaluación del Desempeño, y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lastRenderedPageBreak/>
        <w:t xml:space="preserve">XXII. Los demás informes y reportes que correspondan, en términos de lo previsto en las disposiciones legales federales y locales aplicables. </w:t>
      </w:r>
    </w:p>
    <w:p w:rsidR="00895C66" w:rsidRPr="00DB69C4" w:rsidRDefault="00895C66" w:rsidP="00895C66">
      <w:pPr>
        <w:ind w:left="360"/>
        <w:rPr>
          <w:rFonts w:cs="Arial"/>
          <w:sz w:val="18"/>
          <w:szCs w:val="18"/>
        </w:rPr>
      </w:pPr>
      <w:r w:rsidRPr="00DB69C4">
        <w:rPr>
          <w:rFonts w:cs="Arial"/>
          <w:sz w:val="18"/>
          <w:szCs w:val="18"/>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rsidR="00895C66" w:rsidRPr="00DB69C4" w:rsidRDefault="00895C66" w:rsidP="00895C66">
      <w:pPr>
        <w:ind w:left="360"/>
        <w:rPr>
          <w:rFonts w:cs="Arial"/>
          <w:sz w:val="18"/>
          <w:szCs w:val="18"/>
        </w:rPr>
      </w:pPr>
      <w:r w:rsidRPr="00DB69C4">
        <w:rPr>
          <w:rFonts w:cs="Arial"/>
          <w:sz w:val="18"/>
          <w:szCs w:val="18"/>
        </w:rPr>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rsidR="00895C66" w:rsidRPr="00DB69C4" w:rsidRDefault="00895C66" w:rsidP="00895C66">
      <w:pPr>
        <w:ind w:left="360"/>
        <w:rPr>
          <w:rFonts w:cs="Arial"/>
          <w:sz w:val="18"/>
          <w:szCs w:val="18"/>
        </w:rPr>
      </w:pPr>
      <w:r w:rsidRPr="00DB69C4">
        <w:rPr>
          <w:rFonts w:cs="Arial"/>
          <w:sz w:val="18"/>
          <w:szCs w:val="18"/>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rsidR="007B6CFC" w:rsidRPr="00D54009" w:rsidRDefault="007B6CFC" w:rsidP="007B6CFC">
      <w:pPr>
        <w:autoSpaceDE w:val="0"/>
        <w:autoSpaceDN w:val="0"/>
        <w:adjustRightInd w:val="0"/>
        <w:spacing w:before="80" w:after="0" w:line="276" w:lineRule="auto"/>
        <w:rPr>
          <w:rFonts w:eastAsia="Calibri" w:cs="Arial"/>
          <w:b/>
          <w:sz w:val="18"/>
          <w:szCs w:val="18"/>
          <w:lang w:eastAsia="en-US"/>
        </w:rPr>
      </w:pPr>
      <w:bookmarkStart w:id="0" w:name="_GoBack"/>
      <w:bookmarkEnd w:id="0"/>
      <w:r w:rsidRPr="00D54009">
        <w:rPr>
          <w:rFonts w:eastAsia="Calibri" w:cs="Arial"/>
          <w:b/>
          <w:sz w:val="18"/>
          <w:szCs w:val="18"/>
          <w:lang w:eastAsia="en-US"/>
        </w:rPr>
        <w:t>En lo relativo  a Evaluación, Vigilancia y Sanciones</w:t>
      </w:r>
    </w:p>
    <w:p w:rsidR="00F63CF3" w:rsidRPr="00344019" w:rsidRDefault="00F63CF3" w:rsidP="00F63CF3">
      <w:pPr>
        <w:rPr>
          <w:rFonts w:cs="Arial"/>
          <w:sz w:val="18"/>
          <w:szCs w:val="18"/>
        </w:rPr>
      </w:pPr>
      <w:r w:rsidRPr="00344019">
        <w:rPr>
          <w:rFonts w:cs="Arial"/>
          <w:sz w:val="18"/>
          <w:szCs w:val="18"/>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rsidR="00F63CF3" w:rsidRPr="00344019" w:rsidRDefault="00F63CF3" w:rsidP="00F63CF3">
      <w:pPr>
        <w:rPr>
          <w:rFonts w:cs="Arial"/>
          <w:sz w:val="18"/>
          <w:szCs w:val="18"/>
        </w:rPr>
      </w:pPr>
      <w:r w:rsidRPr="00344019">
        <w:rPr>
          <w:rFonts w:cs="Arial"/>
          <w:sz w:val="18"/>
          <w:szCs w:val="18"/>
        </w:rPr>
        <w:t>Las evaluaciones se apegarán a los principios de objetividad, independencia, imparcialidad y transparencia y serán coordinadas por la Secretaría y la Contraloría, en el ámbito de sus respectivas competencias.</w:t>
      </w:r>
    </w:p>
    <w:p w:rsidR="00F63CF3" w:rsidRPr="00344019" w:rsidRDefault="00F63CF3" w:rsidP="00F63CF3">
      <w:pPr>
        <w:rPr>
          <w:rFonts w:cs="Arial"/>
          <w:sz w:val="18"/>
          <w:szCs w:val="18"/>
        </w:rPr>
      </w:pPr>
      <w:r w:rsidRPr="00344019">
        <w:rPr>
          <w:rFonts w:cs="Arial"/>
          <w:sz w:val="18"/>
          <w:szCs w:val="18"/>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p>
    <w:p w:rsidR="00F63CF3" w:rsidRPr="00344019" w:rsidRDefault="00F63CF3" w:rsidP="00F63CF3">
      <w:pPr>
        <w:rPr>
          <w:rFonts w:cs="Arial"/>
          <w:sz w:val="18"/>
          <w:szCs w:val="18"/>
        </w:rPr>
      </w:pPr>
      <w:r w:rsidRPr="00344019">
        <w:rPr>
          <w:rFonts w:cs="Arial"/>
          <w:sz w:val="18"/>
          <w:szCs w:val="18"/>
        </w:rPr>
        <w:t xml:space="preserve">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 </w:t>
      </w:r>
    </w:p>
    <w:p w:rsidR="00F63CF3" w:rsidRPr="00344019" w:rsidRDefault="00F63CF3" w:rsidP="00F63CF3">
      <w:pPr>
        <w:rPr>
          <w:rFonts w:cs="Arial"/>
          <w:sz w:val="18"/>
          <w:szCs w:val="18"/>
        </w:rPr>
      </w:pPr>
      <w:r w:rsidRPr="00344019">
        <w:rPr>
          <w:rFonts w:cs="Arial"/>
          <w:sz w:val="18"/>
          <w:szCs w:val="18"/>
        </w:rPr>
        <w:t>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establezcan éstas, dichos resultados serán tomados en cuenta por las dependencias y entidades para adecuar las Reglas de Operación de los programas correspondientes.</w:t>
      </w:r>
    </w:p>
    <w:p w:rsidR="00F63CF3" w:rsidRDefault="00F63CF3" w:rsidP="007B6CFC"/>
    <w:p w:rsidR="005B4310" w:rsidRPr="00BC1D48" w:rsidRDefault="005B4310" w:rsidP="00871866">
      <w:pPr>
        <w:autoSpaceDE w:val="0"/>
        <w:autoSpaceDN w:val="0"/>
        <w:adjustRightInd w:val="0"/>
        <w:spacing w:before="80" w:after="0" w:line="276" w:lineRule="auto"/>
        <w:rPr>
          <w:rFonts w:cs="Arial"/>
          <w:sz w:val="18"/>
          <w:szCs w:val="18"/>
        </w:rPr>
      </w:pPr>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443" w:rsidRDefault="00F97443">
      <w:r>
        <w:separator/>
      </w:r>
    </w:p>
  </w:endnote>
  <w:endnote w:type="continuationSeparator" w:id="0">
    <w:p w:rsidR="00F97443" w:rsidRDefault="00F9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73" w:rsidRPr="00897E7A" w:rsidRDefault="00434773"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FF17A"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73" w:rsidRPr="00897E7A" w:rsidRDefault="00434773"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7ECF89"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73" w:rsidRPr="002809DB" w:rsidRDefault="00434773" w:rsidP="00897E7A">
    <w:pPr>
      <w:pBdr>
        <w:bottom w:val="single" w:sz="18" w:space="1" w:color="006600"/>
      </w:pBdr>
      <w:spacing w:after="0" w:line="20" w:lineRule="exact"/>
      <w:jc w:val="center"/>
      <w:rPr>
        <w:rFonts w:ascii="Soberana Sans Light" w:hAnsi="Soberana Sans Light"/>
        <w:b/>
        <w:sz w:val="20"/>
        <w:szCs w:val="20"/>
      </w:rPr>
    </w:pPr>
  </w:p>
  <w:p w:rsidR="00434773" w:rsidRPr="00897E7A" w:rsidRDefault="00434773"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443" w:rsidRPr="00DB70B2" w:rsidRDefault="00F97443"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rsidR="00F97443" w:rsidRDefault="00F97443">
      <w:r>
        <w:continuationSeparator/>
      </w:r>
    </w:p>
  </w:footnote>
  <w:footnote w:type="continuationNotice" w:id="1">
    <w:p w:rsidR="00F97443" w:rsidRDefault="00F9744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73" w:rsidRPr="00897E7A" w:rsidRDefault="00434773"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3941359F" wp14:editId="15B2E623">
              <wp:simplePos x="0" y="0"/>
              <wp:positionH relativeFrom="column">
                <wp:posOffset>2766061</wp:posOffset>
              </wp:positionH>
              <wp:positionV relativeFrom="paragraph">
                <wp:posOffset>-226060</wp:posOffset>
              </wp:positionV>
              <wp:extent cx="1864360" cy="490855"/>
              <wp:effectExtent l="0" t="0" r="254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773" w:rsidRPr="007D3E3D" w:rsidRDefault="00434773"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359F" id="_x0000_t202" coordsize="21600,21600" o:spt="202" path="m,l,21600r21600,l21600,xe">
              <v:stroke joinstyle="miter"/>
              <v:path gradientshapeok="t" o:connecttype="rect"/>
            </v:shapetype>
            <v:shape id="Cuadro de texto 5" o:spid="_x0000_s1026" type="#_x0000_t202" style="position:absolute;left:0;text-align:left;margin-left:217.8pt;margin-top:-17.8pt;width:146.8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" stroked="f">
              <v:textbox>
                <w:txbxContent>
                  <w:p w:rsidR="00434773" w:rsidRPr="007D3E3D" w:rsidRDefault="00434773"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541E4223" wp14:editId="27DC243D">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B0230"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436704BD" wp14:editId="622D9290">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4773" w:rsidRPr="00793BAE" w:rsidRDefault="00434773"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sidR="001F48A5">
                            <w:rPr>
                              <w:rFonts w:ascii="Soberana Titular" w:hAnsi="Soberana Titular" w:cs="Arial"/>
                              <w:color w:val="808080"/>
                              <w:sz w:val="42"/>
                              <w:szCs w:val="4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04BD"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rsidR="00434773" w:rsidRPr="00793BAE" w:rsidRDefault="00434773"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201</w:t>
                    </w:r>
                    <w:r w:rsidR="001F48A5">
                      <w:rPr>
                        <w:rFonts w:ascii="Soberana Titular" w:hAnsi="Soberana Titular" w:cs="Arial"/>
                        <w:color w:val="808080"/>
                        <w:sz w:val="42"/>
                        <w:szCs w:val="42"/>
                      </w:rPr>
                      <w:t>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773" w:rsidRDefault="00434773"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rsidR="00434773" w:rsidRPr="00897E7A" w:rsidRDefault="00434773"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22769"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0"/>
      </v:shape>
    </w:pict>
  </w:numPicBullet>
  <w:abstractNum w:abstractNumId="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1"/>
  </w:num>
  <w:num w:numId="6">
    <w:abstractNumId w:val="15"/>
  </w:num>
  <w:num w:numId="7">
    <w:abstractNumId w:val="31"/>
  </w:num>
  <w:num w:numId="8">
    <w:abstractNumId w:val="39"/>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0"/>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colormru v:ext="edit" colors="#35a3af,#666465"/>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4F2A"/>
    <w:rsid w:val="000153EE"/>
    <w:rsid w:val="00015B90"/>
    <w:rsid w:val="00015F5D"/>
    <w:rsid w:val="0001727A"/>
    <w:rsid w:val="00017CCD"/>
    <w:rsid w:val="00020EC5"/>
    <w:rsid w:val="00021C95"/>
    <w:rsid w:val="00021E5B"/>
    <w:rsid w:val="00021EF3"/>
    <w:rsid w:val="00022022"/>
    <w:rsid w:val="00022034"/>
    <w:rsid w:val="00022144"/>
    <w:rsid w:val="0002243D"/>
    <w:rsid w:val="00022822"/>
    <w:rsid w:val="00022CE3"/>
    <w:rsid w:val="00024551"/>
    <w:rsid w:val="00024B99"/>
    <w:rsid w:val="00025121"/>
    <w:rsid w:val="00025B52"/>
    <w:rsid w:val="00025B9C"/>
    <w:rsid w:val="00025D2E"/>
    <w:rsid w:val="00026F0F"/>
    <w:rsid w:val="000272E0"/>
    <w:rsid w:val="00027589"/>
    <w:rsid w:val="00027788"/>
    <w:rsid w:val="0002796A"/>
    <w:rsid w:val="00027988"/>
    <w:rsid w:val="00027F92"/>
    <w:rsid w:val="0003000C"/>
    <w:rsid w:val="000301C4"/>
    <w:rsid w:val="0003077C"/>
    <w:rsid w:val="00030A97"/>
    <w:rsid w:val="00031AA6"/>
    <w:rsid w:val="00031C19"/>
    <w:rsid w:val="0003271B"/>
    <w:rsid w:val="00032D78"/>
    <w:rsid w:val="00033500"/>
    <w:rsid w:val="000339FE"/>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B1E"/>
    <w:rsid w:val="00081B2D"/>
    <w:rsid w:val="00081E94"/>
    <w:rsid w:val="00082CA4"/>
    <w:rsid w:val="00082F2D"/>
    <w:rsid w:val="0008359D"/>
    <w:rsid w:val="00083A9A"/>
    <w:rsid w:val="00084972"/>
    <w:rsid w:val="000856BC"/>
    <w:rsid w:val="00085879"/>
    <w:rsid w:val="00085CB0"/>
    <w:rsid w:val="0008734A"/>
    <w:rsid w:val="000874EE"/>
    <w:rsid w:val="00087F78"/>
    <w:rsid w:val="000906E7"/>
    <w:rsid w:val="0009085B"/>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60"/>
    <w:rsid w:val="000C4B44"/>
    <w:rsid w:val="000C4D65"/>
    <w:rsid w:val="000C526B"/>
    <w:rsid w:val="000C58F0"/>
    <w:rsid w:val="000C74A3"/>
    <w:rsid w:val="000C74B8"/>
    <w:rsid w:val="000C778D"/>
    <w:rsid w:val="000C797F"/>
    <w:rsid w:val="000C7B68"/>
    <w:rsid w:val="000D0180"/>
    <w:rsid w:val="000D076B"/>
    <w:rsid w:val="000D0D4D"/>
    <w:rsid w:val="000D1636"/>
    <w:rsid w:val="000D2906"/>
    <w:rsid w:val="000D3825"/>
    <w:rsid w:val="000D3BC2"/>
    <w:rsid w:val="000D432A"/>
    <w:rsid w:val="000D45F9"/>
    <w:rsid w:val="000D4945"/>
    <w:rsid w:val="000D4ADB"/>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F5C"/>
    <w:rsid w:val="000F5F6A"/>
    <w:rsid w:val="000F60AE"/>
    <w:rsid w:val="000F6228"/>
    <w:rsid w:val="000F65A6"/>
    <w:rsid w:val="000F66F8"/>
    <w:rsid w:val="000F6C5E"/>
    <w:rsid w:val="000F7708"/>
    <w:rsid w:val="001000BB"/>
    <w:rsid w:val="001004BB"/>
    <w:rsid w:val="00101B01"/>
    <w:rsid w:val="00101E1E"/>
    <w:rsid w:val="00101EB3"/>
    <w:rsid w:val="001031EB"/>
    <w:rsid w:val="00103380"/>
    <w:rsid w:val="00103CF7"/>
    <w:rsid w:val="00104200"/>
    <w:rsid w:val="00104E23"/>
    <w:rsid w:val="0010545F"/>
    <w:rsid w:val="00105CBE"/>
    <w:rsid w:val="00105FFF"/>
    <w:rsid w:val="00107B5B"/>
    <w:rsid w:val="001101C4"/>
    <w:rsid w:val="00110207"/>
    <w:rsid w:val="00110266"/>
    <w:rsid w:val="00110549"/>
    <w:rsid w:val="00110655"/>
    <w:rsid w:val="00110994"/>
    <w:rsid w:val="00110E36"/>
    <w:rsid w:val="00111516"/>
    <w:rsid w:val="00111A92"/>
    <w:rsid w:val="00112B33"/>
    <w:rsid w:val="00112EF7"/>
    <w:rsid w:val="001139DA"/>
    <w:rsid w:val="00113F4F"/>
    <w:rsid w:val="00114439"/>
    <w:rsid w:val="001145DE"/>
    <w:rsid w:val="00114613"/>
    <w:rsid w:val="00115BCB"/>
    <w:rsid w:val="00115E64"/>
    <w:rsid w:val="00115F0B"/>
    <w:rsid w:val="001163AF"/>
    <w:rsid w:val="00116C81"/>
    <w:rsid w:val="0011752E"/>
    <w:rsid w:val="001179AE"/>
    <w:rsid w:val="00117FC7"/>
    <w:rsid w:val="00120F75"/>
    <w:rsid w:val="00121029"/>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1786"/>
    <w:rsid w:val="00141AA6"/>
    <w:rsid w:val="001426F5"/>
    <w:rsid w:val="001431AD"/>
    <w:rsid w:val="0014366E"/>
    <w:rsid w:val="00143DBD"/>
    <w:rsid w:val="001447C2"/>
    <w:rsid w:val="00144830"/>
    <w:rsid w:val="00144B7E"/>
    <w:rsid w:val="001452C3"/>
    <w:rsid w:val="00145392"/>
    <w:rsid w:val="001459E2"/>
    <w:rsid w:val="00145EB5"/>
    <w:rsid w:val="001463A0"/>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AFA"/>
    <w:rsid w:val="00166C13"/>
    <w:rsid w:val="00166E6E"/>
    <w:rsid w:val="001671C8"/>
    <w:rsid w:val="00167361"/>
    <w:rsid w:val="00167572"/>
    <w:rsid w:val="0016780A"/>
    <w:rsid w:val="00170A8D"/>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473"/>
    <w:rsid w:val="00186739"/>
    <w:rsid w:val="00187628"/>
    <w:rsid w:val="00187CDA"/>
    <w:rsid w:val="00187DE4"/>
    <w:rsid w:val="0019008A"/>
    <w:rsid w:val="0019036D"/>
    <w:rsid w:val="00190496"/>
    <w:rsid w:val="0019096C"/>
    <w:rsid w:val="00190CB3"/>
    <w:rsid w:val="00191278"/>
    <w:rsid w:val="00191986"/>
    <w:rsid w:val="00191C2E"/>
    <w:rsid w:val="00192B15"/>
    <w:rsid w:val="00192E3B"/>
    <w:rsid w:val="00193389"/>
    <w:rsid w:val="001933E2"/>
    <w:rsid w:val="00193B6B"/>
    <w:rsid w:val="00193FFD"/>
    <w:rsid w:val="00193FFF"/>
    <w:rsid w:val="00194AE9"/>
    <w:rsid w:val="00194D72"/>
    <w:rsid w:val="00195AF7"/>
    <w:rsid w:val="00196CAE"/>
    <w:rsid w:val="00196E2E"/>
    <w:rsid w:val="001973E5"/>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B06D7"/>
    <w:rsid w:val="001B0E56"/>
    <w:rsid w:val="001B11BA"/>
    <w:rsid w:val="001B180A"/>
    <w:rsid w:val="001B2748"/>
    <w:rsid w:val="001B2E5B"/>
    <w:rsid w:val="001B2FBB"/>
    <w:rsid w:val="001B30DA"/>
    <w:rsid w:val="001B3539"/>
    <w:rsid w:val="001B3C3A"/>
    <w:rsid w:val="001B3F73"/>
    <w:rsid w:val="001B41FE"/>
    <w:rsid w:val="001B4510"/>
    <w:rsid w:val="001B5464"/>
    <w:rsid w:val="001B5525"/>
    <w:rsid w:val="001B5C1A"/>
    <w:rsid w:val="001B6B89"/>
    <w:rsid w:val="001B72FB"/>
    <w:rsid w:val="001B778A"/>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2695"/>
    <w:rsid w:val="001E2C8C"/>
    <w:rsid w:val="001E46E0"/>
    <w:rsid w:val="001E4968"/>
    <w:rsid w:val="001E4D90"/>
    <w:rsid w:val="001E591D"/>
    <w:rsid w:val="001E5CB2"/>
    <w:rsid w:val="001E60FE"/>
    <w:rsid w:val="001E6162"/>
    <w:rsid w:val="001E627E"/>
    <w:rsid w:val="001E66A6"/>
    <w:rsid w:val="001E6926"/>
    <w:rsid w:val="001E6E59"/>
    <w:rsid w:val="001E7933"/>
    <w:rsid w:val="001E7A22"/>
    <w:rsid w:val="001F01DC"/>
    <w:rsid w:val="001F0A01"/>
    <w:rsid w:val="001F0B5A"/>
    <w:rsid w:val="001F0C8D"/>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0EF"/>
    <w:rsid w:val="0021715C"/>
    <w:rsid w:val="002177DC"/>
    <w:rsid w:val="00217EE6"/>
    <w:rsid w:val="002209C0"/>
    <w:rsid w:val="00220F09"/>
    <w:rsid w:val="00221B42"/>
    <w:rsid w:val="0022208D"/>
    <w:rsid w:val="00222341"/>
    <w:rsid w:val="0022309D"/>
    <w:rsid w:val="00223108"/>
    <w:rsid w:val="002231C7"/>
    <w:rsid w:val="00223267"/>
    <w:rsid w:val="00223C60"/>
    <w:rsid w:val="00223FAD"/>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E28"/>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6E7"/>
    <w:rsid w:val="00245750"/>
    <w:rsid w:val="0024595A"/>
    <w:rsid w:val="00245E34"/>
    <w:rsid w:val="00246D8B"/>
    <w:rsid w:val="00247077"/>
    <w:rsid w:val="00247C2E"/>
    <w:rsid w:val="00247ECE"/>
    <w:rsid w:val="00250546"/>
    <w:rsid w:val="002507E8"/>
    <w:rsid w:val="0025146A"/>
    <w:rsid w:val="00251544"/>
    <w:rsid w:val="0025178B"/>
    <w:rsid w:val="00251870"/>
    <w:rsid w:val="002521EB"/>
    <w:rsid w:val="00252331"/>
    <w:rsid w:val="00252D58"/>
    <w:rsid w:val="00253129"/>
    <w:rsid w:val="0025404A"/>
    <w:rsid w:val="00254143"/>
    <w:rsid w:val="00255583"/>
    <w:rsid w:val="002556A0"/>
    <w:rsid w:val="00255E80"/>
    <w:rsid w:val="00255F14"/>
    <w:rsid w:val="002567B7"/>
    <w:rsid w:val="00256802"/>
    <w:rsid w:val="00256A2C"/>
    <w:rsid w:val="002575E4"/>
    <w:rsid w:val="002577B9"/>
    <w:rsid w:val="002578EA"/>
    <w:rsid w:val="00257D05"/>
    <w:rsid w:val="00257F8A"/>
    <w:rsid w:val="00260089"/>
    <w:rsid w:val="0026014F"/>
    <w:rsid w:val="002602DE"/>
    <w:rsid w:val="0026068E"/>
    <w:rsid w:val="002606FE"/>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6337"/>
    <w:rsid w:val="00266D7F"/>
    <w:rsid w:val="00266F0E"/>
    <w:rsid w:val="00267874"/>
    <w:rsid w:val="00267C6C"/>
    <w:rsid w:val="002703E5"/>
    <w:rsid w:val="00271352"/>
    <w:rsid w:val="00271702"/>
    <w:rsid w:val="00271A1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887"/>
    <w:rsid w:val="0028198E"/>
    <w:rsid w:val="00282A2C"/>
    <w:rsid w:val="00282B2A"/>
    <w:rsid w:val="00282EBB"/>
    <w:rsid w:val="002837D1"/>
    <w:rsid w:val="00284040"/>
    <w:rsid w:val="00284543"/>
    <w:rsid w:val="00284772"/>
    <w:rsid w:val="00284891"/>
    <w:rsid w:val="00285215"/>
    <w:rsid w:val="0028530A"/>
    <w:rsid w:val="00285848"/>
    <w:rsid w:val="00285CCD"/>
    <w:rsid w:val="0028603C"/>
    <w:rsid w:val="00287557"/>
    <w:rsid w:val="002875D5"/>
    <w:rsid w:val="002904E0"/>
    <w:rsid w:val="002911E3"/>
    <w:rsid w:val="00291248"/>
    <w:rsid w:val="002912BD"/>
    <w:rsid w:val="002913C0"/>
    <w:rsid w:val="002916F0"/>
    <w:rsid w:val="00291F52"/>
    <w:rsid w:val="002929AB"/>
    <w:rsid w:val="00293DE8"/>
    <w:rsid w:val="00294BE7"/>
    <w:rsid w:val="00295029"/>
    <w:rsid w:val="002951C1"/>
    <w:rsid w:val="0029584F"/>
    <w:rsid w:val="00295A0A"/>
    <w:rsid w:val="00295E81"/>
    <w:rsid w:val="002963F0"/>
    <w:rsid w:val="00296992"/>
    <w:rsid w:val="0029722C"/>
    <w:rsid w:val="00297309"/>
    <w:rsid w:val="002976DE"/>
    <w:rsid w:val="002977C5"/>
    <w:rsid w:val="00297840"/>
    <w:rsid w:val="00297DAF"/>
    <w:rsid w:val="002A0813"/>
    <w:rsid w:val="002A0A28"/>
    <w:rsid w:val="002A105D"/>
    <w:rsid w:val="002A150E"/>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78AC"/>
    <w:rsid w:val="002A78AF"/>
    <w:rsid w:val="002A7E2F"/>
    <w:rsid w:val="002B098F"/>
    <w:rsid w:val="002B0C72"/>
    <w:rsid w:val="002B224B"/>
    <w:rsid w:val="002B47A2"/>
    <w:rsid w:val="002B4930"/>
    <w:rsid w:val="002B4C32"/>
    <w:rsid w:val="002B5466"/>
    <w:rsid w:val="002B589C"/>
    <w:rsid w:val="002B5AA6"/>
    <w:rsid w:val="002B5E83"/>
    <w:rsid w:val="002B68FA"/>
    <w:rsid w:val="002B6B04"/>
    <w:rsid w:val="002B74BC"/>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9"/>
    <w:rsid w:val="002E0E8D"/>
    <w:rsid w:val="002E1A6B"/>
    <w:rsid w:val="002E1C92"/>
    <w:rsid w:val="002E2726"/>
    <w:rsid w:val="002E28CB"/>
    <w:rsid w:val="002E2FFE"/>
    <w:rsid w:val="002E307A"/>
    <w:rsid w:val="002E3342"/>
    <w:rsid w:val="002E35E0"/>
    <w:rsid w:val="002E3C86"/>
    <w:rsid w:val="002E5A7B"/>
    <w:rsid w:val="002E5B2E"/>
    <w:rsid w:val="002E6410"/>
    <w:rsid w:val="002E65AE"/>
    <w:rsid w:val="002E65F8"/>
    <w:rsid w:val="002E6875"/>
    <w:rsid w:val="002E6E5B"/>
    <w:rsid w:val="002E71C9"/>
    <w:rsid w:val="002E779D"/>
    <w:rsid w:val="002E7B39"/>
    <w:rsid w:val="002E7D4E"/>
    <w:rsid w:val="002F0121"/>
    <w:rsid w:val="002F1101"/>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BD"/>
    <w:rsid w:val="00300C49"/>
    <w:rsid w:val="003012C9"/>
    <w:rsid w:val="003013FC"/>
    <w:rsid w:val="00301778"/>
    <w:rsid w:val="00301953"/>
    <w:rsid w:val="00301A3B"/>
    <w:rsid w:val="00302229"/>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41D"/>
    <w:rsid w:val="00311B9C"/>
    <w:rsid w:val="00312C77"/>
    <w:rsid w:val="00312E1C"/>
    <w:rsid w:val="003130D6"/>
    <w:rsid w:val="00313624"/>
    <w:rsid w:val="003144EB"/>
    <w:rsid w:val="0031459D"/>
    <w:rsid w:val="0031579F"/>
    <w:rsid w:val="00315953"/>
    <w:rsid w:val="0031714D"/>
    <w:rsid w:val="0031722E"/>
    <w:rsid w:val="0031781E"/>
    <w:rsid w:val="00317F32"/>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7B0"/>
    <w:rsid w:val="00333832"/>
    <w:rsid w:val="00333934"/>
    <w:rsid w:val="003339E3"/>
    <w:rsid w:val="00334283"/>
    <w:rsid w:val="0033450F"/>
    <w:rsid w:val="00334755"/>
    <w:rsid w:val="003349E0"/>
    <w:rsid w:val="00334ADF"/>
    <w:rsid w:val="00334BC0"/>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B5B"/>
    <w:rsid w:val="00355D4E"/>
    <w:rsid w:val="00356096"/>
    <w:rsid w:val="00356AB5"/>
    <w:rsid w:val="003570FC"/>
    <w:rsid w:val="003574F3"/>
    <w:rsid w:val="00357E66"/>
    <w:rsid w:val="0036035B"/>
    <w:rsid w:val="003604A4"/>
    <w:rsid w:val="003604FC"/>
    <w:rsid w:val="00360735"/>
    <w:rsid w:val="00360ACF"/>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AC6"/>
    <w:rsid w:val="00371B89"/>
    <w:rsid w:val="00371E02"/>
    <w:rsid w:val="00372E66"/>
    <w:rsid w:val="003730B5"/>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11AD"/>
    <w:rsid w:val="003B157B"/>
    <w:rsid w:val="003B16F4"/>
    <w:rsid w:val="003B19DD"/>
    <w:rsid w:val="003B23F8"/>
    <w:rsid w:val="003B2F76"/>
    <w:rsid w:val="003B3029"/>
    <w:rsid w:val="003B395A"/>
    <w:rsid w:val="003B3B5F"/>
    <w:rsid w:val="003B3E80"/>
    <w:rsid w:val="003B4259"/>
    <w:rsid w:val="003B575D"/>
    <w:rsid w:val="003B5AD8"/>
    <w:rsid w:val="003B6070"/>
    <w:rsid w:val="003B615D"/>
    <w:rsid w:val="003B6281"/>
    <w:rsid w:val="003B6313"/>
    <w:rsid w:val="003B6B01"/>
    <w:rsid w:val="003B6CF1"/>
    <w:rsid w:val="003C0615"/>
    <w:rsid w:val="003C10A1"/>
    <w:rsid w:val="003C125A"/>
    <w:rsid w:val="003C17A9"/>
    <w:rsid w:val="003C2270"/>
    <w:rsid w:val="003C2939"/>
    <w:rsid w:val="003C369E"/>
    <w:rsid w:val="003C37B7"/>
    <w:rsid w:val="003C39EE"/>
    <w:rsid w:val="003C4176"/>
    <w:rsid w:val="003C4781"/>
    <w:rsid w:val="003C5952"/>
    <w:rsid w:val="003C5A30"/>
    <w:rsid w:val="003C66FD"/>
    <w:rsid w:val="003C6853"/>
    <w:rsid w:val="003C6EF2"/>
    <w:rsid w:val="003C7002"/>
    <w:rsid w:val="003C7142"/>
    <w:rsid w:val="003C741F"/>
    <w:rsid w:val="003C78F0"/>
    <w:rsid w:val="003C7DB4"/>
    <w:rsid w:val="003D00A3"/>
    <w:rsid w:val="003D01B1"/>
    <w:rsid w:val="003D097D"/>
    <w:rsid w:val="003D0F52"/>
    <w:rsid w:val="003D0F8C"/>
    <w:rsid w:val="003D1851"/>
    <w:rsid w:val="003D1CBA"/>
    <w:rsid w:val="003D1E42"/>
    <w:rsid w:val="003D219E"/>
    <w:rsid w:val="003D2256"/>
    <w:rsid w:val="003D2324"/>
    <w:rsid w:val="003D274A"/>
    <w:rsid w:val="003D2A83"/>
    <w:rsid w:val="003D3739"/>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4A5"/>
    <w:rsid w:val="0040162D"/>
    <w:rsid w:val="00401C79"/>
    <w:rsid w:val="004027CE"/>
    <w:rsid w:val="00402F7B"/>
    <w:rsid w:val="004035A8"/>
    <w:rsid w:val="00403657"/>
    <w:rsid w:val="004040A0"/>
    <w:rsid w:val="004042A6"/>
    <w:rsid w:val="00404729"/>
    <w:rsid w:val="004051C1"/>
    <w:rsid w:val="004053B1"/>
    <w:rsid w:val="004054B1"/>
    <w:rsid w:val="00405A2D"/>
    <w:rsid w:val="00405CD2"/>
    <w:rsid w:val="00405CF0"/>
    <w:rsid w:val="00406041"/>
    <w:rsid w:val="004070DC"/>
    <w:rsid w:val="00407591"/>
    <w:rsid w:val="00407B88"/>
    <w:rsid w:val="00407B91"/>
    <w:rsid w:val="00407C77"/>
    <w:rsid w:val="0041029F"/>
    <w:rsid w:val="00410C0A"/>
    <w:rsid w:val="004112A9"/>
    <w:rsid w:val="00411C0C"/>
    <w:rsid w:val="0041204C"/>
    <w:rsid w:val="00412104"/>
    <w:rsid w:val="0041234F"/>
    <w:rsid w:val="0041375C"/>
    <w:rsid w:val="004142A1"/>
    <w:rsid w:val="004144DD"/>
    <w:rsid w:val="00414734"/>
    <w:rsid w:val="00414AF2"/>
    <w:rsid w:val="00414B10"/>
    <w:rsid w:val="00415042"/>
    <w:rsid w:val="00415151"/>
    <w:rsid w:val="004154FA"/>
    <w:rsid w:val="00415FFE"/>
    <w:rsid w:val="004169BA"/>
    <w:rsid w:val="00417091"/>
    <w:rsid w:val="00417374"/>
    <w:rsid w:val="00417870"/>
    <w:rsid w:val="00417B42"/>
    <w:rsid w:val="00417C4B"/>
    <w:rsid w:val="00417DDD"/>
    <w:rsid w:val="004206CF"/>
    <w:rsid w:val="00420825"/>
    <w:rsid w:val="00420A1B"/>
    <w:rsid w:val="00420B66"/>
    <w:rsid w:val="00420BB7"/>
    <w:rsid w:val="004211E9"/>
    <w:rsid w:val="00421E64"/>
    <w:rsid w:val="004224D5"/>
    <w:rsid w:val="00422E9D"/>
    <w:rsid w:val="0042320D"/>
    <w:rsid w:val="004232C3"/>
    <w:rsid w:val="00423432"/>
    <w:rsid w:val="004235CC"/>
    <w:rsid w:val="004241A0"/>
    <w:rsid w:val="004241D6"/>
    <w:rsid w:val="0042428A"/>
    <w:rsid w:val="004253A3"/>
    <w:rsid w:val="00425ADB"/>
    <w:rsid w:val="00425E71"/>
    <w:rsid w:val="0042656E"/>
    <w:rsid w:val="004265C9"/>
    <w:rsid w:val="004265E4"/>
    <w:rsid w:val="0042681A"/>
    <w:rsid w:val="00426912"/>
    <w:rsid w:val="00426980"/>
    <w:rsid w:val="00426BBA"/>
    <w:rsid w:val="00426EA3"/>
    <w:rsid w:val="004270E5"/>
    <w:rsid w:val="004276AE"/>
    <w:rsid w:val="004304DA"/>
    <w:rsid w:val="00430A17"/>
    <w:rsid w:val="00430B33"/>
    <w:rsid w:val="00430C36"/>
    <w:rsid w:val="00431040"/>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968"/>
    <w:rsid w:val="00442B83"/>
    <w:rsid w:val="00442DD1"/>
    <w:rsid w:val="00442E80"/>
    <w:rsid w:val="00442F1A"/>
    <w:rsid w:val="00444113"/>
    <w:rsid w:val="0044434B"/>
    <w:rsid w:val="004447CB"/>
    <w:rsid w:val="004455CA"/>
    <w:rsid w:val="00445928"/>
    <w:rsid w:val="00445B47"/>
    <w:rsid w:val="00445CB2"/>
    <w:rsid w:val="00447312"/>
    <w:rsid w:val="00447314"/>
    <w:rsid w:val="00447C87"/>
    <w:rsid w:val="00447E64"/>
    <w:rsid w:val="0045011B"/>
    <w:rsid w:val="00450C69"/>
    <w:rsid w:val="0045111C"/>
    <w:rsid w:val="00451671"/>
    <w:rsid w:val="004516D1"/>
    <w:rsid w:val="00452533"/>
    <w:rsid w:val="00452598"/>
    <w:rsid w:val="004526AC"/>
    <w:rsid w:val="0045277D"/>
    <w:rsid w:val="00452C17"/>
    <w:rsid w:val="00452DBB"/>
    <w:rsid w:val="0045375D"/>
    <w:rsid w:val="00453ABE"/>
    <w:rsid w:val="00453AFA"/>
    <w:rsid w:val="00453DC2"/>
    <w:rsid w:val="00454442"/>
    <w:rsid w:val="0045492B"/>
    <w:rsid w:val="00454993"/>
    <w:rsid w:val="0045579F"/>
    <w:rsid w:val="00455E99"/>
    <w:rsid w:val="00456816"/>
    <w:rsid w:val="0045683E"/>
    <w:rsid w:val="00456B13"/>
    <w:rsid w:val="00456BB7"/>
    <w:rsid w:val="00456D95"/>
    <w:rsid w:val="00456F18"/>
    <w:rsid w:val="00457294"/>
    <w:rsid w:val="00457397"/>
    <w:rsid w:val="004575A6"/>
    <w:rsid w:val="00457AB6"/>
    <w:rsid w:val="004606A1"/>
    <w:rsid w:val="004608BE"/>
    <w:rsid w:val="00461877"/>
    <w:rsid w:val="00461DF2"/>
    <w:rsid w:val="00461F28"/>
    <w:rsid w:val="00461FAC"/>
    <w:rsid w:val="00462567"/>
    <w:rsid w:val="0046285B"/>
    <w:rsid w:val="00462AEC"/>
    <w:rsid w:val="00464F48"/>
    <w:rsid w:val="00465D07"/>
    <w:rsid w:val="00465F99"/>
    <w:rsid w:val="00466FD1"/>
    <w:rsid w:val="004671D2"/>
    <w:rsid w:val="004679A4"/>
    <w:rsid w:val="00467E1B"/>
    <w:rsid w:val="004703E9"/>
    <w:rsid w:val="00470434"/>
    <w:rsid w:val="0047060E"/>
    <w:rsid w:val="004713F1"/>
    <w:rsid w:val="004715F7"/>
    <w:rsid w:val="0047168D"/>
    <w:rsid w:val="00472BCB"/>
    <w:rsid w:val="00473448"/>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D75"/>
    <w:rsid w:val="004846AD"/>
    <w:rsid w:val="00484B6C"/>
    <w:rsid w:val="00484F81"/>
    <w:rsid w:val="0048509A"/>
    <w:rsid w:val="00485D34"/>
    <w:rsid w:val="00487AEA"/>
    <w:rsid w:val="00487AFF"/>
    <w:rsid w:val="00490B70"/>
    <w:rsid w:val="00490EBC"/>
    <w:rsid w:val="0049137D"/>
    <w:rsid w:val="0049144A"/>
    <w:rsid w:val="004915BB"/>
    <w:rsid w:val="004916B9"/>
    <w:rsid w:val="004917C2"/>
    <w:rsid w:val="00491B68"/>
    <w:rsid w:val="00491B96"/>
    <w:rsid w:val="00492277"/>
    <w:rsid w:val="00492FD3"/>
    <w:rsid w:val="00493885"/>
    <w:rsid w:val="00493905"/>
    <w:rsid w:val="0049458F"/>
    <w:rsid w:val="00494A95"/>
    <w:rsid w:val="00494EB1"/>
    <w:rsid w:val="00494ED7"/>
    <w:rsid w:val="00495133"/>
    <w:rsid w:val="00495A40"/>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A56"/>
    <w:rsid w:val="004B552D"/>
    <w:rsid w:val="004B5546"/>
    <w:rsid w:val="004B5920"/>
    <w:rsid w:val="004B6361"/>
    <w:rsid w:val="004B6814"/>
    <w:rsid w:val="004B6A89"/>
    <w:rsid w:val="004B7045"/>
    <w:rsid w:val="004B71BF"/>
    <w:rsid w:val="004B7C84"/>
    <w:rsid w:val="004B7DF9"/>
    <w:rsid w:val="004C0066"/>
    <w:rsid w:val="004C057A"/>
    <w:rsid w:val="004C0DEA"/>
    <w:rsid w:val="004C11B1"/>
    <w:rsid w:val="004C1392"/>
    <w:rsid w:val="004C17B8"/>
    <w:rsid w:val="004C1FD6"/>
    <w:rsid w:val="004C2490"/>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744"/>
    <w:rsid w:val="004F08C9"/>
    <w:rsid w:val="004F0C83"/>
    <w:rsid w:val="004F0E30"/>
    <w:rsid w:val="004F19F6"/>
    <w:rsid w:val="004F25F0"/>
    <w:rsid w:val="004F2B84"/>
    <w:rsid w:val="004F42E5"/>
    <w:rsid w:val="004F46FF"/>
    <w:rsid w:val="004F4E2D"/>
    <w:rsid w:val="004F52E8"/>
    <w:rsid w:val="004F5C8E"/>
    <w:rsid w:val="004F5CF4"/>
    <w:rsid w:val="004F5D63"/>
    <w:rsid w:val="004F5E30"/>
    <w:rsid w:val="004F6B2C"/>
    <w:rsid w:val="004F6E54"/>
    <w:rsid w:val="004F77F7"/>
    <w:rsid w:val="004F7CC9"/>
    <w:rsid w:val="004F7E0D"/>
    <w:rsid w:val="004F7E4F"/>
    <w:rsid w:val="004F7F93"/>
    <w:rsid w:val="005018B7"/>
    <w:rsid w:val="00501C9F"/>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961"/>
    <w:rsid w:val="00512ABF"/>
    <w:rsid w:val="00513149"/>
    <w:rsid w:val="00513367"/>
    <w:rsid w:val="0051401F"/>
    <w:rsid w:val="0051426F"/>
    <w:rsid w:val="005146E9"/>
    <w:rsid w:val="00514E5C"/>
    <w:rsid w:val="00514F74"/>
    <w:rsid w:val="00515213"/>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4011C"/>
    <w:rsid w:val="0054049F"/>
    <w:rsid w:val="005405DA"/>
    <w:rsid w:val="005417FD"/>
    <w:rsid w:val="00541814"/>
    <w:rsid w:val="00541D56"/>
    <w:rsid w:val="00541F3B"/>
    <w:rsid w:val="00542DF1"/>
    <w:rsid w:val="00543266"/>
    <w:rsid w:val="0054354D"/>
    <w:rsid w:val="00543595"/>
    <w:rsid w:val="00543637"/>
    <w:rsid w:val="00543C15"/>
    <w:rsid w:val="00544389"/>
    <w:rsid w:val="00544C97"/>
    <w:rsid w:val="00544D55"/>
    <w:rsid w:val="00545EF2"/>
    <w:rsid w:val="005460BE"/>
    <w:rsid w:val="005462CF"/>
    <w:rsid w:val="00546404"/>
    <w:rsid w:val="00546508"/>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855"/>
    <w:rsid w:val="00553EDF"/>
    <w:rsid w:val="0055490A"/>
    <w:rsid w:val="00555295"/>
    <w:rsid w:val="0055547E"/>
    <w:rsid w:val="005554CF"/>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72C"/>
    <w:rsid w:val="00573B28"/>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10A3"/>
    <w:rsid w:val="00581AF5"/>
    <w:rsid w:val="005821F4"/>
    <w:rsid w:val="0058226C"/>
    <w:rsid w:val="00582286"/>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3659"/>
    <w:rsid w:val="00593AD6"/>
    <w:rsid w:val="00594CD4"/>
    <w:rsid w:val="00595103"/>
    <w:rsid w:val="00595154"/>
    <w:rsid w:val="005954A3"/>
    <w:rsid w:val="00595BAC"/>
    <w:rsid w:val="005962E3"/>
    <w:rsid w:val="005963D7"/>
    <w:rsid w:val="00596D0D"/>
    <w:rsid w:val="00596E26"/>
    <w:rsid w:val="00597857"/>
    <w:rsid w:val="005A0B9E"/>
    <w:rsid w:val="005A12E9"/>
    <w:rsid w:val="005A1402"/>
    <w:rsid w:val="005A28A3"/>
    <w:rsid w:val="005A3FDA"/>
    <w:rsid w:val="005A4885"/>
    <w:rsid w:val="005A4DC8"/>
    <w:rsid w:val="005A4E81"/>
    <w:rsid w:val="005A5079"/>
    <w:rsid w:val="005A524F"/>
    <w:rsid w:val="005A55B9"/>
    <w:rsid w:val="005A55C8"/>
    <w:rsid w:val="005A5A0A"/>
    <w:rsid w:val="005A5F9A"/>
    <w:rsid w:val="005A604B"/>
    <w:rsid w:val="005A626C"/>
    <w:rsid w:val="005A632E"/>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6676"/>
    <w:rsid w:val="005B6E9B"/>
    <w:rsid w:val="005B7CE8"/>
    <w:rsid w:val="005C054B"/>
    <w:rsid w:val="005C08B2"/>
    <w:rsid w:val="005C0FFE"/>
    <w:rsid w:val="005C16DD"/>
    <w:rsid w:val="005C26CC"/>
    <w:rsid w:val="005C295C"/>
    <w:rsid w:val="005C3835"/>
    <w:rsid w:val="005C3AF7"/>
    <w:rsid w:val="005C3CBD"/>
    <w:rsid w:val="005C3ED4"/>
    <w:rsid w:val="005C5284"/>
    <w:rsid w:val="005C56D7"/>
    <w:rsid w:val="005C600B"/>
    <w:rsid w:val="005C6186"/>
    <w:rsid w:val="005C619E"/>
    <w:rsid w:val="005C61C4"/>
    <w:rsid w:val="005C697A"/>
    <w:rsid w:val="005C6F02"/>
    <w:rsid w:val="005C7423"/>
    <w:rsid w:val="005C78ED"/>
    <w:rsid w:val="005D03C4"/>
    <w:rsid w:val="005D07A6"/>
    <w:rsid w:val="005D084A"/>
    <w:rsid w:val="005D11BC"/>
    <w:rsid w:val="005D1C39"/>
    <w:rsid w:val="005D2CE1"/>
    <w:rsid w:val="005D3246"/>
    <w:rsid w:val="005D4A15"/>
    <w:rsid w:val="005D5D69"/>
    <w:rsid w:val="005D5F77"/>
    <w:rsid w:val="005D6246"/>
    <w:rsid w:val="005D7187"/>
    <w:rsid w:val="005D74A3"/>
    <w:rsid w:val="005E0653"/>
    <w:rsid w:val="005E0729"/>
    <w:rsid w:val="005E0E99"/>
    <w:rsid w:val="005E1207"/>
    <w:rsid w:val="005E1B9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A93"/>
    <w:rsid w:val="00605BE4"/>
    <w:rsid w:val="00606625"/>
    <w:rsid w:val="00606AEC"/>
    <w:rsid w:val="00606B8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B5"/>
    <w:rsid w:val="00615711"/>
    <w:rsid w:val="00616566"/>
    <w:rsid w:val="006166EE"/>
    <w:rsid w:val="006167BF"/>
    <w:rsid w:val="00616E0E"/>
    <w:rsid w:val="00617ED7"/>
    <w:rsid w:val="00620655"/>
    <w:rsid w:val="00620693"/>
    <w:rsid w:val="006220EC"/>
    <w:rsid w:val="00623F50"/>
    <w:rsid w:val="006240DC"/>
    <w:rsid w:val="0062439C"/>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B5D"/>
    <w:rsid w:val="00634BFA"/>
    <w:rsid w:val="00634C93"/>
    <w:rsid w:val="006351DD"/>
    <w:rsid w:val="00635A03"/>
    <w:rsid w:val="00635ADD"/>
    <w:rsid w:val="00635D4A"/>
    <w:rsid w:val="00636095"/>
    <w:rsid w:val="006362A3"/>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505D"/>
    <w:rsid w:val="006456C6"/>
    <w:rsid w:val="00645F76"/>
    <w:rsid w:val="0064640A"/>
    <w:rsid w:val="00646EEE"/>
    <w:rsid w:val="006479F9"/>
    <w:rsid w:val="0065026B"/>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FA0"/>
    <w:rsid w:val="006747F9"/>
    <w:rsid w:val="006750D0"/>
    <w:rsid w:val="0067513F"/>
    <w:rsid w:val="00675286"/>
    <w:rsid w:val="006757BD"/>
    <w:rsid w:val="006758ED"/>
    <w:rsid w:val="00675BAF"/>
    <w:rsid w:val="00676D33"/>
    <w:rsid w:val="00677DA7"/>
    <w:rsid w:val="00680E53"/>
    <w:rsid w:val="00681214"/>
    <w:rsid w:val="00681240"/>
    <w:rsid w:val="00681573"/>
    <w:rsid w:val="0068198F"/>
    <w:rsid w:val="00681A55"/>
    <w:rsid w:val="00681CC4"/>
    <w:rsid w:val="00682557"/>
    <w:rsid w:val="006828D2"/>
    <w:rsid w:val="00682C45"/>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689"/>
    <w:rsid w:val="00691869"/>
    <w:rsid w:val="00691AB1"/>
    <w:rsid w:val="00691CA5"/>
    <w:rsid w:val="00691E49"/>
    <w:rsid w:val="0069256B"/>
    <w:rsid w:val="00692B1A"/>
    <w:rsid w:val="006934F6"/>
    <w:rsid w:val="00693538"/>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A0763"/>
    <w:rsid w:val="006A0D8E"/>
    <w:rsid w:val="006A12B1"/>
    <w:rsid w:val="006A14D9"/>
    <w:rsid w:val="006A18D6"/>
    <w:rsid w:val="006A212E"/>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503"/>
    <w:rsid w:val="006B4533"/>
    <w:rsid w:val="006B4678"/>
    <w:rsid w:val="006B486F"/>
    <w:rsid w:val="006B4AC7"/>
    <w:rsid w:val="006B4CFA"/>
    <w:rsid w:val="006B5880"/>
    <w:rsid w:val="006B5F66"/>
    <w:rsid w:val="006B5FBD"/>
    <w:rsid w:val="006B6026"/>
    <w:rsid w:val="006C1EDB"/>
    <w:rsid w:val="006C1F6C"/>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0A4"/>
    <w:rsid w:val="006E12B0"/>
    <w:rsid w:val="006E13BB"/>
    <w:rsid w:val="006E1679"/>
    <w:rsid w:val="006E2724"/>
    <w:rsid w:val="006E2A80"/>
    <w:rsid w:val="006E2BF7"/>
    <w:rsid w:val="006E36FC"/>
    <w:rsid w:val="006E39DE"/>
    <w:rsid w:val="006E3F56"/>
    <w:rsid w:val="006E449E"/>
    <w:rsid w:val="006E45F6"/>
    <w:rsid w:val="006E56D7"/>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224"/>
    <w:rsid w:val="006F3482"/>
    <w:rsid w:val="006F34B1"/>
    <w:rsid w:val="006F3513"/>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53EF"/>
    <w:rsid w:val="0071574A"/>
    <w:rsid w:val="00715C79"/>
    <w:rsid w:val="007160BF"/>
    <w:rsid w:val="0071680D"/>
    <w:rsid w:val="00716D2C"/>
    <w:rsid w:val="00716DB0"/>
    <w:rsid w:val="0071712E"/>
    <w:rsid w:val="0071767B"/>
    <w:rsid w:val="00717783"/>
    <w:rsid w:val="007200EB"/>
    <w:rsid w:val="0072029B"/>
    <w:rsid w:val="00720344"/>
    <w:rsid w:val="007205C7"/>
    <w:rsid w:val="007205E6"/>
    <w:rsid w:val="00720A69"/>
    <w:rsid w:val="00720E59"/>
    <w:rsid w:val="00720FC2"/>
    <w:rsid w:val="0072118B"/>
    <w:rsid w:val="007211D6"/>
    <w:rsid w:val="00722287"/>
    <w:rsid w:val="00722365"/>
    <w:rsid w:val="00722B8D"/>
    <w:rsid w:val="00722EC6"/>
    <w:rsid w:val="00722FF4"/>
    <w:rsid w:val="007237B4"/>
    <w:rsid w:val="00723941"/>
    <w:rsid w:val="00723E78"/>
    <w:rsid w:val="00724081"/>
    <w:rsid w:val="007245F3"/>
    <w:rsid w:val="00725108"/>
    <w:rsid w:val="0072514E"/>
    <w:rsid w:val="007256CF"/>
    <w:rsid w:val="00726520"/>
    <w:rsid w:val="007265A6"/>
    <w:rsid w:val="007267C6"/>
    <w:rsid w:val="00726876"/>
    <w:rsid w:val="00726FE3"/>
    <w:rsid w:val="00727496"/>
    <w:rsid w:val="0072788B"/>
    <w:rsid w:val="00727890"/>
    <w:rsid w:val="00727DF8"/>
    <w:rsid w:val="0073097E"/>
    <w:rsid w:val="00730C39"/>
    <w:rsid w:val="00730F31"/>
    <w:rsid w:val="007314A9"/>
    <w:rsid w:val="00731E85"/>
    <w:rsid w:val="007326DF"/>
    <w:rsid w:val="00733B08"/>
    <w:rsid w:val="00733B76"/>
    <w:rsid w:val="00733FD1"/>
    <w:rsid w:val="00734278"/>
    <w:rsid w:val="0073442A"/>
    <w:rsid w:val="00734682"/>
    <w:rsid w:val="00734E50"/>
    <w:rsid w:val="00735554"/>
    <w:rsid w:val="007356C7"/>
    <w:rsid w:val="00735731"/>
    <w:rsid w:val="00736258"/>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A34"/>
    <w:rsid w:val="00744E5C"/>
    <w:rsid w:val="007451C8"/>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60D9"/>
    <w:rsid w:val="007561A2"/>
    <w:rsid w:val="00756844"/>
    <w:rsid w:val="00757849"/>
    <w:rsid w:val="00757968"/>
    <w:rsid w:val="00757FCD"/>
    <w:rsid w:val="007603C2"/>
    <w:rsid w:val="00760572"/>
    <w:rsid w:val="00761775"/>
    <w:rsid w:val="0076239D"/>
    <w:rsid w:val="007623B3"/>
    <w:rsid w:val="00762CE7"/>
    <w:rsid w:val="00763427"/>
    <w:rsid w:val="00763462"/>
    <w:rsid w:val="00763F76"/>
    <w:rsid w:val="00764805"/>
    <w:rsid w:val="00766562"/>
    <w:rsid w:val="00766AA2"/>
    <w:rsid w:val="0076729F"/>
    <w:rsid w:val="007676CD"/>
    <w:rsid w:val="00767D03"/>
    <w:rsid w:val="007702AC"/>
    <w:rsid w:val="0077185B"/>
    <w:rsid w:val="00771B33"/>
    <w:rsid w:val="007721EC"/>
    <w:rsid w:val="00772DBD"/>
    <w:rsid w:val="00772E2C"/>
    <w:rsid w:val="00772EAD"/>
    <w:rsid w:val="00772F67"/>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747"/>
    <w:rsid w:val="00793F71"/>
    <w:rsid w:val="00793FDF"/>
    <w:rsid w:val="00794106"/>
    <w:rsid w:val="00794BFF"/>
    <w:rsid w:val="00794C79"/>
    <w:rsid w:val="0079527C"/>
    <w:rsid w:val="00795EBC"/>
    <w:rsid w:val="00796832"/>
    <w:rsid w:val="007969F7"/>
    <w:rsid w:val="00796F8A"/>
    <w:rsid w:val="0079735C"/>
    <w:rsid w:val="007976BE"/>
    <w:rsid w:val="0079790E"/>
    <w:rsid w:val="007A0AF3"/>
    <w:rsid w:val="007A0CE5"/>
    <w:rsid w:val="007A1094"/>
    <w:rsid w:val="007A1203"/>
    <w:rsid w:val="007A2124"/>
    <w:rsid w:val="007A36C7"/>
    <w:rsid w:val="007A3A97"/>
    <w:rsid w:val="007A4B22"/>
    <w:rsid w:val="007A5653"/>
    <w:rsid w:val="007A5891"/>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60FB"/>
    <w:rsid w:val="007B63F4"/>
    <w:rsid w:val="007B6427"/>
    <w:rsid w:val="007B64B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EC4"/>
    <w:rsid w:val="007C2760"/>
    <w:rsid w:val="007C27FE"/>
    <w:rsid w:val="007C3663"/>
    <w:rsid w:val="007C406D"/>
    <w:rsid w:val="007C4F15"/>
    <w:rsid w:val="007C5F27"/>
    <w:rsid w:val="007C6196"/>
    <w:rsid w:val="007C7617"/>
    <w:rsid w:val="007D0EA6"/>
    <w:rsid w:val="007D11CC"/>
    <w:rsid w:val="007D18B2"/>
    <w:rsid w:val="007D19A5"/>
    <w:rsid w:val="007D27E3"/>
    <w:rsid w:val="007D3635"/>
    <w:rsid w:val="007D3E3D"/>
    <w:rsid w:val="007D40DE"/>
    <w:rsid w:val="007D42F8"/>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33DB"/>
    <w:rsid w:val="007E3720"/>
    <w:rsid w:val="007E41D2"/>
    <w:rsid w:val="007E4786"/>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F9D"/>
    <w:rsid w:val="00802083"/>
    <w:rsid w:val="008029EC"/>
    <w:rsid w:val="00802BC4"/>
    <w:rsid w:val="00802D85"/>
    <w:rsid w:val="008031D6"/>
    <w:rsid w:val="008037F8"/>
    <w:rsid w:val="00803FDB"/>
    <w:rsid w:val="00804986"/>
    <w:rsid w:val="00804EF8"/>
    <w:rsid w:val="008051E8"/>
    <w:rsid w:val="00805B98"/>
    <w:rsid w:val="00805EFB"/>
    <w:rsid w:val="0080659A"/>
    <w:rsid w:val="00806BDC"/>
    <w:rsid w:val="00806FB0"/>
    <w:rsid w:val="0080740C"/>
    <w:rsid w:val="00807B34"/>
    <w:rsid w:val="00810E89"/>
    <w:rsid w:val="00811EC5"/>
    <w:rsid w:val="00811F3A"/>
    <w:rsid w:val="008125A3"/>
    <w:rsid w:val="00812F8C"/>
    <w:rsid w:val="00813496"/>
    <w:rsid w:val="008134EA"/>
    <w:rsid w:val="00813984"/>
    <w:rsid w:val="00813DD8"/>
    <w:rsid w:val="00814252"/>
    <w:rsid w:val="00814CF5"/>
    <w:rsid w:val="00815414"/>
    <w:rsid w:val="00816021"/>
    <w:rsid w:val="00816545"/>
    <w:rsid w:val="00817398"/>
    <w:rsid w:val="00817811"/>
    <w:rsid w:val="00817FA6"/>
    <w:rsid w:val="00820251"/>
    <w:rsid w:val="008202B7"/>
    <w:rsid w:val="00820599"/>
    <w:rsid w:val="008209EF"/>
    <w:rsid w:val="00820D60"/>
    <w:rsid w:val="0082194E"/>
    <w:rsid w:val="00821DC1"/>
    <w:rsid w:val="00821E09"/>
    <w:rsid w:val="00821E21"/>
    <w:rsid w:val="00823271"/>
    <w:rsid w:val="0082354E"/>
    <w:rsid w:val="008237FE"/>
    <w:rsid w:val="00823809"/>
    <w:rsid w:val="00823A7A"/>
    <w:rsid w:val="008245AD"/>
    <w:rsid w:val="00824BCF"/>
    <w:rsid w:val="00824C8B"/>
    <w:rsid w:val="00824E1F"/>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C11"/>
    <w:rsid w:val="00837D44"/>
    <w:rsid w:val="008400A7"/>
    <w:rsid w:val="008400D5"/>
    <w:rsid w:val="00840436"/>
    <w:rsid w:val="00840C9E"/>
    <w:rsid w:val="008410B0"/>
    <w:rsid w:val="00841207"/>
    <w:rsid w:val="0084150F"/>
    <w:rsid w:val="00841A7B"/>
    <w:rsid w:val="00841B3D"/>
    <w:rsid w:val="00841C5C"/>
    <w:rsid w:val="00842149"/>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727"/>
    <w:rsid w:val="00871753"/>
    <w:rsid w:val="00871866"/>
    <w:rsid w:val="00871A6F"/>
    <w:rsid w:val="0087213D"/>
    <w:rsid w:val="008722A9"/>
    <w:rsid w:val="0087344E"/>
    <w:rsid w:val="00873ABE"/>
    <w:rsid w:val="00873FC0"/>
    <w:rsid w:val="00874337"/>
    <w:rsid w:val="00875F52"/>
    <w:rsid w:val="00876231"/>
    <w:rsid w:val="0087680C"/>
    <w:rsid w:val="00876D47"/>
    <w:rsid w:val="00876FEA"/>
    <w:rsid w:val="008773C0"/>
    <w:rsid w:val="0087750B"/>
    <w:rsid w:val="00877728"/>
    <w:rsid w:val="00877F6E"/>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5338"/>
    <w:rsid w:val="00895790"/>
    <w:rsid w:val="008957D3"/>
    <w:rsid w:val="00895963"/>
    <w:rsid w:val="0089597D"/>
    <w:rsid w:val="00895C66"/>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658"/>
    <w:rsid w:val="008D0835"/>
    <w:rsid w:val="008D0C02"/>
    <w:rsid w:val="008D0F96"/>
    <w:rsid w:val="008D1464"/>
    <w:rsid w:val="008D1547"/>
    <w:rsid w:val="008D184F"/>
    <w:rsid w:val="008D20E6"/>
    <w:rsid w:val="008D24F4"/>
    <w:rsid w:val="008D2643"/>
    <w:rsid w:val="008D2F26"/>
    <w:rsid w:val="008D31A1"/>
    <w:rsid w:val="008D37A9"/>
    <w:rsid w:val="008D3868"/>
    <w:rsid w:val="008D3A17"/>
    <w:rsid w:val="008D3C5A"/>
    <w:rsid w:val="008D431C"/>
    <w:rsid w:val="008D443E"/>
    <w:rsid w:val="008D4C52"/>
    <w:rsid w:val="008D5624"/>
    <w:rsid w:val="008D5FA5"/>
    <w:rsid w:val="008D61A0"/>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B67"/>
    <w:rsid w:val="008E4C85"/>
    <w:rsid w:val="008E4F00"/>
    <w:rsid w:val="008E534F"/>
    <w:rsid w:val="008E5AD3"/>
    <w:rsid w:val="008E65A3"/>
    <w:rsid w:val="008E65C3"/>
    <w:rsid w:val="008E676C"/>
    <w:rsid w:val="008E713A"/>
    <w:rsid w:val="008E72BE"/>
    <w:rsid w:val="008E7308"/>
    <w:rsid w:val="008E7496"/>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7013"/>
    <w:rsid w:val="008F725E"/>
    <w:rsid w:val="008F73D7"/>
    <w:rsid w:val="008F74A7"/>
    <w:rsid w:val="008F7503"/>
    <w:rsid w:val="008F757F"/>
    <w:rsid w:val="008F78A1"/>
    <w:rsid w:val="008F7ABF"/>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B0C"/>
    <w:rsid w:val="00905CE3"/>
    <w:rsid w:val="009077A1"/>
    <w:rsid w:val="00907BDC"/>
    <w:rsid w:val="00910780"/>
    <w:rsid w:val="009107BD"/>
    <w:rsid w:val="0091090A"/>
    <w:rsid w:val="009111B9"/>
    <w:rsid w:val="0091176D"/>
    <w:rsid w:val="00911930"/>
    <w:rsid w:val="00911A4D"/>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ED9"/>
    <w:rsid w:val="00933CA6"/>
    <w:rsid w:val="0093429F"/>
    <w:rsid w:val="009344B4"/>
    <w:rsid w:val="0093470C"/>
    <w:rsid w:val="00934EA4"/>
    <w:rsid w:val="00934F1B"/>
    <w:rsid w:val="00935024"/>
    <w:rsid w:val="009355DC"/>
    <w:rsid w:val="0093588C"/>
    <w:rsid w:val="00935C32"/>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200E"/>
    <w:rsid w:val="009428C8"/>
    <w:rsid w:val="00942A6D"/>
    <w:rsid w:val="00942F70"/>
    <w:rsid w:val="00943545"/>
    <w:rsid w:val="00944853"/>
    <w:rsid w:val="00944EF8"/>
    <w:rsid w:val="0094533A"/>
    <w:rsid w:val="00945A80"/>
    <w:rsid w:val="00945FAA"/>
    <w:rsid w:val="00946881"/>
    <w:rsid w:val="00946A1E"/>
    <w:rsid w:val="00946B68"/>
    <w:rsid w:val="0094708A"/>
    <w:rsid w:val="009473D0"/>
    <w:rsid w:val="0094781F"/>
    <w:rsid w:val="00947C4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9E"/>
    <w:rsid w:val="00973FC4"/>
    <w:rsid w:val="00973FE5"/>
    <w:rsid w:val="0097443F"/>
    <w:rsid w:val="009744EA"/>
    <w:rsid w:val="0097562E"/>
    <w:rsid w:val="00975F9E"/>
    <w:rsid w:val="009769E7"/>
    <w:rsid w:val="00976CC6"/>
    <w:rsid w:val="00976F45"/>
    <w:rsid w:val="009771C6"/>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396"/>
    <w:rsid w:val="00986485"/>
    <w:rsid w:val="00986684"/>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B26"/>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858"/>
    <w:rsid w:val="009A6A78"/>
    <w:rsid w:val="009A6CC0"/>
    <w:rsid w:val="009A6D26"/>
    <w:rsid w:val="009A7A6B"/>
    <w:rsid w:val="009A7F13"/>
    <w:rsid w:val="009B0219"/>
    <w:rsid w:val="009B0EDB"/>
    <w:rsid w:val="009B12B5"/>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B6A"/>
    <w:rsid w:val="009C0AA2"/>
    <w:rsid w:val="009C0AE3"/>
    <w:rsid w:val="009C1369"/>
    <w:rsid w:val="009C1562"/>
    <w:rsid w:val="009C16AE"/>
    <w:rsid w:val="009C174C"/>
    <w:rsid w:val="009C185A"/>
    <w:rsid w:val="009C1CE8"/>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EF"/>
    <w:rsid w:val="009D4345"/>
    <w:rsid w:val="009D461A"/>
    <w:rsid w:val="009D4BFC"/>
    <w:rsid w:val="009D5C09"/>
    <w:rsid w:val="009D6237"/>
    <w:rsid w:val="009D6FBD"/>
    <w:rsid w:val="009D7157"/>
    <w:rsid w:val="009D71E6"/>
    <w:rsid w:val="009D74DF"/>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3012"/>
    <w:rsid w:val="00A2335E"/>
    <w:rsid w:val="00A23816"/>
    <w:rsid w:val="00A2393C"/>
    <w:rsid w:val="00A23A38"/>
    <w:rsid w:val="00A23E44"/>
    <w:rsid w:val="00A23EA3"/>
    <w:rsid w:val="00A24322"/>
    <w:rsid w:val="00A24E3E"/>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B22"/>
    <w:rsid w:val="00A32C59"/>
    <w:rsid w:val="00A32C8A"/>
    <w:rsid w:val="00A32CE9"/>
    <w:rsid w:val="00A32DF6"/>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8A"/>
    <w:rsid w:val="00A551FB"/>
    <w:rsid w:val="00A55261"/>
    <w:rsid w:val="00A55C9B"/>
    <w:rsid w:val="00A56708"/>
    <w:rsid w:val="00A572C9"/>
    <w:rsid w:val="00A57C29"/>
    <w:rsid w:val="00A57D05"/>
    <w:rsid w:val="00A60889"/>
    <w:rsid w:val="00A60C36"/>
    <w:rsid w:val="00A612B7"/>
    <w:rsid w:val="00A613B7"/>
    <w:rsid w:val="00A61C4D"/>
    <w:rsid w:val="00A62213"/>
    <w:rsid w:val="00A6222D"/>
    <w:rsid w:val="00A6237A"/>
    <w:rsid w:val="00A625D4"/>
    <w:rsid w:val="00A62869"/>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DA"/>
    <w:rsid w:val="00A82E15"/>
    <w:rsid w:val="00A82E89"/>
    <w:rsid w:val="00A8370C"/>
    <w:rsid w:val="00A83B0F"/>
    <w:rsid w:val="00A848A8"/>
    <w:rsid w:val="00A84A1E"/>
    <w:rsid w:val="00A84DFA"/>
    <w:rsid w:val="00A851F0"/>
    <w:rsid w:val="00A85686"/>
    <w:rsid w:val="00A857DC"/>
    <w:rsid w:val="00A858A1"/>
    <w:rsid w:val="00A85B6B"/>
    <w:rsid w:val="00A8658D"/>
    <w:rsid w:val="00A869D7"/>
    <w:rsid w:val="00A86A97"/>
    <w:rsid w:val="00A875AC"/>
    <w:rsid w:val="00A90372"/>
    <w:rsid w:val="00A90C8A"/>
    <w:rsid w:val="00A90E67"/>
    <w:rsid w:val="00A912AB"/>
    <w:rsid w:val="00A923E7"/>
    <w:rsid w:val="00A9283B"/>
    <w:rsid w:val="00A92AF9"/>
    <w:rsid w:val="00A94000"/>
    <w:rsid w:val="00A948D6"/>
    <w:rsid w:val="00A949E2"/>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3BE"/>
    <w:rsid w:val="00AD53BB"/>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468"/>
    <w:rsid w:val="00AE5A5E"/>
    <w:rsid w:val="00AE6311"/>
    <w:rsid w:val="00AE6F83"/>
    <w:rsid w:val="00AE78EE"/>
    <w:rsid w:val="00AE7C1F"/>
    <w:rsid w:val="00AF014E"/>
    <w:rsid w:val="00AF0935"/>
    <w:rsid w:val="00AF097C"/>
    <w:rsid w:val="00AF0EFC"/>
    <w:rsid w:val="00AF1DFA"/>
    <w:rsid w:val="00AF1FD1"/>
    <w:rsid w:val="00AF20F4"/>
    <w:rsid w:val="00AF2777"/>
    <w:rsid w:val="00AF29F5"/>
    <w:rsid w:val="00AF389D"/>
    <w:rsid w:val="00AF4DC6"/>
    <w:rsid w:val="00AF4DF2"/>
    <w:rsid w:val="00AF568C"/>
    <w:rsid w:val="00AF5830"/>
    <w:rsid w:val="00AF5B7A"/>
    <w:rsid w:val="00AF5F70"/>
    <w:rsid w:val="00AF5FFB"/>
    <w:rsid w:val="00AF606C"/>
    <w:rsid w:val="00AF607D"/>
    <w:rsid w:val="00AF77C9"/>
    <w:rsid w:val="00AF7F6E"/>
    <w:rsid w:val="00B00076"/>
    <w:rsid w:val="00B003F3"/>
    <w:rsid w:val="00B00BFF"/>
    <w:rsid w:val="00B00C1F"/>
    <w:rsid w:val="00B00D1B"/>
    <w:rsid w:val="00B00F63"/>
    <w:rsid w:val="00B00FCE"/>
    <w:rsid w:val="00B01340"/>
    <w:rsid w:val="00B01351"/>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A43"/>
    <w:rsid w:val="00B10BDE"/>
    <w:rsid w:val="00B11072"/>
    <w:rsid w:val="00B1218A"/>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31F4"/>
    <w:rsid w:val="00B232C6"/>
    <w:rsid w:val="00B23648"/>
    <w:rsid w:val="00B238A9"/>
    <w:rsid w:val="00B238AE"/>
    <w:rsid w:val="00B2393E"/>
    <w:rsid w:val="00B23D95"/>
    <w:rsid w:val="00B24019"/>
    <w:rsid w:val="00B2455F"/>
    <w:rsid w:val="00B24833"/>
    <w:rsid w:val="00B250CE"/>
    <w:rsid w:val="00B25C32"/>
    <w:rsid w:val="00B2640F"/>
    <w:rsid w:val="00B26457"/>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8D5"/>
    <w:rsid w:val="00B34C30"/>
    <w:rsid w:val="00B355CF"/>
    <w:rsid w:val="00B3608C"/>
    <w:rsid w:val="00B360A8"/>
    <w:rsid w:val="00B360BD"/>
    <w:rsid w:val="00B36276"/>
    <w:rsid w:val="00B36484"/>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21BA"/>
    <w:rsid w:val="00B525DC"/>
    <w:rsid w:val="00B525DD"/>
    <w:rsid w:val="00B53769"/>
    <w:rsid w:val="00B53D46"/>
    <w:rsid w:val="00B53F10"/>
    <w:rsid w:val="00B54776"/>
    <w:rsid w:val="00B556E4"/>
    <w:rsid w:val="00B55A24"/>
    <w:rsid w:val="00B55AAB"/>
    <w:rsid w:val="00B55C7F"/>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18AA"/>
    <w:rsid w:val="00B72C70"/>
    <w:rsid w:val="00B72EEC"/>
    <w:rsid w:val="00B73077"/>
    <w:rsid w:val="00B739BB"/>
    <w:rsid w:val="00B74FB3"/>
    <w:rsid w:val="00B753E1"/>
    <w:rsid w:val="00B75801"/>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9ED"/>
    <w:rsid w:val="00B82C50"/>
    <w:rsid w:val="00B83294"/>
    <w:rsid w:val="00B83594"/>
    <w:rsid w:val="00B8493E"/>
    <w:rsid w:val="00B84DE1"/>
    <w:rsid w:val="00B84F4C"/>
    <w:rsid w:val="00B852DF"/>
    <w:rsid w:val="00B86451"/>
    <w:rsid w:val="00B86B9E"/>
    <w:rsid w:val="00B86D48"/>
    <w:rsid w:val="00B8723D"/>
    <w:rsid w:val="00B8726C"/>
    <w:rsid w:val="00B87578"/>
    <w:rsid w:val="00B87BB9"/>
    <w:rsid w:val="00B87E33"/>
    <w:rsid w:val="00B9034E"/>
    <w:rsid w:val="00B9075A"/>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779F"/>
    <w:rsid w:val="00B97A94"/>
    <w:rsid w:val="00B97D5C"/>
    <w:rsid w:val="00B97F63"/>
    <w:rsid w:val="00BA088D"/>
    <w:rsid w:val="00BA0D9D"/>
    <w:rsid w:val="00BA0DCC"/>
    <w:rsid w:val="00BA1185"/>
    <w:rsid w:val="00BA22D5"/>
    <w:rsid w:val="00BA3229"/>
    <w:rsid w:val="00BA32F0"/>
    <w:rsid w:val="00BA3375"/>
    <w:rsid w:val="00BA4026"/>
    <w:rsid w:val="00BA432F"/>
    <w:rsid w:val="00BA49A7"/>
    <w:rsid w:val="00BA4CA4"/>
    <w:rsid w:val="00BA5CB4"/>
    <w:rsid w:val="00BA5E7D"/>
    <w:rsid w:val="00BA6317"/>
    <w:rsid w:val="00BA6432"/>
    <w:rsid w:val="00BA66A8"/>
    <w:rsid w:val="00BA6705"/>
    <w:rsid w:val="00BA6E5E"/>
    <w:rsid w:val="00BA7A87"/>
    <w:rsid w:val="00BA7C17"/>
    <w:rsid w:val="00BB0442"/>
    <w:rsid w:val="00BB100C"/>
    <w:rsid w:val="00BB168B"/>
    <w:rsid w:val="00BB182A"/>
    <w:rsid w:val="00BB1C17"/>
    <w:rsid w:val="00BB1CBA"/>
    <w:rsid w:val="00BB205B"/>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10D4"/>
    <w:rsid w:val="00BD11D8"/>
    <w:rsid w:val="00BD1756"/>
    <w:rsid w:val="00BD19F8"/>
    <w:rsid w:val="00BD1C1E"/>
    <w:rsid w:val="00BD1CC8"/>
    <w:rsid w:val="00BD2265"/>
    <w:rsid w:val="00BD2437"/>
    <w:rsid w:val="00BD2766"/>
    <w:rsid w:val="00BD431A"/>
    <w:rsid w:val="00BD4406"/>
    <w:rsid w:val="00BD4A99"/>
    <w:rsid w:val="00BD4F45"/>
    <w:rsid w:val="00BD5969"/>
    <w:rsid w:val="00BD5B1A"/>
    <w:rsid w:val="00BD6201"/>
    <w:rsid w:val="00BD620C"/>
    <w:rsid w:val="00BD625D"/>
    <w:rsid w:val="00BD65B4"/>
    <w:rsid w:val="00BD6917"/>
    <w:rsid w:val="00BD75C3"/>
    <w:rsid w:val="00BE00DC"/>
    <w:rsid w:val="00BE12AE"/>
    <w:rsid w:val="00BE19C2"/>
    <w:rsid w:val="00BE2C9D"/>
    <w:rsid w:val="00BE307F"/>
    <w:rsid w:val="00BE32B7"/>
    <w:rsid w:val="00BE353A"/>
    <w:rsid w:val="00BE3D6C"/>
    <w:rsid w:val="00BE3EB9"/>
    <w:rsid w:val="00BE4647"/>
    <w:rsid w:val="00BE48CB"/>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7A1"/>
    <w:rsid w:val="00BF3EB3"/>
    <w:rsid w:val="00BF4BBD"/>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9F3"/>
    <w:rsid w:val="00C21B5B"/>
    <w:rsid w:val="00C22465"/>
    <w:rsid w:val="00C225DE"/>
    <w:rsid w:val="00C237CC"/>
    <w:rsid w:val="00C241D9"/>
    <w:rsid w:val="00C24409"/>
    <w:rsid w:val="00C24A7B"/>
    <w:rsid w:val="00C24CF6"/>
    <w:rsid w:val="00C251F2"/>
    <w:rsid w:val="00C25647"/>
    <w:rsid w:val="00C26400"/>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50263"/>
    <w:rsid w:val="00C502CF"/>
    <w:rsid w:val="00C50439"/>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365"/>
    <w:rsid w:val="00C6389C"/>
    <w:rsid w:val="00C63CD8"/>
    <w:rsid w:val="00C64245"/>
    <w:rsid w:val="00C64618"/>
    <w:rsid w:val="00C64822"/>
    <w:rsid w:val="00C64C70"/>
    <w:rsid w:val="00C64E96"/>
    <w:rsid w:val="00C65509"/>
    <w:rsid w:val="00C656F0"/>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61FA"/>
    <w:rsid w:val="00C76389"/>
    <w:rsid w:val="00C771CC"/>
    <w:rsid w:val="00C77498"/>
    <w:rsid w:val="00C7749A"/>
    <w:rsid w:val="00C80243"/>
    <w:rsid w:val="00C80CDC"/>
    <w:rsid w:val="00C814FB"/>
    <w:rsid w:val="00C819CD"/>
    <w:rsid w:val="00C82013"/>
    <w:rsid w:val="00C820D8"/>
    <w:rsid w:val="00C820E3"/>
    <w:rsid w:val="00C8260B"/>
    <w:rsid w:val="00C82A21"/>
    <w:rsid w:val="00C82A60"/>
    <w:rsid w:val="00C837BE"/>
    <w:rsid w:val="00C83C91"/>
    <w:rsid w:val="00C83E74"/>
    <w:rsid w:val="00C845ED"/>
    <w:rsid w:val="00C8494C"/>
    <w:rsid w:val="00C849C8"/>
    <w:rsid w:val="00C84A11"/>
    <w:rsid w:val="00C84ECE"/>
    <w:rsid w:val="00C85459"/>
    <w:rsid w:val="00C8585E"/>
    <w:rsid w:val="00C85F96"/>
    <w:rsid w:val="00C868DA"/>
    <w:rsid w:val="00C86D4E"/>
    <w:rsid w:val="00C86F80"/>
    <w:rsid w:val="00C87249"/>
    <w:rsid w:val="00C8784F"/>
    <w:rsid w:val="00C87DA6"/>
    <w:rsid w:val="00C900FA"/>
    <w:rsid w:val="00C90243"/>
    <w:rsid w:val="00C91199"/>
    <w:rsid w:val="00C91648"/>
    <w:rsid w:val="00C92AE9"/>
    <w:rsid w:val="00C92C73"/>
    <w:rsid w:val="00C92D65"/>
    <w:rsid w:val="00C93021"/>
    <w:rsid w:val="00C93783"/>
    <w:rsid w:val="00C93AD4"/>
    <w:rsid w:val="00C94090"/>
    <w:rsid w:val="00C9422D"/>
    <w:rsid w:val="00C94500"/>
    <w:rsid w:val="00C948BE"/>
    <w:rsid w:val="00C94B12"/>
    <w:rsid w:val="00C9552A"/>
    <w:rsid w:val="00C959D1"/>
    <w:rsid w:val="00C963CF"/>
    <w:rsid w:val="00C96FC3"/>
    <w:rsid w:val="00C971F2"/>
    <w:rsid w:val="00C97C9C"/>
    <w:rsid w:val="00CA01C1"/>
    <w:rsid w:val="00CA0FF4"/>
    <w:rsid w:val="00CA10B0"/>
    <w:rsid w:val="00CA1759"/>
    <w:rsid w:val="00CA1C57"/>
    <w:rsid w:val="00CA2206"/>
    <w:rsid w:val="00CA22EA"/>
    <w:rsid w:val="00CA2518"/>
    <w:rsid w:val="00CA26A5"/>
    <w:rsid w:val="00CA28DF"/>
    <w:rsid w:val="00CA3123"/>
    <w:rsid w:val="00CA40CF"/>
    <w:rsid w:val="00CA42A0"/>
    <w:rsid w:val="00CA47C0"/>
    <w:rsid w:val="00CA53C7"/>
    <w:rsid w:val="00CA5724"/>
    <w:rsid w:val="00CA59E1"/>
    <w:rsid w:val="00CA5AFC"/>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3DE"/>
    <w:rsid w:val="00CB358D"/>
    <w:rsid w:val="00CB3991"/>
    <w:rsid w:val="00CB3B15"/>
    <w:rsid w:val="00CB4011"/>
    <w:rsid w:val="00CB4982"/>
    <w:rsid w:val="00CB50D3"/>
    <w:rsid w:val="00CB55E8"/>
    <w:rsid w:val="00CB5703"/>
    <w:rsid w:val="00CB5CE4"/>
    <w:rsid w:val="00CB6D0A"/>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724F"/>
    <w:rsid w:val="00CD7439"/>
    <w:rsid w:val="00CE00C4"/>
    <w:rsid w:val="00CE0B74"/>
    <w:rsid w:val="00CE0EF6"/>
    <w:rsid w:val="00CE0FA2"/>
    <w:rsid w:val="00CE1218"/>
    <w:rsid w:val="00CE1C12"/>
    <w:rsid w:val="00CE1CDC"/>
    <w:rsid w:val="00CE1F9C"/>
    <w:rsid w:val="00CE1FE9"/>
    <w:rsid w:val="00CE2073"/>
    <w:rsid w:val="00CE24B4"/>
    <w:rsid w:val="00CE25B4"/>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9D1"/>
    <w:rsid w:val="00CF2556"/>
    <w:rsid w:val="00CF326A"/>
    <w:rsid w:val="00CF3941"/>
    <w:rsid w:val="00CF3D8E"/>
    <w:rsid w:val="00CF3FBC"/>
    <w:rsid w:val="00CF4144"/>
    <w:rsid w:val="00CF44CC"/>
    <w:rsid w:val="00CF4A73"/>
    <w:rsid w:val="00CF5677"/>
    <w:rsid w:val="00CF57A0"/>
    <w:rsid w:val="00CF5C04"/>
    <w:rsid w:val="00CF6A86"/>
    <w:rsid w:val="00CF6B4E"/>
    <w:rsid w:val="00CF711D"/>
    <w:rsid w:val="00CF7395"/>
    <w:rsid w:val="00CF7D29"/>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213A"/>
    <w:rsid w:val="00D22325"/>
    <w:rsid w:val="00D224B4"/>
    <w:rsid w:val="00D22BCB"/>
    <w:rsid w:val="00D22C1A"/>
    <w:rsid w:val="00D22E91"/>
    <w:rsid w:val="00D2400D"/>
    <w:rsid w:val="00D24125"/>
    <w:rsid w:val="00D24AE6"/>
    <w:rsid w:val="00D253EA"/>
    <w:rsid w:val="00D25FEC"/>
    <w:rsid w:val="00D26139"/>
    <w:rsid w:val="00D2634C"/>
    <w:rsid w:val="00D26965"/>
    <w:rsid w:val="00D26A6F"/>
    <w:rsid w:val="00D270B7"/>
    <w:rsid w:val="00D274D7"/>
    <w:rsid w:val="00D27686"/>
    <w:rsid w:val="00D30AA4"/>
    <w:rsid w:val="00D31A65"/>
    <w:rsid w:val="00D31CFF"/>
    <w:rsid w:val="00D323FE"/>
    <w:rsid w:val="00D32920"/>
    <w:rsid w:val="00D32A52"/>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2A4"/>
    <w:rsid w:val="00D42DAB"/>
    <w:rsid w:val="00D43CA5"/>
    <w:rsid w:val="00D44014"/>
    <w:rsid w:val="00D4419A"/>
    <w:rsid w:val="00D441F0"/>
    <w:rsid w:val="00D445BC"/>
    <w:rsid w:val="00D4486A"/>
    <w:rsid w:val="00D44DE9"/>
    <w:rsid w:val="00D451A5"/>
    <w:rsid w:val="00D451D4"/>
    <w:rsid w:val="00D4526B"/>
    <w:rsid w:val="00D4572D"/>
    <w:rsid w:val="00D4664D"/>
    <w:rsid w:val="00D467B4"/>
    <w:rsid w:val="00D46BD0"/>
    <w:rsid w:val="00D476FC"/>
    <w:rsid w:val="00D47BA4"/>
    <w:rsid w:val="00D50547"/>
    <w:rsid w:val="00D5061C"/>
    <w:rsid w:val="00D51409"/>
    <w:rsid w:val="00D518B9"/>
    <w:rsid w:val="00D51F90"/>
    <w:rsid w:val="00D52357"/>
    <w:rsid w:val="00D5271F"/>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112A"/>
    <w:rsid w:val="00D62EA9"/>
    <w:rsid w:val="00D63042"/>
    <w:rsid w:val="00D6340E"/>
    <w:rsid w:val="00D63DE8"/>
    <w:rsid w:val="00D6492A"/>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AA2"/>
    <w:rsid w:val="00D74107"/>
    <w:rsid w:val="00D7481B"/>
    <w:rsid w:val="00D75241"/>
    <w:rsid w:val="00D754E9"/>
    <w:rsid w:val="00D757CF"/>
    <w:rsid w:val="00D75CE2"/>
    <w:rsid w:val="00D76594"/>
    <w:rsid w:val="00D76F72"/>
    <w:rsid w:val="00D7758E"/>
    <w:rsid w:val="00D77C18"/>
    <w:rsid w:val="00D77DFB"/>
    <w:rsid w:val="00D80286"/>
    <w:rsid w:val="00D8291B"/>
    <w:rsid w:val="00D82B84"/>
    <w:rsid w:val="00D82CE7"/>
    <w:rsid w:val="00D82DF2"/>
    <w:rsid w:val="00D8326F"/>
    <w:rsid w:val="00D83841"/>
    <w:rsid w:val="00D84B46"/>
    <w:rsid w:val="00D851DB"/>
    <w:rsid w:val="00D85D9E"/>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A03AF"/>
    <w:rsid w:val="00DA14C4"/>
    <w:rsid w:val="00DA15F0"/>
    <w:rsid w:val="00DA1BDF"/>
    <w:rsid w:val="00DA1E37"/>
    <w:rsid w:val="00DA2857"/>
    <w:rsid w:val="00DA4B3E"/>
    <w:rsid w:val="00DA4BD2"/>
    <w:rsid w:val="00DA4BD5"/>
    <w:rsid w:val="00DA4CFA"/>
    <w:rsid w:val="00DA4DC7"/>
    <w:rsid w:val="00DA633A"/>
    <w:rsid w:val="00DA656F"/>
    <w:rsid w:val="00DA68BA"/>
    <w:rsid w:val="00DA6DB8"/>
    <w:rsid w:val="00DA716D"/>
    <w:rsid w:val="00DA7679"/>
    <w:rsid w:val="00DA779F"/>
    <w:rsid w:val="00DA7E8C"/>
    <w:rsid w:val="00DB15B6"/>
    <w:rsid w:val="00DB1686"/>
    <w:rsid w:val="00DB206B"/>
    <w:rsid w:val="00DB2430"/>
    <w:rsid w:val="00DB2768"/>
    <w:rsid w:val="00DB2EA0"/>
    <w:rsid w:val="00DB3A05"/>
    <w:rsid w:val="00DB3C74"/>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EAB"/>
    <w:rsid w:val="00DE2F40"/>
    <w:rsid w:val="00DE3055"/>
    <w:rsid w:val="00DE35BD"/>
    <w:rsid w:val="00DE3FC7"/>
    <w:rsid w:val="00DE4330"/>
    <w:rsid w:val="00DE4C30"/>
    <w:rsid w:val="00DE57D4"/>
    <w:rsid w:val="00DE5DC4"/>
    <w:rsid w:val="00DE631B"/>
    <w:rsid w:val="00DE6688"/>
    <w:rsid w:val="00DE76F6"/>
    <w:rsid w:val="00DE7CD8"/>
    <w:rsid w:val="00DE7DC1"/>
    <w:rsid w:val="00DF0059"/>
    <w:rsid w:val="00DF133F"/>
    <w:rsid w:val="00DF1FD5"/>
    <w:rsid w:val="00DF2145"/>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576"/>
    <w:rsid w:val="00DF79C2"/>
    <w:rsid w:val="00DF7FBF"/>
    <w:rsid w:val="00E00538"/>
    <w:rsid w:val="00E00F5F"/>
    <w:rsid w:val="00E01E94"/>
    <w:rsid w:val="00E01FD6"/>
    <w:rsid w:val="00E0310E"/>
    <w:rsid w:val="00E034EF"/>
    <w:rsid w:val="00E041F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B9"/>
    <w:rsid w:val="00E31998"/>
    <w:rsid w:val="00E31A7D"/>
    <w:rsid w:val="00E31D47"/>
    <w:rsid w:val="00E31E02"/>
    <w:rsid w:val="00E31EDE"/>
    <w:rsid w:val="00E33042"/>
    <w:rsid w:val="00E333D3"/>
    <w:rsid w:val="00E338CF"/>
    <w:rsid w:val="00E342B0"/>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D14"/>
    <w:rsid w:val="00E644B4"/>
    <w:rsid w:val="00E64FC7"/>
    <w:rsid w:val="00E65867"/>
    <w:rsid w:val="00E65A3D"/>
    <w:rsid w:val="00E65C41"/>
    <w:rsid w:val="00E65E7A"/>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D78"/>
    <w:rsid w:val="00E811CB"/>
    <w:rsid w:val="00E824C2"/>
    <w:rsid w:val="00E82707"/>
    <w:rsid w:val="00E82CBD"/>
    <w:rsid w:val="00E82D9D"/>
    <w:rsid w:val="00E83208"/>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DFC"/>
    <w:rsid w:val="00E95E86"/>
    <w:rsid w:val="00E95F74"/>
    <w:rsid w:val="00E96096"/>
    <w:rsid w:val="00E96817"/>
    <w:rsid w:val="00E96DF9"/>
    <w:rsid w:val="00E97BF1"/>
    <w:rsid w:val="00E97C62"/>
    <w:rsid w:val="00EA055E"/>
    <w:rsid w:val="00EA0817"/>
    <w:rsid w:val="00EA149B"/>
    <w:rsid w:val="00EA1673"/>
    <w:rsid w:val="00EA299C"/>
    <w:rsid w:val="00EA2E49"/>
    <w:rsid w:val="00EA31E3"/>
    <w:rsid w:val="00EA3BF0"/>
    <w:rsid w:val="00EA4177"/>
    <w:rsid w:val="00EA4619"/>
    <w:rsid w:val="00EA4BE0"/>
    <w:rsid w:val="00EA4C37"/>
    <w:rsid w:val="00EA6C8B"/>
    <w:rsid w:val="00EA726F"/>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B6A"/>
    <w:rsid w:val="00EE3EE1"/>
    <w:rsid w:val="00EE44D6"/>
    <w:rsid w:val="00EE48DB"/>
    <w:rsid w:val="00EE48E8"/>
    <w:rsid w:val="00EE4DF5"/>
    <w:rsid w:val="00EE4FD6"/>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142B"/>
    <w:rsid w:val="00F115E4"/>
    <w:rsid w:val="00F12540"/>
    <w:rsid w:val="00F133EE"/>
    <w:rsid w:val="00F13976"/>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86C"/>
    <w:rsid w:val="00F35CF6"/>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FF"/>
    <w:rsid w:val="00F5358A"/>
    <w:rsid w:val="00F53BD4"/>
    <w:rsid w:val="00F53C9C"/>
    <w:rsid w:val="00F53F02"/>
    <w:rsid w:val="00F54023"/>
    <w:rsid w:val="00F547AF"/>
    <w:rsid w:val="00F5496E"/>
    <w:rsid w:val="00F54D96"/>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30FA"/>
    <w:rsid w:val="00F635D3"/>
    <w:rsid w:val="00F63639"/>
    <w:rsid w:val="00F63A02"/>
    <w:rsid w:val="00F63CF3"/>
    <w:rsid w:val="00F64025"/>
    <w:rsid w:val="00F6451C"/>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E8"/>
    <w:rsid w:val="00F81314"/>
    <w:rsid w:val="00F814AA"/>
    <w:rsid w:val="00F815BC"/>
    <w:rsid w:val="00F819E2"/>
    <w:rsid w:val="00F819F3"/>
    <w:rsid w:val="00F81F3B"/>
    <w:rsid w:val="00F82784"/>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14F4"/>
    <w:rsid w:val="00F91684"/>
    <w:rsid w:val="00F91B59"/>
    <w:rsid w:val="00F91BE6"/>
    <w:rsid w:val="00F91F80"/>
    <w:rsid w:val="00F92B66"/>
    <w:rsid w:val="00F92FF8"/>
    <w:rsid w:val="00F930F4"/>
    <w:rsid w:val="00F93796"/>
    <w:rsid w:val="00F93B68"/>
    <w:rsid w:val="00F93E38"/>
    <w:rsid w:val="00F93F49"/>
    <w:rsid w:val="00F94F8A"/>
    <w:rsid w:val="00F9550B"/>
    <w:rsid w:val="00F9552A"/>
    <w:rsid w:val="00F955B3"/>
    <w:rsid w:val="00F95CC0"/>
    <w:rsid w:val="00F95E6E"/>
    <w:rsid w:val="00F96057"/>
    <w:rsid w:val="00F9667A"/>
    <w:rsid w:val="00F97443"/>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33E"/>
    <w:rsid w:val="00FB170D"/>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635"/>
    <w:rsid w:val="00FC1845"/>
    <w:rsid w:val="00FC1887"/>
    <w:rsid w:val="00FC2252"/>
    <w:rsid w:val="00FC23E9"/>
    <w:rsid w:val="00FC2ADB"/>
    <w:rsid w:val="00FC359A"/>
    <w:rsid w:val="00FC36DA"/>
    <w:rsid w:val="00FC3930"/>
    <w:rsid w:val="00FC3D0C"/>
    <w:rsid w:val="00FC4C64"/>
    <w:rsid w:val="00FC4FCA"/>
    <w:rsid w:val="00FC5585"/>
    <w:rsid w:val="00FC5590"/>
    <w:rsid w:val="00FC5C4D"/>
    <w:rsid w:val="00FC5C76"/>
    <w:rsid w:val="00FC5FD5"/>
    <w:rsid w:val="00FC71AF"/>
    <w:rsid w:val="00FC77F0"/>
    <w:rsid w:val="00FC7A78"/>
    <w:rsid w:val="00FD0111"/>
    <w:rsid w:val="00FD0309"/>
    <w:rsid w:val="00FD04A1"/>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5a3af,#666465"/>
    </o:shapedefaults>
    <o:shapelayout v:ext="edit">
      <o:idmap v:ext="edit" data="1"/>
    </o:shapelayout>
  </w:shapeDefaults>
  <w:decimalSymbol w:val="."/>
  <w:listSeparator w:val=","/>
  <w15:docId w15:val="{A66E8E10-9D0F-400D-825F-3F1D5296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uario\Mis%20documentos\Registros%20de%20Calidad%202019\Cierre%20Mensual\Marzo\Amonizada%20V.2\Tipo%20de%20Ga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2"/>
    </mc:Choice>
    <mc:Fallback>
      <c:style val="1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Evolución del Gasto Público</c:v>
          </c:tx>
          <c:invertIfNegative val="0"/>
          <c:dLbls>
            <c:dLbl>
              <c:idx val="0"/>
              <c:layout>
                <c:manualLayout>
                  <c:x val="0"/>
                  <c:y val="9.7222222222222224E-2"/>
                </c:manualLayout>
              </c:layout>
              <c:spPr/>
              <c:txPr>
                <a:bodyPr/>
                <a:lstStyle/>
                <a:p>
                  <a:pPr>
                    <a:defRPr b="1"/>
                  </a:pPr>
                  <a:endParaRPr lang="es-MX"/>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4.7222222222222221E-2"/>
                  <c:y val="-5.0925925925925923E-2"/>
                </c:manualLayout>
              </c:layout>
              <c:spPr/>
              <c:txPr>
                <a:bodyPr/>
                <a:lstStyle/>
                <a:p>
                  <a:pPr>
                    <a:defRPr b="1"/>
                  </a:pPr>
                  <a:endParaRPr lang="es-MX"/>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888888888888889E-2"/>
                  <c:y val="-4.6296296296296294E-2"/>
                </c:manualLayout>
              </c:layout>
              <c:spPr/>
              <c:txPr>
                <a:bodyPr/>
                <a:lstStyle/>
                <a:p>
                  <a:pPr>
                    <a:defRPr b="1"/>
                  </a:pPr>
                  <a:endParaRPr lang="es-MX"/>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'Tipo de Gasto (2)'!$B$20:$B$22</c:f>
              <c:strCache>
                <c:ptCount val="3"/>
                <c:pt idx="0">
                  <c:v>APROBADO</c:v>
                </c:pt>
                <c:pt idx="1">
                  <c:v>ADECUACIONES</c:v>
                </c:pt>
                <c:pt idx="2">
                  <c:v>MODIFICADO</c:v>
                </c:pt>
              </c:strCache>
            </c:strRef>
          </c:cat>
          <c:val>
            <c:numRef>
              <c:f>'Tipo de Gasto (2)'!$C$20:$C$22</c:f>
              <c:numCache>
                <c:formatCode>0.00%</c:formatCode>
                <c:ptCount val="3"/>
                <c:pt idx="0">
                  <c:v>1</c:v>
                </c:pt>
                <c:pt idx="1">
                  <c:v>4.9158666844441784E-2</c:v>
                </c:pt>
                <c:pt idx="2">
                  <c:v>1.0491586668444417</c:v>
                </c:pt>
              </c:numCache>
            </c:numRef>
          </c:val>
        </c:ser>
        <c:dLbls>
          <c:showLegendKey val="0"/>
          <c:showVal val="0"/>
          <c:showCatName val="0"/>
          <c:showSerName val="0"/>
          <c:showPercent val="0"/>
          <c:showBubbleSize val="0"/>
        </c:dLbls>
        <c:gapWidth val="150"/>
        <c:shape val="box"/>
        <c:axId val="1015884496"/>
        <c:axId val="1015879600"/>
        <c:axId val="0"/>
      </c:bar3DChart>
      <c:catAx>
        <c:axId val="1015884496"/>
        <c:scaling>
          <c:orientation val="minMax"/>
        </c:scaling>
        <c:delete val="0"/>
        <c:axPos val="b"/>
        <c:numFmt formatCode="General" sourceLinked="0"/>
        <c:majorTickMark val="out"/>
        <c:minorTickMark val="none"/>
        <c:tickLblPos val="nextTo"/>
        <c:txPr>
          <a:bodyPr/>
          <a:lstStyle/>
          <a:p>
            <a:pPr>
              <a:defRPr b="1"/>
            </a:pPr>
            <a:endParaRPr lang="es-MX"/>
          </a:p>
        </c:txPr>
        <c:crossAx val="1015879600"/>
        <c:crosses val="autoZero"/>
        <c:auto val="1"/>
        <c:lblAlgn val="ctr"/>
        <c:lblOffset val="100"/>
        <c:noMultiLvlLbl val="0"/>
      </c:catAx>
      <c:valAx>
        <c:axId val="1015879600"/>
        <c:scaling>
          <c:orientation val="minMax"/>
        </c:scaling>
        <c:delete val="1"/>
        <c:axPos val="l"/>
        <c:majorGridlines/>
        <c:numFmt formatCode="0.00%" sourceLinked="1"/>
        <c:majorTickMark val="out"/>
        <c:minorTickMark val="none"/>
        <c:tickLblPos val="nextTo"/>
        <c:crossAx val="10158844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ACD2DCDC-105C-4A57-9406-3EC38158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7494</Words>
  <Characters>41223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48620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Windows User</cp:lastModifiedBy>
  <cp:revision>3</cp:revision>
  <cp:lastPrinted>2019-01-16T15:56:00Z</cp:lastPrinted>
  <dcterms:created xsi:type="dcterms:W3CDTF">2019-04-13T02:55:00Z</dcterms:created>
  <dcterms:modified xsi:type="dcterms:W3CDTF">2019-04-13T02:58:00Z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