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2815CD" w:rsidRDefault="002815CD" w:rsidP="002815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2815CD">
        <w:rPr>
          <w:rFonts w:ascii="Arial" w:hAnsi="Arial" w:cs="Arial"/>
          <w:b/>
          <w:sz w:val="18"/>
          <w:szCs w:val="18"/>
        </w:rPr>
        <w:t>Introducción</w:t>
      </w:r>
    </w:p>
    <w:p w:rsidR="002815CD" w:rsidRPr="00EF2519" w:rsidRDefault="002815CD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2815CD" w:rsidRPr="005061F3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6F0BF2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lastRenderedPageBreak/>
        <w:t>Información Pres</w:t>
      </w:r>
      <w:r w:rsidR="002815CD">
        <w:rPr>
          <w:rFonts w:ascii="Arial" w:hAnsi="Arial" w:cs="Arial"/>
          <w:b/>
          <w:sz w:val="18"/>
          <w:szCs w:val="18"/>
        </w:rPr>
        <w:t>upuestal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Origen y Aplicación de Recursos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Origen y Aplicación de Recursos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Posición Financiera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por Cobrar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Anticipos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Proveedores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Fondos en Administración a Cuentas de Terceros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Pasivo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Gráfica de Situación Financiera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Modificaciones Patrimoniales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 de Modificación del Resultado de Ejercicios Anteriores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10497C" w:rsidRDefault="0010497C" w:rsidP="0010497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0497C">
        <w:rPr>
          <w:rFonts w:ascii="Arial" w:hAnsi="Arial" w:cs="Arial"/>
          <w:b/>
          <w:sz w:val="18"/>
          <w:szCs w:val="18"/>
        </w:rPr>
        <w:t>Formatos de Ley de Disciplina Financiera</w:t>
      </w:r>
    </w:p>
    <w:p w:rsidR="002815CD" w:rsidRPr="0010497C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6F0BF2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por Objeto del Gasto)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Administrativa)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Funcional)</w:t>
      </w:r>
    </w:p>
    <w:p w:rsidR="00DB516C" w:rsidRP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Detallado (Clasificación de Servicios Personales por Categoría) </w:t>
      </w:r>
    </w:p>
    <w:p w:rsidR="005117F4" w:rsidRPr="006F0B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sectPr w:rsidR="006F0BF2" w:rsidRPr="006F0BF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E0" w:rsidRDefault="006F10E0" w:rsidP="00EA5418">
      <w:pPr>
        <w:spacing w:after="0" w:line="240" w:lineRule="auto"/>
      </w:pPr>
      <w:r>
        <w:separator/>
      </w:r>
    </w:p>
  </w:endnote>
  <w:endnote w:type="continuationSeparator" w:id="0">
    <w:p w:rsidR="006F10E0" w:rsidRDefault="006F10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F2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506B4" w:rsidRPr="009506B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D7C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506B4" w:rsidRPr="009506B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E0" w:rsidRDefault="006F10E0" w:rsidP="00EA5418">
      <w:pPr>
        <w:spacing w:after="0" w:line="240" w:lineRule="auto"/>
      </w:pPr>
      <w:r>
        <w:separator/>
      </w:r>
    </w:p>
  </w:footnote>
  <w:footnote w:type="continuationSeparator" w:id="0">
    <w:p w:rsidR="006F10E0" w:rsidRDefault="006F10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61D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61D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ED3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A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6A5D"/>
    <w:multiLevelType w:val="hybridMultilevel"/>
    <w:tmpl w:val="7A7A1E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5EFC"/>
    <w:multiLevelType w:val="hybridMultilevel"/>
    <w:tmpl w:val="0F768240"/>
    <w:lvl w:ilvl="0" w:tplc="426C8B3E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67D3"/>
    <w:rsid w:val="000F7246"/>
    <w:rsid w:val="0010497C"/>
    <w:rsid w:val="0013011C"/>
    <w:rsid w:val="00136EA0"/>
    <w:rsid w:val="001646D9"/>
    <w:rsid w:val="001845F5"/>
    <w:rsid w:val="001B1B72"/>
    <w:rsid w:val="001D6C2C"/>
    <w:rsid w:val="0024398C"/>
    <w:rsid w:val="002623A4"/>
    <w:rsid w:val="00276526"/>
    <w:rsid w:val="002815CD"/>
    <w:rsid w:val="002865A7"/>
    <w:rsid w:val="002A70B3"/>
    <w:rsid w:val="002E5897"/>
    <w:rsid w:val="002F35CA"/>
    <w:rsid w:val="00307635"/>
    <w:rsid w:val="00311AB8"/>
    <w:rsid w:val="0032150D"/>
    <w:rsid w:val="00327AFF"/>
    <w:rsid w:val="00347633"/>
    <w:rsid w:val="00355821"/>
    <w:rsid w:val="003575A4"/>
    <w:rsid w:val="003610E0"/>
    <w:rsid w:val="00361D5B"/>
    <w:rsid w:val="00372F40"/>
    <w:rsid w:val="00374DDE"/>
    <w:rsid w:val="003A2C21"/>
    <w:rsid w:val="003D5DBF"/>
    <w:rsid w:val="003E7FD0"/>
    <w:rsid w:val="0044253C"/>
    <w:rsid w:val="00466A11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6048D2"/>
    <w:rsid w:val="00611E39"/>
    <w:rsid w:val="00647057"/>
    <w:rsid w:val="00661474"/>
    <w:rsid w:val="0069332B"/>
    <w:rsid w:val="006B729B"/>
    <w:rsid w:val="006D3565"/>
    <w:rsid w:val="006E6B8E"/>
    <w:rsid w:val="006E77DD"/>
    <w:rsid w:val="006F0BF2"/>
    <w:rsid w:val="006F10E0"/>
    <w:rsid w:val="00706990"/>
    <w:rsid w:val="0077082A"/>
    <w:rsid w:val="0079582C"/>
    <w:rsid w:val="007A2EF2"/>
    <w:rsid w:val="007D4EC4"/>
    <w:rsid w:val="007D6E9A"/>
    <w:rsid w:val="008022BA"/>
    <w:rsid w:val="00821CE9"/>
    <w:rsid w:val="00850E90"/>
    <w:rsid w:val="008A6E4D"/>
    <w:rsid w:val="008B0017"/>
    <w:rsid w:val="008C3575"/>
    <w:rsid w:val="008D4272"/>
    <w:rsid w:val="008E3652"/>
    <w:rsid w:val="00914208"/>
    <w:rsid w:val="00933333"/>
    <w:rsid w:val="009506B4"/>
    <w:rsid w:val="009508C9"/>
    <w:rsid w:val="00952E76"/>
    <w:rsid w:val="009D076A"/>
    <w:rsid w:val="00A14B74"/>
    <w:rsid w:val="00A56D1D"/>
    <w:rsid w:val="00AB13B7"/>
    <w:rsid w:val="00AC3699"/>
    <w:rsid w:val="00B17358"/>
    <w:rsid w:val="00B17423"/>
    <w:rsid w:val="00B42A02"/>
    <w:rsid w:val="00B849EE"/>
    <w:rsid w:val="00BF7D42"/>
    <w:rsid w:val="00C44F01"/>
    <w:rsid w:val="00C509E7"/>
    <w:rsid w:val="00CA2D37"/>
    <w:rsid w:val="00CB6277"/>
    <w:rsid w:val="00CC5CB6"/>
    <w:rsid w:val="00CC7A51"/>
    <w:rsid w:val="00CF138A"/>
    <w:rsid w:val="00CF5366"/>
    <w:rsid w:val="00D055EC"/>
    <w:rsid w:val="00D404ED"/>
    <w:rsid w:val="00D51261"/>
    <w:rsid w:val="00D748D3"/>
    <w:rsid w:val="00DB516C"/>
    <w:rsid w:val="00DD230F"/>
    <w:rsid w:val="00E32708"/>
    <w:rsid w:val="00E518A9"/>
    <w:rsid w:val="00E623C3"/>
    <w:rsid w:val="00E64B2D"/>
    <w:rsid w:val="00E832F2"/>
    <w:rsid w:val="00E94F1E"/>
    <w:rsid w:val="00EA5418"/>
    <w:rsid w:val="00EC55B6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6347-A532-4C0C-8FA5-E7D7D434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</cp:revision>
  <cp:lastPrinted>2018-04-05T17:29:00Z</cp:lastPrinted>
  <dcterms:created xsi:type="dcterms:W3CDTF">2019-10-03T15:28:00Z</dcterms:created>
  <dcterms:modified xsi:type="dcterms:W3CDTF">2019-10-03T15:28:00Z</dcterms:modified>
</cp:coreProperties>
</file>