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8C" w:rsidRDefault="00591BB3" w:rsidP="00AE7DEF">
      <w:r>
        <w:rPr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margin-left:37.8pt;margin-top:-3.15pt;width:680.7pt;height:417.2pt;z-index:251671552">
            <v:imagedata r:id="rId8" o:title=""/>
            <w10:wrap type="square" side="right"/>
          </v:shape>
          <o:OLEObject Type="Embed" ProgID="Excel.Sheet.12" ShapeID="_x0000_s1069" DrawAspect="Content" ObjectID="_1671867010" r:id="rId9"/>
        </w:object>
      </w:r>
    </w:p>
    <w:p w:rsidR="00B06A8C" w:rsidRDefault="00B06A8C" w:rsidP="00AE7DEF"/>
    <w:p w:rsidR="0016354F" w:rsidRDefault="00591BB3" w:rsidP="00AE7DEF">
      <w:r>
        <w:rPr>
          <w:noProof/>
        </w:rPr>
        <w:lastRenderedPageBreak/>
        <w:object w:dxaOrig="1440" w:dyaOrig="1440">
          <v:shape id="_x0000_s1063" type="#_x0000_t75" style="position:absolute;margin-left:-.3pt;margin-top:15.2pt;width:684.1pt;height:362.15pt;z-index:251670528;mso-position-horizontal-relative:text;mso-position-vertical-relative:text">
            <v:imagedata r:id="rId10" o:title=""/>
            <w10:wrap type="square" side="right"/>
          </v:shape>
          <o:OLEObject Type="Embed" ProgID="Excel.Sheet.12" ShapeID="_x0000_s1063" DrawAspect="Content" ObjectID="_1671867011" r:id="rId11"/>
        </w:object>
      </w:r>
    </w:p>
    <w:p w:rsidR="006832F7" w:rsidRDefault="006832F7" w:rsidP="00AE7DEF"/>
    <w:p w:rsidR="006832F7" w:rsidRDefault="006832F7" w:rsidP="00AE7DEF"/>
    <w:bookmarkStart w:id="0" w:name="_MON_1470806992"/>
    <w:bookmarkEnd w:id="0"/>
    <w:p w:rsidR="00372F40" w:rsidRDefault="00B33932" w:rsidP="00C33B82">
      <w:r>
        <w:object w:dxaOrig="22094" w:dyaOrig="15505">
          <v:shape id="_x0000_i1025" type="#_x0000_t75" style="width:687pt;height:444.4pt" o:ole="">
            <v:imagedata r:id="rId12" o:title=""/>
          </v:shape>
          <o:OLEObject Type="Embed" ProgID="Excel.Sheet.12" ShapeID="_x0000_i1025" DrawAspect="Content" ObjectID="_1671867005" r:id="rId13"/>
        </w:object>
      </w:r>
      <w:bookmarkStart w:id="1" w:name="_MON_1470807348"/>
      <w:bookmarkEnd w:id="1"/>
      <w:r>
        <w:object w:dxaOrig="17792" w:dyaOrig="12423">
          <v:shape id="_x0000_i1026" type="#_x0000_t75" style="width:682.5pt;height:448.5pt" o:ole="">
            <v:imagedata r:id="rId14" o:title=""/>
          </v:shape>
          <o:OLEObject Type="Embed" ProgID="Excel.Sheet.12" ShapeID="_x0000_i1026" DrawAspect="Content" ObjectID="_1671867006" r:id="rId15"/>
        </w:object>
      </w:r>
      <w:bookmarkStart w:id="2" w:name="_MON_1470809138"/>
      <w:bookmarkEnd w:id="2"/>
      <w:r>
        <w:object w:dxaOrig="17886" w:dyaOrig="12269">
          <v:shape id="_x0000_i1027" type="#_x0000_t75" style="width:694.15pt;height:436.9pt" o:ole="">
            <v:imagedata r:id="rId16" o:title=""/>
          </v:shape>
          <o:OLEObject Type="Embed" ProgID="Excel.Sheet.12" ShapeID="_x0000_i1027" DrawAspect="Content" ObjectID="_1671867007" r:id="rId17"/>
        </w:object>
      </w:r>
    </w:p>
    <w:bookmarkStart w:id="3" w:name="_MON_1470814596"/>
    <w:bookmarkEnd w:id="3"/>
    <w:p w:rsidR="00E32708" w:rsidRDefault="00E56AAC" w:rsidP="00E32708">
      <w:pPr>
        <w:tabs>
          <w:tab w:val="left" w:pos="2430"/>
        </w:tabs>
        <w:jc w:val="center"/>
      </w:pPr>
      <w:r>
        <w:object w:dxaOrig="18425" w:dyaOrig="13428">
          <v:shape id="_x0000_i1028" type="#_x0000_t75" style="width:688.15pt;height:453.75pt" o:ole="">
            <v:imagedata r:id="rId18" o:title=""/>
          </v:shape>
          <o:OLEObject Type="Embed" ProgID="Excel.Sheet.12" ShapeID="_x0000_i1028" DrawAspect="Content" ObjectID="_1671867008" r:id="rId19"/>
        </w:object>
      </w:r>
      <w:bookmarkStart w:id="4" w:name="_MON_1470810366"/>
      <w:bookmarkEnd w:id="4"/>
      <w:r w:rsidR="008A7DAF">
        <w:object w:dxaOrig="26040" w:dyaOrig="16796">
          <v:shape id="_x0000_i1029" type="#_x0000_t75" style="width:682.15pt;height:458.65pt" o:ole="">
            <v:imagedata r:id="rId20" o:title=""/>
          </v:shape>
          <o:OLEObject Type="Embed" ProgID="Excel.Sheet.12" ShapeID="_x0000_i1029" DrawAspect="Content" ObjectID="_1671867009" r:id="rId21"/>
        </w:object>
      </w:r>
      <w:bookmarkStart w:id="5" w:name="_GoBack"/>
      <w:bookmarkEnd w:id="5"/>
    </w:p>
    <w:p w:rsidR="00372F40" w:rsidRPr="004219A4" w:rsidRDefault="00372F40">
      <w:pPr>
        <w:rPr>
          <w:rFonts w:ascii="Arial" w:hAnsi="Arial" w:cs="Arial"/>
          <w:sz w:val="18"/>
          <w:szCs w:val="18"/>
        </w:rPr>
      </w:pPr>
    </w:p>
    <w:p w:rsidR="00372F40" w:rsidRPr="004219A4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4219A4">
        <w:rPr>
          <w:rFonts w:ascii="Arial" w:hAnsi="Arial" w:cs="Arial"/>
          <w:sz w:val="18"/>
          <w:szCs w:val="18"/>
        </w:rPr>
        <w:t>Informe de Pasivos Contingentes</w:t>
      </w:r>
    </w:p>
    <w:p w:rsidR="00844DD2" w:rsidRDefault="00E6584A" w:rsidP="00E6584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política y operativida</w:t>
      </w:r>
      <w:r w:rsidR="002D000E">
        <w:rPr>
          <w:rFonts w:ascii="Arial" w:hAnsi="Arial" w:cs="Arial"/>
          <w:sz w:val="18"/>
          <w:szCs w:val="18"/>
        </w:rPr>
        <w:t>d</w:t>
      </w:r>
      <w:r w:rsidR="001645F7">
        <w:rPr>
          <w:rFonts w:ascii="Arial" w:hAnsi="Arial" w:cs="Arial"/>
          <w:sz w:val="18"/>
          <w:szCs w:val="18"/>
        </w:rPr>
        <w:t xml:space="preserve"> </w:t>
      </w:r>
      <w:r w:rsidR="00073ED9">
        <w:rPr>
          <w:rFonts w:ascii="Arial" w:hAnsi="Arial" w:cs="Arial"/>
          <w:sz w:val="18"/>
          <w:szCs w:val="18"/>
        </w:rPr>
        <w:t>d</w:t>
      </w:r>
      <w:r w:rsidR="001F53DA">
        <w:rPr>
          <w:rFonts w:ascii="Arial" w:hAnsi="Arial" w:cs="Arial"/>
          <w:sz w:val="18"/>
          <w:szCs w:val="18"/>
        </w:rPr>
        <w:t>el Instituto de Catastro al 3</w:t>
      </w:r>
      <w:r w:rsidR="00A8487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</w:t>
      </w:r>
      <w:r w:rsidR="0059467F">
        <w:rPr>
          <w:rFonts w:ascii="Arial" w:hAnsi="Arial" w:cs="Arial"/>
          <w:sz w:val="18"/>
          <w:szCs w:val="18"/>
        </w:rPr>
        <w:t xml:space="preserve"> </w:t>
      </w:r>
      <w:r w:rsidR="00A84877">
        <w:rPr>
          <w:rFonts w:ascii="Arial" w:hAnsi="Arial" w:cs="Arial"/>
          <w:sz w:val="18"/>
          <w:szCs w:val="18"/>
        </w:rPr>
        <w:t>diciembre</w:t>
      </w:r>
      <w:r w:rsidR="007B6D81">
        <w:rPr>
          <w:rFonts w:ascii="Arial" w:hAnsi="Arial" w:cs="Arial"/>
          <w:sz w:val="18"/>
          <w:szCs w:val="18"/>
        </w:rPr>
        <w:t xml:space="preserve"> </w:t>
      </w:r>
      <w:r w:rsidR="00CE4A22">
        <w:rPr>
          <w:rFonts w:ascii="Arial" w:hAnsi="Arial" w:cs="Arial"/>
          <w:sz w:val="18"/>
          <w:szCs w:val="18"/>
        </w:rPr>
        <w:t>d</w:t>
      </w:r>
      <w:r w:rsidR="006419CD">
        <w:rPr>
          <w:rFonts w:ascii="Arial" w:hAnsi="Arial" w:cs="Arial"/>
          <w:sz w:val="18"/>
          <w:szCs w:val="18"/>
        </w:rPr>
        <w:t>e</w:t>
      </w:r>
      <w:r w:rsidR="007B6D81">
        <w:rPr>
          <w:rFonts w:ascii="Arial" w:hAnsi="Arial" w:cs="Arial"/>
          <w:sz w:val="18"/>
          <w:szCs w:val="18"/>
        </w:rPr>
        <w:t>l</w:t>
      </w:r>
      <w:r w:rsidR="006419CD">
        <w:rPr>
          <w:rFonts w:ascii="Arial" w:hAnsi="Arial" w:cs="Arial"/>
          <w:sz w:val="18"/>
          <w:szCs w:val="18"/>
        </w:rPr>
        <w:t xml:space="preserve"> </w:t>
      </w:r>
      <w:r w:rsidR="00170378">
        <w:rPr>
          <w:rFonts w:ascii="Arial" w:hAnsi="Arial" w:cs="Arial"/>
          <w:sz w:val="18"/>
          <w:szCs w:val="18"/>
        </w:rPr>
        <w:t>Ejercic</w:t>
      </w:r>
      <w:r w:rsidR="007272A1">
        <w:rPr>
          <w:rFonts w:ascii="Arial" w:hAnsi="Arial" w:cs="Arial"/>
          <w:sz w:val="18"/>
          <w:szCs w:val="18"/>
        </w:rPr>
        <w:t>io Fiscal 2020</w:t>
      </w:r>
      <w:r>
        <w:rPr>
          <w:rFonts w:ascii="Arial" w:hAnsi="Arial" w:cs="Arial"/>
          <w:sz w:val="18"/>
          <w:szCs w:val="18"/>
        </w:rPr>
        <w:t>, no</w:t>
      </w:r>
      <w:r w:rsidR="00A849F2">
        <w:rPr>
          <w:rFonts w:ascii="Arial" w:hAnsi="Arial" w:cs="Arial"/>
          <w:sz w:val="18"/>
          <w:szCs w:val="18"/>
        </w:rPr>
        <w:t xml:space="preserve"> cuenta con</w:t>
      </w:r>
      <w:r w:rsidR="002677CC">
        <w:rPr>
          <w:rFonts w:ascii="Arial" w:hAnsi="Arial" w:cs="Arial"/>
          <w:sz w:val="18"/>
          <w:szCs w:val="18"/>
        </w:rPr>
        <w:t xml:space="preserve"> </w:t>
      </w:r>
      <w:r w:rsidR="00A849F2">
        <w:rPr>
          <w:rFonts w:ascii="Arial" w:hAnsi="Arial" w:cs="Arial"/>
          <w:sz w:val="18"/>
          <w:szCs w:val="18"/>
        </w:rPr>
        <w:t xml:space="preserve"> saldos en Pasivos Contingentes, ya que </w:t>
      </w:r>
      <w:r>
        <w:rPr>
          <w:rFonts w:ascii="Arial" w:hAnsi="Arial" w:cs="Arial"/>
          <w:sz w:val="18"/>
          <w:szCs w:val="18"/>
        </w:rPr>
        <w:t>se trata de un ente descentralizado tal y como lo es</w:t>
      </w:r>
      <w:r w:rsidR="00A849F2">
        <w:rPr>
          <w:rFonts w:ascii="Arial" w:hAnsi="Arial" w:cs="Arial"/>
          <w:sz w:val="18"/>
          <w:szCs w:val="18"/>
        </w:rPr>
        <w:t>tablece el Decreto de Creación, sin embargo no se omite men</w:t>
      </w:r>
      <w:r w:rsidR="001645F7">
        <w:rPr>
          <w:rFonts w:ascii="Arial" w:hAnsi="Arial" w:cs="Arial"/>
          <w:sz w:val="18"/>
          <w:szCs w:val="18"/>
        </w:rPr>
        <w:t xml:space="preserve">cionar que cabe la posibilidad </w:t>
      </w:r>
      <w:r w:rsidR="00A849F2">
        <w:rPr>
          <w:rFonts w:ascii="Arial" w:hAnsi="Arial" w:cs="Arial"/>
          <w:sz w:val="18"/>
          <w:szCs w:val="18"/>
        </w:rPr>
        <w:t xml:space="preserve">que se presente alguna situación de esta naturaleza, misma que será reconocida e informada en los Estados Financieros en el momento en que nazca dicha probabilidad. </w:t>
      </w: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844DD2">
      <w:pPr>
        <w:rPr>
          <w:rFonts w:ascii="Soberana Sans Light" w:hAnsi="Soberana Sans Light"/>
        </w:rPr>
      </w:pPr>
    </w:p>
    <w:p w:rsidR="00844DD2" w:rsidRPr="0009688C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</w:t>
      </w:r>
      <w:r w:rsidRPr="0009688C">
        <w:rPr>
          <w:rFonts w:ascii="Century Schoolbook" w:hAnsi="Century Schoolbook" w:cs="Arial"/>
          <w:sz w:val="20"/>
          <w:szCs w:val="20"/>
        </w:rPr>
        <w:t>__________________</w:t>
      </w:r>
      <w:r>
        <w:rPr>
          <w:rFonts w:ascii="Century Schoolbook" w:hAnsi="Century Schoolbook" w:cs="Arial"/>
          <w:sz w:val="20"/>
          <w:szCs w:val="20"/>
        </w:rPr>
        <w:t>______________                                                                                                 _____________________________</w:t>
      </w:r>
    </w:p>
    <w:p w:rsidR="00844DD2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        </w:t>
      </w:r>
      <w:r w:rsidRPr="0009688C">
        <w:rPr>
          <w:rFonts w:ascii="Century Schoolbook" w:hAnsi="Century Schoolbook" w:cs="Arial"/>
          <w:sz w:val="20"/>
          <w:szCs w:val="20"/>
        </w:rPr>
        <w:t>Ing.</w:t>
      </w:r>
      <w:r>
        <w:rPr>
          <w:rFonts w:ascii="Century Schoolbook" w:hAnsi="Century Schoolbook" w:cs="Arial"/>
          <w:sz w:val="20"/>
          <w:szCs w:val="20"/>
        </w:rPr>
        <w:t xml:space="preserve"> Emilio Minor M</w:t>
      </w:r>
      <w:r w:rsidRPr="0009688C">
        <w:rPr>
          <w:rFonts w:ascii="Century Schoolbook" w:hAnsi="Century Schoolbook" w:cs="Arial"/>
          <w:sz w:val="20"/>
          <w:szCs w:val="20"/>
        </w:rPr>
        <w:t>olina</w:t>
      </w:r>
      <w:r>
        <w:rPr>
          <w:rFonts w:ascii="Century Schoolbook" w:hAnsi="Century Schoolbook" w:cs="Arial"/>
          <w:sz w:val="20"/>
          <w:szCs w:val="20"/>
        </w:rPr>
        <w:t xml:space="preserve"> </w:t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</w:t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 w:rsidR="00320467">
        <w:rPr>
          <w:rFonts w:ascii="Century Schoolbook" w:hAnsi="Century Schoolbook" w:cs="Arial"/>
          <w:sz w:val="20"/>
          <w:szCs w:val="20"/>
        </w:rPr>
        <w:t>MAGIE</w:t>
      </w:r>
      <w:r>
        <w:rPr>
          <w:rFonts w:ascii="Century Schoolbook" w:hAnsi="Century Schoolbook" w:cs="Arial"/>
          <w:sz w:val="20"/>
          <w:szCs w:val="20"/>
        </w:rPr>
        <w:t>. Joseline Corona Jaramillo</w:t>
      </w:r>
    </w:p>
    <w:p w:rsidR="00844DD2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       Director G</w:t>
      </w:r>
      <w:r w:rsidRPr="0009688C">
        <w:rPr>
          <w:rFonts w:ascii="Century Schoolbook" w:hAnsi="Century Schoolbook" w:cs="Arial"/>
          <w:sz w:val="20"/>
          <w:szCs w:val="20"/>
        </w:rPr>
        <w:t xml:space="preserve">eneral del </w:t>
      </w:r>
      <w:r w:rsidRPr="0009688C">
        <w:rPr>
          <w:rFonts w:ascii="Century Schoolbook" w:hAnsi="Century Schoolbook" w:cs="Arial"/>
          <w:sz w:val="18"/>
          <w:szCs w:val="20"/>
        </w:rPr>
        <w:t>I.D.C.</w:t>
      </w:r>
      <w:r w:rsidRPr="0009688C">
        <w:rPr>
          <w:rFonts w:ascii="Century Schoolbook" w:hAnsi="Century Schoolbook" w:cs="Arial"/>
          <w:sz w:val="18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     </w:t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</w:t>
      </w:r>
      <w:r>
        <w:rPr>
          <w:rFonts w:ascii="Century Schoolbook" w:hAnsi="Century Schoolbook" w:cs="Arial"/>
          <w:sz w:val="20"/>
          <w:szCs w:val="20"/>
        </w:rPr>
        <w:tab/>
        <w:t xml:space="preserve">         Jefe de Departamento Administrativo del I.D.C.   </w:t>
      </w:r>
    </w:p>
    <w:p w:rsidR="00844DD2" w:rsidRPr="0009688C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                    A</w:t>
      </w:r>
      <w:r w:rsidRPr="0009688C">
        <w:rPr>
          <w:rFonts w:ascii="Century Schoolbook" w:hAnsi="Century Schoolbook" w:cs="Arial"/>
          <w:sz w:val="20"/>
          <w:szCs w:val="20"/>
        </w:rPr>
        <w:t>utorizó</w:t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          Elaboró</w:t>
      </w:r>
    </w:p>
    <w:p w:rsidR="00844DD2" w:rsidRDefault="00844DD2" w:rsidP="00844DD2">
      <w:pPr>
        <w:jc w:val="center"/>
        <w:rPr>
          <w:rFonts w:ascii="Soberana Sans Light" w:hAnsi="Soberana Sans Light"/>
        </w:rPr>
      </w:pPr>
    </w:p>
    <w:p w:rsidR="00540418" w:rsidRPr="003B2773" w:rsidRDefault="00540418" w:rsidP="003B27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r>
        <w:rPr>
          <w:rFonts w:ascii="Soberana Sans Light" w:hAnsi="Soberana Sans Light"/>
          <w:b/>
        </w:rPr>
        <w:lastRenderedPageBreak/>
        <w:t>NOTAS A LOS ESTADOS FINANCIEROS</w:t>
      </w:r>
    </w:p>
    <w:p w:rsidR="00147276" w:rsidRPr="000F6B3C" w:rsidRDefault="00147276" w:rsidP="00147276">
      <w:pPr>
        <w:pStyle w:val="Texto"/>
        <w:spacing w:after="0" w:line="240" w:lineRule="exact"/>
        <w:jc w:val="center"/>
        <w:rPr>
          <w:szCs w:val="18"/>
        </w:rPr>
      </w:pPr>
      <w:r w:rsidRPr="000F6B3C">
        <w:rPr>
          <w:b/>
          <w:szCs w:val="18"/>
        </w:rPr>
        <w:t>a) NOTAS DE DESGLOSE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INCISO"/>
        <w:spacing w:after="0" w:line="240" w:lineRule="exact"/>
        <w:ind w:left="648"/>
        <w:rPr>
          <w:b/>
          <w:smallCaps/>
        </w:rPr>
      </w:pPr>
      <w:r w:rsidRPr="000F6B3C">
        <w:rPr>
          <w:b/>
          <w:smallCaps/>
        </w:rPr>
        <w:t>I)</w:t>
      </w:r>
      <w:r w:rsidRPr="000F6B3C">
        <w:rPr>
          <w:b/>
          <w:smallCaps/>
        </w:rPr>
        <w:tab/>
        <w:t>Notas al Estado de Situación Financiera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Activo</w:t>
      </w:r>
    </w:p>
    <w:p w:rsidR="00147276" w:rsidRPr="000F6B3C" w:rsidRDefault="00147276" w:rsidP="00147276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Efectivo y Equivalentes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1.</w:t>
      </w:r>
      <w:r w:rsidRPr="000F6B3C">
        <w:rPr>
          <w:lang w:val="es-MX"/>
        </w:rPr>
        <w:tab/>
        <w:t xml:space="preserve">El </w:t>
      </w:r>
      <w:r w:rsidRPr="00F7452E">
        <w:rPr>
          <w:lang w:val="es-MX"/>
        </w:rPr>
        <w:t xml:space="preserve">saldo </w:t>
      </w:r>
      <w:r w:rsidRPr="00E3285D">
        <w:rPr>
          <w:lang w:val="es-MX"/>
        </w:rPr>
        <w:t>por $</w:t>
      </w:r>
      <w:r w:rsidR="00A84877">
        <w:rPr>
          <w:lang w:val="es-MX"/>
        </w:rPr>
        <w:t>663,214.00</w:t>
      </w:r>
      <w:r w:rsidR="000A26F3" w:rsidRPr="00E3285D">
        <w:rPr>
          <w:lang w:val="es-MX"/>
        </w:rPr>
        <w:t xml:space="preserve"> </w:t>
      </w:r>
      <w:r w:rsidRPr="000F6B3C">
        <w:rPr>
          <w:lang w:val="es-MX"/>
        </w:rPr>
        <w:t>correspo</w:t>
      </w:r>
      <w:r w:rsidR="00855D0C">
        <w:rPr>
          <w:lang w:val="es-MX"/>
        </w:rPr>
        <w:t xml:space="preserve">nde a </w:t>
      </w:r>
      <w:r w:rsidR="00F3780C">
        <w:rPr>
          <w:lang w:val="es-MX"/>
        </w:rPr>
        <w:t>transferencias</w:t>
      </w:r>
      <w:r w:rsidR="00855D0C">
        <w:rPr>
          <w:lang w:val="es-MX"/>
        </w:rPr>
        <w:t xml:space="preserve"> recibidas</w:t>
      </w:r>
      <w:r w:rsidR="00B10F55">
        <w:rPr>
          <w:lang w:val="es-MX"/>
        </w:rPr>
        <w:t xml:space="preserve"> </w:t>
      </w:r>
      <w:r w:rsidR="00F3780C">
        <w:rPr>
          <w:lang w:val="es-MX"/>
        </w:rPr>
        <w:t xml:space="preserve">por ministración de recursos </w:t>
      </w:r>
      <w:r w:rsidR="00B10F55">
        <w:rPr>
          <w:lang w:val="es-MX"/>
        </w:rPr>
        <w:t>y productos financieros</w:t>
      </w:r>
      <w:r w:rsidR="00763057">
        <w:rPr>
          <w:lang w:val="es-MX"/>
        </w:rPr>
        <w:t>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Derechos a recibir Efectivo y Equivalentes y Bienes o Servicios a Recibir</w:t>
      </w:r>
    </w:p>
    <w:p w:rsidR="00170378" w:rsidRPr="000F6B3C" w:rsidRDefault="00147276" w:rsidP="00170378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</w:t>
      </w:r>
      <w:r w:rsidRPr="000F6B3C">
        <w:rPr>
          <w:lang w:val="es-MX"/>
        </w:rPr>
        <w:tab/>
      </w:r>
      <w:r w:rsidRPr="00AF12C1">
        <w:rPr>
          <w:lang w:val="es-MX"/>
        </w:rPr>
        <w:t xml:space="preserve">Se informa que el IDC </w:t>
      </w:r>
      <w:r w:rsidR="0059467F">
        <w:rPr>
          <w:lang w:val="es-MX"/>
        </w:rPr>
        <w:t>al 3</w:t>
      </w:r>
      <w:r w:rsidR="00A84877">
        <w:rPr>
          <w:lang w:val="es-MX"/>
        </w:rPr>
        <w:t>1</w:t>
      </w:r>
      <w:r w:rsidR="00073ED9">
        <w:rPr>
          <w:lang w:val="es-MX"/>
        </w:rPr>
        <w:t xml:space="preserve"> de</w:t>
      </w:r>
      <w:r w:rsidR="004D61D0">
        <w:rPr>
          <w:lang w:val="es-MX"/>
        </w:rPr>
        <w:t xml:space="preserve"> </w:t>
      </w:r>
      <w:r w:rsidR="00A84877">
        <w:rPr>
          <w:lang w:val="es-MX"/>
        </w:rPr>
        <w:t xml:space="preserve">diciembre </w:t>
      </w:r>
      <w:r w:rsidR="00073ED9">
        <w:rPr>
          <w:lang w:val="es-MX"/>
        </w:rPr>
        <w:t>no cuenta con Derechos a recibir efectivo y Equivalentes y Bienes y Servicios a Recibir</w:t>
      </w:r>
      <w:r w:rsidR="002D000E">
        <w:rPr>
          <w:lang w:val="es-MX"/>
        </w:rPr>
        <w:t>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Bienes Disponibles para su Transformación o Consumo (inventarios)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4.</w:t>
      </w:r>
      <w:r w:rsidRPr="000F6B3C">
        <w:rPr>
          <w:lang w:val="es-MX"/>
        </w:rPr>
        <w:tab/>
        <w:t>No existen bienes disponibles para su transformación, por lo que no aplica revelar información alguna.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5.</w:t>
      </w:r>
      <w:r w:rsidRPr="000F6B3C">
        <w:rPr>
          <w:lang w:val="es-MX"/>
        </w:rPr>
        <w:tab/>
        <w:t>No se tiene la cuenta de Almacén.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Inversiones Financieras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6.</w:t>
      </w:r>
      <w:r w:rsidRPr="000F6B3C">
        <w:rPr>
          <w:lang w:val="es-MX"/>
        </w:rPr>
        <w:tab/>
        <w:t>No se cuenta con Inversiones financieras, por lo que no aplica.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7.</w:t>
      </w:r>
      <w:r w:rsidRPr="000F6B3C">
        <w:rPr>
          <w:lang w:val="es-MX"/>
        </w:rPr>
        <w:tab/>
        <w:t>No aplica presentar información de las inversiones financieras, ni saldos de las participaciones y aportaciones de capital.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Bienes Muebles, Inmuebles e Intangibles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8.</w:t>
      </w:r>
      <w:r w:rsidRPr="000F6B3C">
        <w:rPr>
          <w:lang w:val="es-MX"/>
        </w:rPr>
        <w:tab/>
        <w:t>El rubro de Bienes Muebles se integra de la siguiente manera:</w:t>
      </w:r>
    </w:p>
    <w:p w:rsidR="00DF3429" w:rsidRPr="000F6B3C" w:rsidRDefault="00DF3429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Equipo de transporte</w:t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  <w:t xml:space="preserve">  </w:t>
      </w:r>
      <w:r w:rsidR="00640C94">
        <w:rPr>
          <w:lang w:val="es-MX"/>
        </w:rPr>
        <w:t xml:space="preserve">  </w:t>
      </w:r>
      <w:r w:rsidR="00CC4330">
        <w:rPr>
          <w:lang w:val="es-MX"/>
        </w:rPr>
        <w:t xml:space="preserve"> </w:t>
      </w:r>
      <w:r w:rsidR="00617DAA">
        <w:rPr>
          <w:lang w:val="es-MX"/>
        </w:rPr>
        <w:t xml:space="preserve"> </w:t>
      </w:r>
      <w:r w:rsidR="00640C94">
        <w:rPr>
          <w:lang w:val="es-MX"/>
        </w:rPr>
        <w:t xml:space="preserve"> </w:t>
      </w:r>
      <w:r w:rsidR="000C332A">
        <w:rPr>
          <w:lang w:val="es-MX"/>
        </w:rPr>
        <w:t>474,200.00</w:t>
      </w: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Equipo de cómputo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0C332A">
        <w:rPr>
          <w:lang w:val="es-MX"/>
        </w:rPr>
        <w:t xml:space="preserve">    </w:t>
      </w:r>
      <w:r w:rsidR="00323FE9">
        <w:rPr>
          <w:lang w:val="es-MX"/>
        </w:rPr>
        <w:t>7,983,</w:t>
      </w:r>
      <w:r w:rsidR="000C332A">
        <w:rPr>
          <w:lang w:val="es-MX"/>
        </w:rPr>
        <w:t>947.00</w:t>
      </w:r>
    </w:p>
    <w:p w:rsidR="00E3285D" w:rsidRPr="000F6B3C" w:rsidRDefault="00E3285D" w:rsidP="00DF342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Otros mobiliarios y equipos de adm</w:t>
      </w:r>
      <w:r w:rsidR="0068210F">
        <w:rPr>
          <w:lang w:val="es-MX"/>
        </w:rPr>
        <w:t>ó</w:t>
      </w:r>
      <w:r>
        <w:rPr>
          <w:lang w:val="es-MX"/>
        </w:rPr>
        <w:t>n.</w:t>
      </w:r>
      <w:r>
        <w:rPr>
          <w:lang w:val="es-MX"/>
        </w:rPr>
        <w:tab/>
        <w:t xml:space="preserve">       </w:t>
      </w:r>
      <w:r w:rsidR="000C332A">
        <w:rPr>
          <w:lang w:val="es-MX"/>
        </w:rPr>
        <w:t>464,979.00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</w:r>
      <w:r>
        <w:rPr>
          <w:lang w:val="es-MX"/>
        </w:rPr>
        <w:t>M</w:t>
      </w:r>
      <w:r w:rsidRPr="000F6B3C">
        <w:rPr>
          <w:lang w:val="es-MX"/>
        </w:rPr>
        <w:t>uebles de oficina y estantería</w:t>
      </w:r>
      <w:r w:rsidRPr="000F6B3C">
        <w:rPr>
          <w:lang w:val="es-MX"/>
        </w:rPr>
        <w:tab/>
      </w:r>
      <w:r w:rsidRPr="000F6B3C">
        <w:rPr>
          <w:lang w:val="es-MX"/>
        </w:rPr>
        <w:tab/>
        <w:t xml:space="preserve">     </w:t>
      </w:r>
      <w:r w:rsidR="00E3285D">
        <w:rPr>
          <w:lang w:val="es-MX"/>
        </w:rPr>
        <w:t xml:space="preserve"> </w:t>
      </w:r>
      <w:r w:rsidRPr="000F6B3C">
        <w:rPr>
          <w:lang w:val="es-MX"/>
        </w:rPr>
        <w:t xml:space="preserve"> </w:t>
      </w:r>
      <w:r w:rsidR="00907AB2">
        <w:rPr>
          <w:lang w:val="es-MX"/>
        </w:rPr>
        <w:t>2</w:t>
      </w:r>
      <w:r w:rsidR="00F03E9E">
        <w:rPr>
          <w:lang w:val="es-MX"/>
        </w:rPr>
        <w:t>44</w:t>
      </w:r>
      <w:r w:rsidR="00907AB2">
        <w:rPr>
          <w:lang w:val="es-MX"/>
        </w:rPr>
        <w:t>,</w:t>
      </w:r>
      <w:r w:rsidR="00F03E9E">
        <w:rPr>
          <w:lang w:val="es-MX"/>
        </w:rPr>
        <w:t>61</w:t>
      </w:r>
      <w:r w:rsidR="00907AB2">
        <w:rPr>
          <w:lang w:val="es-MX"/>
        </w:rPr>
        <w:t>2.00</w:t>
      </w: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Equip</w:t>
      </w:r>
      <w:r>
        <w:rPr>
          <w:lang w:val="es-MX"/>
        </w:rPr>
        <w:t>os de generación eléctrica</w:t>
      </w:r>
      <w:r>
        <w:rPr>
          <w:lang w:val="es-MX"/>
        </w:rPr>
        <w:tab/>
      </w:r>
      <w:r>
        <w:rPr>
          <w:lang w:val="es-MX"/>
        </w:rPr>
        <w:tab/>
        <w:t xml:space="preserve">   </w:t>
      </w:r>
      <w:r w:rsidRPr="00640C94">
        <w:rPr>
          <w:lang w:val="es-MX"/>
        </w:rPr>
        <w:t xml:space="preserve"> </w:t>
      </w:r>
      <w:r w:rsidR="00E3285D">
        <w:rPr>
          <w:lang w:val="es-MX"/>
        </w:rPr>
        <w:t xml:space="preserve"> </w:t>
      </w:r>
      <w:r w:rsidRPr="00640C94">
        <w:rPr>
          <w:lang w:val="es-MX"/>
        </w:rPr>
        <w:t xml:space="preserve">  </w:t>
      </w:r>
      <w:r w:rsidR="00C261C8">
        <w:rPr>
          <w:lang w:val="es-MX"/>
        </w:rPr>
        <w:t>334,43</w:t>
      </w:r>
      <w:r w:rsidR="00F03E9E">
        <w:rPr>
          <w:lang w:val="es-MX"/>
        </w:rPr>
        <w:t>0</w:t>
      </w:r>
      <w:r w:rsidR="00A011C4">
        <w:rPr>
          <w:lang w:val="es-MX"/>
        </w:rPr>
        <w:t>.00</w:t>
      </w:r>
    </w:p>
    <w:p w:rsidR="00640C94" w:rsidRDefault="00640C94" w:rsidP="00640C94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 w:rsidRPr="000F6B3C">
        <w:rPr>
          <w:lang w:val="es-MX"/>
        </w:rPr>
        <w:t>Equip</w:t>
      </w:r>
      <w:r>
        <w:rPr>
          <w:lang w:val="es-MX"/>
        </w:rPr>
        <w:t xml:space="preserve">os de comunicación   </w:t>
      </w:r>
      <w:r>
        <w:rPr>
          <w:lang w:val="es-MX"/>
        </w:rPr>
        <w:tab/>
      </w:r>
      <w:r>
        <w:rPr>
          <w:lang w:val="es-MX"/>
        </w:rPr>
        <w:tab/>
        <w:t xml:space="preserve">   </w:t>
      </w:r>
      <w:r w:rsidRPr="00640C94">
        <w:rPr>
          <w:lang w:val="es-MX"/>
        </w:rPr>
        <w:t xml:space="preserve"> </w:t>
      </w:r>
      <w:r w:rsidR="00E3285D">
        <w:rPr>
          <w:lang w:val="es-MX"/>
        </w:rPr>
        <w:t xml:space="preserve"> </w:t>
      </w:r>
      <w:r w:rsidRPr="00640C94">
        <w:rPr>
          <w:lang w:val="es-MX"/>
        </w:rPr>
        <w:t xml:space="preserve">  </w:t>
      </w:r>
      <w:r w:rsidR="00A011C4">
        <w:rPr>
          <w:lang w:val="es-MX"/>
        </w:rPr>
        <w:t>879,744.00</w:t>
      </w:r>
    </w:p>
    <w:p w:rsidR="00A011C4" w:rsidRPr="0068210F" w:rsidRDefault="00A011C4" w:rsidP="00640C94">
      <w:pPr>
        <w:pStyle w:val="ROMANOS"/>
        <w:spacing w:after="0" w:line="240" w:lineRule="exact"/>
        <w:rPr>
          <w:u w:val="single"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Otros equipos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68210F">
        <w:rPr>
          <w:u w:val="single"/>
          <w:lang w:val="es-MX"/>
        </w:rPr>
        <w:t xml:space="preserve">     </w:t>
      </w:r>
      <w:r w:rsidR="00E3285D" w:rsidRPr="0068210F">
        <w:rPr>
          <w:u w:val="single"/>
          <w:lang w:val="es-MX"/>
        </w:rPr>
        <w:t xml:space="preserve"> </w:t>
      </w:r>
      <w:r w:rsidRPr="0068210F">
        <w:rPr>
          <w:u w:val="single"/>
          <w:lang w:val="es-MX"/>
        </w:rPr>
        <w:t xml:space="preserve">    8,294.00</w:t>
      </w:r>
    </w:p>
    <w:p w:rsidR="000A26F3" w:rsidRDefault="00640C94" w:rsidP="00DF3429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 w:rsidR="00DF3429" w:rsidRPr="000F6B3C">
        <w:rPr>
          <w:lang w:val="es-MX"/>
        </w:rPr>
        <w:t>Total</w:t>
      </w:r>
      <w:r w:rsidR="00DF3429" w:rsidRPr="000F6B3C">
        <w:rPr>
          <w:lang w:val="es-MX"/>
        </w:rPr>
        <w:tab/>
      </w:r>
      <w:r w:rsidR="00DF3429" w:rsidRPr="000F6B3C">
        <w:rPr>
          <w:lang w:val="es-MX"/>
        </w:rPr>
        <w:tab/>
      </w:r>
      <w:r w:rsidR="00DF3429" w:rsidRPr="000F6B3C">
        <w:rPr>
          <w:lang w:val="es-MX"/>
        </w:rPr>
        <w:tab/>
      </w:r>
      <w:r w:rsidR="00DF3429" w:rsidRPr="000F6B3C">
        <w:rPr>
          <w:lang w:val="es-MX"/>
        </w:rPr>
        <w:tab/>
      </w:r>
      <w:r w:rsidR="00DF3429" w:rsidRPr="000F6B3C">
        <w:rPr>
          <w:lang w:val="es-MX"/>
        </w:rPr>
        <w:tab/>
      </w:r>
      <w:r w:rsidR="00DF3429" w:rsidRPr="008A4EE3">
        <w:rPr>
          <w:b/>
          <w:lang w:val="es-MX"/>
        </w:rPr>
        <w:t>$</w:t>
      </w:r>
      <w:r w:rsidR="000C332A">
        <w:rPr>
          <w:b/>
          <w:lang w:val="es-MX"/>
        </w:rPr>
        <w:t>10,390,206.00</w:t>
      </w:r>
    </w:p>
    <w:p w:rsidR="004D61D0" w:rsidRDefault="004D61D0" w:rsidP="00DF3429">
      <w:pPr>
        <w:pStyle w:val="ROMANOS"/>
        <w:spacing w:after="0" w:line="240" w:lineRule="exact"/>
        <w:rPr>
          <w:lang w:val="es-MX"/>
        </w:rPr>
      </w:pPr>
    </w:p>
    <w:p w:rsidR="000C332A" w:rsidRDefault="00981BF2" w:rsidP="00E4745C">
      <w:pPr>
        <w:pStyle w:val="ROMANOS"/>
        <w:tabs>
          <w:tab w:val="clear" w:pos="720"/>
        </w:tabs>
        <w:spacing w:after="0" w:line="240" w:lineRule="exact"/>
        <w:ind w:left="284" w:hanging="142"/>
        <w:rPr>
          <w:lang w:val="es-MX"/>
        </w:rPr>
      </w:pPr>
      <w:r>
        <w:rPr>
          <w:lang w:val="es-MX"/>
        </w:rPr>
        <w:t xml:space="preserve"> </w:t>
      </w:r>
      <w:r w:rsidR="00E4745C">
        <w:rPr>
          <w:lang w:val="es-MX"/>
        </w:rPr>
        <w:t xml:space="preserve">  </w:t>
      </w:r>
      <w:r>
        <w:rPr>
          <w:lang w:val="es-MX"/>
        </w:rPr>
        <w:t>La cuenta de activo fijo del Instituto de Catastro</w:t>
      </w:r>
      <w:r w:rsidR="007272A1">
        <w:rPr>
          <w:lang w:val="es-MX"/>
        </w:rPr>
        <w:t xml:space="preserve"> a</w:t>
      </w:r>
      <w:r w:rsidR="000C332A">
        <w:rPr>
          <w:lang w:val="es-MX"/>
        </w:rPr>
        <w:t>l 31</w:t>
      </w:r>
      <w:r w:rsidR="007272A1">
        <w:rPr>
          <w:lang w:val="es-MX"/>
        </w:rPr>
        <w:t xml:space="preserve"> de </w:t>
      </w:r>
      <w:r w:rsidR="000C332A">
        <w:rPr>
          <w:lang w:val="es-MX"/>
        </w:rPr>
        <w:t xml:space="preserve">diciembre </w:t>
      </w:r>
      <w:r w:rsidR="007272A1">
        <w:rPr>
          <w:lang w:val="es-MX"/>
        </w:rPr>
        <w:t xml:space="preserve">de 2020 </w:t>
      </w:r>
      <w:r w:rsidR="000038E6">
        <w:rPr>
          <w:lang w:val="es-MX"/>
        </w:rPr>
        <w:t>fue modificada debido</w:t>
      </w:r>
      <w:r w:rsidR="000C332A">
        <w:rPr>
          <w:lang w:val="es-MX"/>
        </w:rPr>
        <w:t xml:space="preserve"> a las siguientes situaciones:</w:t>
      </w:r>
    </w:p>
    <w:p w:rsidR="00E4745C" w:rsidRDefault="000C332A" w:rsidP="000C332A">
      <w:pPr>
        <w:pStyle w:val="ROMANOS"/>
        <w:numPr>
          <w:ilvl w:val="3"/>
          <w:numId w:val="14"/>
        </w:numPr>
        <w:tabs>
          <w:tab w:val="clear" w:pos="720"/>
        </w:tabs>
        <w:spacing w:after="0" w:line="240" w:lineRule="exact"/>
        <w:ind w:left="993" w:hanging="284"/>
        <w:rPr>
          <w:lang w:val="es-MX"/>
        </w:rPr>
      </w:pPr>
      <w:r>
        <w:rPr>
          <w:lang w:val="es-MX"/>
        </w:rPr>
        <w:t>B</w:t>
      </w:r>
      <w:r w:rsidR="000038E6">
        <w:rPr>
          <w:lang w:val="es-MX"/>
        </w:rPr>
        <w:t xml:space="preserve">aja de bienes ante </w:t>
      </w:r>
      <w:r w:rsidR="007B6D81">
        <w:rPr>
          <w:lang w:val="es-MX"/>
        </w:rPr>
        <w:t>la Dirección de Recursos Mater</w:t>
      </w:r>
      <w:r w:rsidR="000038E6">
        <w:rPr>
          <w:lang w:val="es-MX"/>
        </w:rPr>
        <w:t xml:space="preserve">iales Servicios y Adquisiciones, </w:t>
      </w:r>
      <w:r>
        <w:rPr>
          <w:lang w:val="es-MX"/>
        </w:rPr>
        <w:t>por el importe de $462,574.00</w:t>
      </w:r>
    </w:p>
    <w:p w:rsidR="000C332A" w:rsidRDefault="000C332A" w:rsidP="000C332A">
      <w:pPr>
        <w:pStyle w:val="ROMANOS"/>
        <w:numPr>
          <w:ilvl w:val="0"/>
          <w:numId w:val="14"/>
        </w:numPr>
        <w:tabs>
          <w:tab w:val="clear" w:pos="720"/>
        </w:tabs>
        <w:spacing w:after="0" w:line="240" w:lineRule="exact"/>
        <w:ind w:hanging="291"/>
        <w:rPr>
          <w:lang w:val="es-MX"/>
        </w:rPr>
      </w:pPr>
      <w:r>
        <w:rPr>
          <w:lang w:val="es-MX"/>
        </w:rPr>
        <w:t>Alta de bienes (adquisición de un vehículo, multifuncionales y dispensadores de agua) por la cantidad de : $285,900.01</w:t>
      </w:r>
    </w:p>
    <w:p w:rsidR="000C332A" w:rsidRDefault="000C332A" w:rsidP="000C332A">
      <w:pPr>
        <w:pStyle w:val="ROMANOS"/>
        <w:tabs>
          <w:tab w:val="clear" w:pos="720"/>
        </w:tabs>
        <w:spacing w:after="0" w:line="240" w:lineRule="exact"/>
        <w:rPr>
          <w:lang w:val="es-MX"/>
        </w:rPr>
      </w:pPr>
    </w:p>
    <w:p w:rsidR="000C332A" w:rsidRDefault="000C332A" w:rsidP="000C332A">
      <w:pPr>
        <w:pStyle w:val="ROMANOS"/>
        <w:tabs>
          <w:tab w:val="clear" w:pos="720"/>
        </w:tabs>
        <w:spacing w:after="0" w:line="240" w:lineRule="exact"/>
        <w:rPr>
          <w:lang w:val="es-MX"/>
        </w:rPr>
      </w:pPr>
      <w:r>
        <w:rPr>
          <w:lang w:val="es-MX"/>
        </w:rPr>
        <w:t>Dando así un total de activo circulante por la cantidad de $10,390,206.00</w:t>
      </w:r>
    </w:p>
    <w:p w:rsidR="006E4018" w:rsidRDefault="006E4018" w:rsidP="009D455B">
      <w:pPr>
        <w:pStyle w:val="ROMANOS"/>
        <w:spacing w:after="0" w:line="240" w:lineRule="exact"/>
        <w:ind w:left="648" w:firstLine="0"/>
        <w:rPr>
          <w:lang w:val="es-MX"/>
        </w:rPr>
      </w:pP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A la fecha de los estados financieros, no se ha calculado</w:t>
      </w:r>
      <w:r w:rsidR="00A15EA9">
        <w:rPr>
          <w:lang w:val="es-MX"/>
        </w:rPr>
        <w:t xml:space="preserve"> depreciación de bienes muebles, toda vez que se está llevando a cabo la implementación del Módulo de bienes patrimoniales de acuerdo a las indicaciones establecidas por la Dirección de Contabilidad Gubernamental, se estima llevar a cabo este proceso a partir del 01 de enero de 2021.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lastRenderedPageBreak/>
        <w:t>De manera general, los bienes muebles se encuentran en buen y regular estado.</w:t>
      </w:r>
    </w:p>
    <w:p w:rsidR="00E4745C" w:rsidRPr="000F6B3C" w:rsidRDefault="00E4745C" w:rsidP="00DF3429">
      <w:pPr>
        <w:pStyle w:val="ROMANOS"/>
        <w:spacing w:after="0" w:line="240" w:lineRule="exact"/>
        <w:rPr>
          <w:lang w:val="es-MX"/>
        </w:rPr>
      </w:pP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No se cuenta con bienes inmuebles.</w:t>
      </w:r>
    </w:p>
    <w:p w:rsidR="00DD3179" w:rsidRPr="000F6B3C" w:rsidRDefault="00DD3179" w:rsidP="00DF3429">
      <w:pPr>
        <w:pStyle w:val="ROMANOS"/>
        <w:spacing w:after="0" w:line="240" w:lineRule="exact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Estimaciones y Deterioros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10.</w:t>
      </w:r>
      <w:r w:rsidRPr="000F6B3C">
        <w:rPr>
          <w:lang w:val="es-MX"/>
        </w:rPr>
        <w:tab/>
        <w:t>No se han elaborado estimaciones ni deterioros.</w:t>
      </w: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Otros Activos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11.</w:t>
      </w:r>
      <w:r w:rsidRPr="000F6B3C">
        <w:rPr>
          <w:lang w:val="es-MX"/>
        </w:rPr>
        <w:tab/>
        <w:t>No se tienen cuentas de Otros activos.</w:t>
      </w:r>
    </w:p>
    <w:p w:rsidR="00DF3429" w:rsidRPr="000F6B3C" w:rsidRDefault="00DF3429" w:rsidP="00DF3429">
      <w:pPr>
        <w:pStyle w:val="ROMANOS"/>
        <w:spacing w:after="0" w:line="240" w:lineRule="exact"/>
        <w:ind w:left="432"/>
        <w:rPr>
          <w:b/>
          <w:lang w:val="es-MX"/>
        </w:rPr>
      </w:pPr>
      <w:r w:rsidRPr="000F6B3C">
        <w:rPr>
          <w:b/>
          <w:lang w:val="es-MX"/>
        </w:rPr>
        <w:t>Pasivo</w:t>
      </w:r>
    </w:p>
    <w:p w:rsidR="002A4338" w:rsidRDefault="002A627D" w:rsidP="002A627D">
      <w:pPr>
        <w:pStyle w:val="ROMANOS"/>
        <w:numPr>
          <w:ilvl w:val="0"/>
          <w:numId w:val="6"/>
        </w:numPr>
        <w:tabs>
          <w:tab w:val="clear" w:pos="720"/>
          <w:tab w:val="left" w:pos="723"/>
        </w:tabs>
        <w:spacing w:after="0" w:line="240" w:lineRule="exact"/>
        <w:ind w:hanging="297"/>
        <w:rPr>
          <w:lang w:val="es-MX"/>
        </w:rPr>
      </w:pPr>
      <w:r>
        <w:rPr>
          <w:lang w:val="es-MX"/>
        </w:rPr>
        <w:t>No se tienen registrados pasivos al 3</w:t>
      </w:r>
      <w:r w:rsidR="000C332A">
        <w:rPr>
          <w:lang w:val="es-MX"/>
        </w:rPr>
        <w:t>1</w:t>
      </w:r>
      <w:r w:rsidR="008158F5">
        <w:rPr>
          <w:lang w:val="es-MX"/>
        </w:rPr>
        <w:t xml:space="preserve"> de </w:t>
      </w:r>
      <w:r w:rsidR="000C332A">
        <w:rPr>
          <w:lang w:val="es-MX"/>
        </w:rPr>
        <w:t xml:space="preserve">diciembre </w:t>
      </w:r>
      <w:r w:rsidR="007272A1">
        <w:rPr>
          <w:lang w:val="es-MX"/>
        </w:rPr>
        <w:t>de 2020</w:t>
      </w:r>
      <w:r>
        <w:rPr>
          <w:lang w:val="es-MX"/>
        </w:rPr>
        <w:t>.</w:t>
      </w:r>
    </w:p>
    <w:p w:rsidR="009B150C" w:rsidRPr="009B150C" w:rsidRDefault="009B150C" w:rsidP="009B150C">
      <w:pPr>
        <w:pStyle w:val="ROMANOS"/>
        <w:spacing w:after="0" w:line="240" w:lineRule="exact"/>
        <w:ind w:left="723" w:firstLine="0"/>
        <w:rPr>
          <w:lang w:val="es-MX"/>
        </w:rPr>
      </w:pP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II)</w:t>
      </w:r>
      <w:r w:rsidRPr="000F6B3C">
        <w:rPr>
          <w:b/>
          <w:smallCaps/>
        </w:rPr>
        <w:tab/>
        <w:t>Notas al Estado de Actividades</w:t>
      </w: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</w:p>
    <w:p w:rsidR="00DF3429" w:rsidRPr="00AF12C1" w:rsidRDefault="00DF3429" w:rsidP="00B76009">
      <w:pPr>
        <w:pStyle w:val="ROMANOS"/>
        <w:numPr>
          <w:ilvl w:val="0"/>
          <w:numId w:val="10"/>
        </w:numPr>
        <w:spacing w:after="0" w:line="240" w:lineRule="exact"/>
        <w:rPr>
          <w:color w:val="000000" w:themeColor="text1"/>
          <w:lang w:val="es-MX"/>
        </w:rPr>
      </w:pPr>
      <w:r w:rsidRPr="000F6B3C">
        <w:rPr>
          <w:b/>
          <w:lang w:val="es-MX"/>
        </w:rPr>
        <w:t>Ingresos de Gestión</w:t>
      </w:r>
    </w:p>
    <w:p w:rsidR="007272A1" w:rsidRDefault="00DF3429" w:rsidP="006571BB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6571BB">
        <w:rPr>
          <w:rFonts w:ascii="Arial" w:eastAsia="Times New Roman" w:hAnsi="Arial" w:cs="Arial"/>
          <w:sz w:val="18"/>
          <w:szCs w:val="18"/>
          <w:lang w:eastAsia="es-ES"/>
        </w:rPr>
        <w:t>Se registraron</w:t>
      </w:r>
      <w:r w:rsidR="005860F2" w:rsidRPr="006571BB">
        <w:rPr>
          <w:rFonts w:ascii="Arial" w:eastAsia="Times New Roman" w:hAnsi="Arial" w:cs="Arial"/>
          <w:sz w:val="18"/>
          <w:szCs w:val="18"/>
          <w:lang w:eastAsia="es-ES"/>
        </w:rPr>
        <w:t xml:space="preserve"> ingresos </w:t>
      </w:r>
      <w:r w:rsidR="000038E6">
        <w:rPr>
          <w:rFonts w:ascii="Arial" w:eastAsia="Times New Roman" w:hAnsi="Arial" w:cs="Arial"/>
          <w:sz w:val="18"/>
          <w:szCs w:val="18"/>
          <w:lang w:eastAsia="es-ES"/>
        </w:rPr>
        <w:t>al 3</w:t>
      </w:r>
      <w:r w:rsidR="000C332A">
        <w:rPr>
          <w:rFonts w:ascii="Arial" w:eastAsia="Times New Roman" w:hAnsi="Arial" w:cs="Arial"/>
          <w:sz w:val="18"/>
          <w:szCs w:val="18"/>
          <w:lang w:eastAsia="es-ES"/>
        </w:rPr>
        <w:t>1</w:t>
      </w:r>
      <w:r w:rsidR="000038E6">
        <w:rPr>
          <w:rFonts w:ascii="Arial" w:eastAsia="Times New Roman" w:hAnsi="Arial" w:cs="Arial"/>
          <w:sz w:val="18"/>
          <w:szCs w:val="18"/>
          <w:lang w:eastAsia="es-ES"/>
        </w:rPr>
        <w:t xml:space="preserve"> de </w:t>
      </w:r>
      <w:r w:rsidR="000C332A">
        <w:rPr>
          <w:rFonts w:ascii="Arial" w:eastAsia="Times New Roman" w:hAnsi="Arial" w:cs="Arial"/>
          <w:sz w:val="18"/>
          <w:szCs w:val="18"/>
          <w:lang w:eastAsia="es-ES"/>
        </w:rPr>
        <w:t xml:space="preserve">diciembre </w:t>
      </w:r>
      <w:r w:rsidR="007272A1">
        <w:rPr>
          <w:rFonts w:ascii="Arial" w:eastAsia="Times New Roman" w:hAnsi="Arial" w:cs="Arial"/>
          <w:sz w:val="18"/>
          <w:szCs w:val="18"/>
          <w:lang w:eastAsia="es-ES"/>
        </w:rPr>
        <w:t>de la siguiente manera:</w:t>
      </w:r>
    </w:p>
    <w:p w:rsidR="007E46DD" w:rsidRDefault="007E46DD" w:rsidP="006571BB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01"/>
        <w:gridCol w:w="1996"/>
        <w:gridCol w:w="1660"/>
        <w:gridCol w:w="1781"/>
      </w:tblGrid>
      <w:tr w:rsidR="007272A1" w:rsidRPr="00062D05" w:rsidTr="00083F2E">
        <w:trPr>
          <w:trHeight w:val="230"/>
          <w:jc w:val="center"/>
        </w:trPr>
        <w:tc>
          <w:tcPr>
            <w:tcW w:w="6501" w:type="dxa"/>
          </w:tcPr>
          <w:p w:rsidR="007272A1" w:rsidRPr="00062D05" w:rsidRDefault="007272A1" w:rsidP="00062D0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996" w:type="dxa"/>
          </w:tcPr>
          <w:p w:rsidR="007272A1" w:rsidRPr="00062D05" w:rsidRDefault="007272A1" w:rsidP="00062D0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PRESUPUESTAL</w:t>
            </w:r>
          </w:p>
        </w:tc>
        <w:tc>
          <w:tcPr>
            <w:tcW w:w="1660" w:type="dxa"/>
          </w:tcPr>
          <w:p w:rsidR="007272A1" w:rsidRPr="00062D05" w:rsidRDefault="007272A1" w:rsidP="00062D0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FINANCIERO</w:t>
            </w:r>
          </w:p>
        </w:tc>
        <w:tc>
          <w:tcPr>
            <w:tcW w:w="1781" w:type="dxa"/>
          </w:tcPr>
          <w:p w:rsidR="007272A1" w:rsidRPr="00062D05" w:rsidRDefault="007272A1" w:rsidP="00062D0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TOTAL</w:t>
            </w:r>
          </w:p>
        </w:tc>
      </w:tr>
      <w:tr w:rsidR="00083F2E" w:rsidRPr="00062D05" w:rsidTr="00083F2E">
        <w:trPr>
          <w:trHeight w:val="230"/>
          <w:jc w:val="center"/>
        </w:trPr>
        <w:tc>
          <w:tcPr>
            <w:tcW w:w="6501" w:type="dxa"/>
          </w:tcPr>
          <w:p w:rsidR="00083F2E" w:rsidRPr="00062D05" w:rsidRDefault="00083F2E" w:rsidP="00083F2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(Ministración de gasto operativo)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996" w:type="dxa"/>
          </w:tcPr>
          <w:p w:rsidR="00083F2E" w:rsidRPr="00062D05" w:rsidRDefault="00083F2E" w:rsidP="00083F2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660" w:type="dxa"/>
          </w:tcPr>
          <w:p w:rsidR="00083F2E" w:rsidRPr="009F0B3D" w:rsidRDefault="009F0B3D" w:rsidP="009F0B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$960,400.00</w:t>
            </w:r>
          </w:p>
        </w:tc>
        <w:tc>
          <w:tcPr>
            <w:tcW w:w="1781" w:type="dxa"/>
            <w:vAlign w:val="bottom"/>
          </w:tcPr>
          <w:p w:rsidR="00083F2E" w:rsidRPr="009F0B3D" w:rsidRDefault="009F0B3D" w:rsidP="009F0B3D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0B3D">
              <w:rPr>
                <w:rFonts w:ascii="Arial" w:hAnsi="Arial" w:cs="Arial"/>
                <w:b/>
                <w:color w:val="000000"/>
                <w:sz w:val="18"/>
                <w:szCs w:val="18"/>
              </w:rPr>
              <w:t>$960,400.00</w:t>
            </w:r>
          </w:p>
        </w:tc>
      </w:tr>
      <w:tr w:rsidR="002F1C38" w:rsidRPr="00062D05" w:rsidTr="00083F2E">
        <w:trPr>
          <w:trHeight w:val="230"/>
          <w:jc w:val="center"/>
        </w:trPr>
        <w:tc>
          <w:tcPr>
            <w:tcW w:w="6501" w:type="dxa"/>
          </w:tcPr>
          <w:p w:rsidR="002F1C38" w:rsidRPr="00062D05" w:rsidRDefault="002F1C38" w:rsidP="002F1C3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(Gasto médico)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996" w:type="dxa"/>
          </w:tcPr>
          <w:p w:rsidR="002F1C38" w:rsidRPr="00062D05" w:rsidRDefault="002F1C38" w:rsidP="002F1C3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660" w:type="dxa"/>
          </w:tcPr>
          <w:p w:rsidR="002F1C38" w:rsidRPr="004B2B1A" w:rsidRDefault="009F0B3D" w:rsidP="002F1C3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F0B3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297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</w:t>
            </w:r>
            <w:r w:rsidRPr="009F0B3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.00</w:t>
            </w:r>
          </w:p>
        </w:tc>
        <w:tc>
          <w:tcPr>
            <w:tcW w:w="1781" w:type="dxa"/>
          </w:tcPr>
          <w:p w:rsidR="002F1C38" w:rsidRPr="009F0B3D" w:rsidRDefault="009F0B3D" w:rsidP="009F0B3D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0B3D">
              <w:rPr>
                <w:rFonts w:ascii="Arial" w:hAnsi="Arial" w:cs="Arial"/>
                <w:b/>
                <w:color w:val="000000"/>
                <w:sz w:val="18"/>
                <w:szCs w:val="18"/>
              </w:rPr>
              <w:t>$297,206.00</w:t>
            </w:r>
          </w:p>
        </w:tc>
      </w:tr>
      <w:tr w:rsidR="002F1C38" w:rsidRPr="00062D05" w:rsidTr="00083F2E">
        <w:trPr>
          <w:trHeight w:val="218"/>
          <w:jc w:val="center"/>
        </w:trPr>
        <w:tc>
          <w:tcPr>
            <w:tcW w:w="6501" w:type="dxa"/>
          </w:tcPr>
          <w:p w:rsidR="002F1C38" w:rsidRPr="00062D05" w:rsidRDefault="002F1C38" w:rsidP="002F1C3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Cargos por concepto de </w:t>
            </w: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Nómina</w:t>
            </w:r>
            <w:r w:rsidR="009F0B3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 seguro de vida</w:t>
            </w: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996" w:type="dxa"/>
          </w:tcPr>
          <w:p w:rsidR="002F1C38" w:rsidRPr="009F0B3D" w:rsidRDefault="009F0B3D" w:rsidP="009F0B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$4,422,262.00</w:t>
            </w:r>
          </w:p>
        </w:tc>
        <w:tc>
          <w:tcPr>
            <w:tcW w:w="1660" w:type="dxa"/>
          </w:tcPr>
          <w:p w:rsidR="002F1C38" w:rsidRPr="00062D05" w:rsidRDefault="009F0B3D" w:rsidP="002F1C3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F0B3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</w:t>
            </w:r>
            <w:r w:rsidRPr="009F0B3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703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.00</w:t>
            </w:r>
          </w:p>
        </w:tc>
        <w:tc>
          <w:tcPr>
            <w:tcW w:w="1781" w:type="dxa"/>
          </w:tcPr>
          <w:p w:rsidR="002F1C38" w:rsidRPr="009F0B3D" w:rsidRDefault="009F0B3D" w:rsidP="00323FE9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0B3D">
              <w:rPr>
                <w:rFonts w:ascii="Arial" w:hAnsi="Arial" w:cs="Arial"/>
                <w:b/>
                <w:color w:val="000000"/>
                <w:sz w:val="18"/>
                <w:szCs w:val="18"/>
              </w:rPr>
              <w:t>$4,546,96</w:t>
            </w:r>
            <w:r w:rsidR="00323FE9">
              <w:rPr>
                <w:rFonts w:ascii="Arial" w:hAnsi="Arial" w:cs="Arial"/>
                <w:b/>
                <w:color w:val="000000"/>
                <w:sz w:val="18"/>
                <w:szCs w:val="18"/>
              </w:rPr>
              <w:t>5.00</w:t>
            </w:r>
          </w:p>
        </w:tc>
      </w:tr>
      <w:tr w:rsidR="002F1C38" w:rsidRPr="00062D05" w:rsidTr="00083F2E">
        <w:trPr>
          <w:trHeight w:val="230"/>
          <w:jc w:val="center"/>
        </w:trPr>
        <w:tc>
          <w:tcPr>
            <w:tcW w:w="6501" w:type="dxa"/>
          </w:tcPr>
          <w:p w:rsidR="002F1C38" w:rsidRPr="00062D05" w:rsidRDefault="002F1C38" w:rsidP="002F1C3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Cargos por concepto de </w:t>
            </w: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Impuesto sobre Nómina)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996" w:type="dxa"/>
          </w:tcPr>
          <w:p w:rsidR="002F1C38" w:rsidRPr="00062D05" w:rsidRDefault="009F0B3D" w:rsidP="002F1C3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79,741.00</w:t>
            </w:r>
          </w:p>
        </w:tc>
        <w:tc>
          <w:tcPr>
            <w:tcW w:w="1660" w:type="dxa"/>
          </w:tcPr>
          <w:p w:rsidR="002F1C38" w:rsidRPr="00062D05" w:rsidRDefault="002F1C38" w:rsidP="002F1C3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781" w:type="dxa"/>
          </w:tcPr>
          <w:p w:rsidR="002F1C38" w:rsidRPr="009F0B3D" w:rsidRDefault="00323FE9" w:rsidP="009F0B3D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</w:t>
            </w:r>
            <w:r w:rsidR="009F0B3D" w:rsidRPr="009F0B3D">
              <w:rPr>
                <w:rFonts w:ascii="Arial" w:hAnsi="Arial" w:cs="Arial"/>
                <w:b/>
                <w:color w:val="000000"/>
                <w:sz w:val="18"/>
                <w:szCs w:val="18"/>
              </w:rPr>
              <w:t>79,741.00</w:t>
            </w:r>
          </w:p>
        </w:tc>
      </w:tr>
      <w:tr w:rsidR="00062D05" w:rsidRPr="00062D05" w:rsidTr="00083F2E">
        <w:trPr>
          <w:trHeight w:val="230"/>
          <w:jc w:val="center"/>
        </w:trPr>
        <w:tc>
          <w:tcPr>
            <w:tcW w:w="6501" w:type="dxa"/>
          </w:tcPr>
          <w:p w:rsidR="00062D05" w:rsidRPr="00062D05" w:rsidRDefault="00062D05" w:rsidP="00062D0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Productos financieros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996" w:type="dxa"/>
          </w:tcPr>
          <w:p w:rsidR="00062D05" w:rsidRPr="00062D05" w:rsidRDefault="00062D05" w:rsidP="00062D0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660" w:type="dxa"/>
          </w:tcPr>
          <w:p w:rsidR="00062D05" w:rsidRPr="00062D05" w:rsidRDefault="009F0B3D" w:rsidP="00062D0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46</w:t>
            </w:r>
            <w:r w:rsidR="00062D05"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.00</w:t>
            </w:r>
          </w:p>
        </w:tc>
        <w:tc>
          <w:tcPr>
            <w:tcW w:w="1781" w:type="dxa"/>
            <w:vAlign w:val="center"/>
          </w:tcPr>
          <w:p w:rsidR="00062D05" w:rsidRPr="009F0B3D" w:rsidRDefault="009F0B3D" w:rsidP="009F0B3D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0B3D">
              <w:rPr>
                <w:rFonts w:ascii="Arial" w:hAnsi="Arial" w:cs="Arial"/>
                <w:b/>
                <w:color w:val="000000"/>
                <w:sz w:val="18"/>
                <w:szCs w:val="18"/>
              </w:rPr>
              <w:t>$46.00</w:t>
            </w:r>
          </w:p>
        </w:tc>
      </w:tr>
      <w:tr w:rsidR="009F0B3D" w:rsidRPr="00062D05" w:rsidTr="00083F2E">
        <w:trPr>
          <w:trHeight w:val="230"/>
          <w:jc w:val="center"/>
        </w:trPr>
        <w:tc>
          <w:tcPr>
            <w:tcW w:w="6501" w:type="dxa"/>
          </w:tcPr>
          <w:p w:rsidR="009F0B3D" w:rsidRPr="00062D05" w:rsidRDefault="009F0B3D" w:rsidP="00062D0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Ampliación presupuestal</w:t>
            </w:r>
          </w:p>
        </w:tc>
        <w:tc>
          <w:tcPr>
            <w:tcW w:w="1996" w:type="dxa"/>
          </w:tcPr>
          <w:p w:rsidR="009F0B3D" w:rsidRPr="00062D05" w:rsidRDefault="009F0B3D" w:rsidP="00062D0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660" w:type="dxa"/>
          </w:tcPr>
          <w:p w:rsidR="009F0B3D" w:rsidRPr="00323FE9" w:rsidRDefault="009F0B3D" w:rsidP="009F0B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23FE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303,804.00</w:t>
            </w:r>
          </w:p>
        </w:tc>
        <w:tc>
          <w:tcPr>
            <w:tcW w:w="1781" w:type="dxa"/>
            <w:vAlign w:val="center"/>
          </w:tcPr>
          <w:p w:rsidR="009F0B3D" w:rsidRPr="00323FE9" w:rsidRDefault="00323FE9" w:rsidP="00062D0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</w:t>
            </w:r>
            <w:r w:rsidRPr="00323FE9">
              <w:rPr>
                <w:rFonts w:ascii="Arial" w:hAnsi="Arial" w:cs="Arial"/>
                <w:b/>
                <w:color w:val="000000"/>
                <w:sz w:val="18"/>
                <w:szCs w:val="18"/>
              </w:rPr>
              <w:t>303,804.00</w:t>
            </w:r>
          </w:p>
        </w:tc>
      </w:tr>
      <w:tr w:rsidR="00062D05" w:rsidRPr="00062D05" w:rsidTr="00083F2E">
        <w:trPr>
          <w:trHeight w:val="221"/>
          <w:jc w:val="center"/>
        </w:trPr>
        <w:tc>
          <w:tcPr>
            <w:tcW w:w="6501" w:type="dxa"/>
          </w:tcPr>
          <w:p w:rsidR="00062D05" w:rsidRPr="00062D05" w:rsidRDefault="00062D05" w:rsidP="00062D05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996" w:type="dxa"/>
            <w:vAlign w:val="bottom"/>
          </w:tcPr>
          <w:p w:rsidR="00323FE9" w:rsidRPr="00323FE9" w:rsidRDefault="00323FE9" w:rsidP="00323FE9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</w:t>
            </w:r>
            <w:r w:rsidRPr="00323FE9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Pr="00323FE9">
              <w:rPr>
                <w:rFonts w:ascii="Arial" w:hAnsi="Arial" w:cs="Arial"/>
                <w:b/>
                <w:color w:val="000000"/>
                <w:sz w:val="18"/>
                <w:szCs w:val="18"/>
              </w:rPr>
              <w:t>502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Pr="00323FE9">
              <w:rPr>
                <w:rFonts w:ascii="Arial" w:hAnsi="Arial" w:cs="Arial"/>
                <w:b/>
                <w:color w:val="000000"/>
                <w:sz w:val="18"/>
                <w:szCs w:val="18"/>
              </w:rPr>
              <w:t>00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3.00</w:t>
            </w:r>
          </w:p>
          <w:p w:rsidR="00062D05" w:rsidRPr="00323FE9" w:rsidRDefault="00062D05" w:rsidP="002F1C38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 w:rsidR="002F1C38" w:rsidRPr="00323FE9" w:rsidRDefault="002F1C38" w:rsidP="002F1C38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23FE9" w:rsidRPr="00323FE9" w:rsidRDefault="00323FE9" w:rsidP="00323FE9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</w:t>
            </w:r>
            <w:r w:rsidRPr="00323FE9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Pr="00323FE9">
              <w:rPr>
                <w:rFonts w:ascii="Arial" w:hAnsi="Arial" w:cs="Arial"/>
                <w:b/>
                <w:color w:val="000000"/>
                <w:sz w:val="18"/>
                <w:szCs w:val="18"/>
              </w:rPr>
              <w:t>686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Pr="00323FE9">
              <w:rPr>
                <w:rFonts w:ascii="Arial" w:hAnsi="Arial" w:cs="Arial"/>
                <w:b/>
                <w:color w:val="000000"/>
                <w:sz w:val="18"/>
                <w:szCs w:val="18"/>
              </w:rPr>
              <w:t>159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.00</w:t>
            </w:r>
          </w:p>
          <w:p w:rsidR="00062D05" w:rsidRPr="00323FE9" w:rsidRDefault="00062D05" w:rsidP="002F1C38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vAlign w:val="bottom"/>
          </w:tcPr>
          <w:p w:rsidR="00323FE9" w:rsidRPr="00323FE9" w:rsidRDefault="00323FE9" w:rsidP="00323FE9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</w:t>
            </w:r>
            <w:r w:rsidRPr="00323FE9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Pr="00323FE9">
              <w:rPr>
                <w:rFonts w:ascii="Arial" w:hAnsi="Arial" w:cs="Arial"/>
                <w:b/>
                <w:color w:val="000000"/>
                <w:sz w:val="18"/>
                <w:szCs w:val="18"/>
              </w:rPr>
              <w:t>188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,162.00</w:t>
            </w:r>
          </w:p>
          <w:p w:rsidR="00062D05" w:rsidRPr="00323FE9" w:rsidRDefault="00062D05" w:rsidP="002F1C38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7272A1" w:rsidRPr="00062D05" w:rsidRDefault="007272A1" w:rsidP="006571BB">
      <w:pPr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:rsidR="007E46DD" w:rsidRDefault="00D7394C" w:rsidP="00083F2E">
      <w:pPr>
        <w:jc w:val="both"/>
      </w:pPr>
      <w:r>
        <w:t>I</w:t>
      </w:r>
      <w:r w:rsidR="00062D05">
        <w:t>ngresos</w:t>
      </w:r>
      <w:r w:rsidR="007E46DD">
        <w:t xml:space="preserve"> por concepto de transferencias que incluye tanto cargos presupuestales (Registro </w:t>
      </w:r>
      <w:r w:rsidR="00323FE9">
        <w:t xml:space="preserve">de nómina, seguro de vida </w:t>
      </w:r>
      <w:r w:rsidR="007E46DD">
        <w:t xml:space="preserve">e impuesto sobre nóminas) </w:t>
      </w:r>
      <w:r w:rsidR="00323FE9">
        <w:t xml:space="preserve"> por el importe de $4,502,003.00 </w:t>
      </w:r>
      <w:r w:rsidR="007E46DD">
        <w:t>como financieros (ministración de recursos de gasto</w:t>
      </w:r>
      <w:r w:rsidR="00083F2E">
        <w:t xml:space="preserve"> operativo</w:t>
      </w:r>
      <w:r w:rsidR="00323FE9">
        <w:t>, ministración por remanentes de capítulo 1000 y ampliación presupuestal</w:t>
      </w:r>
      <w:r w:rsidR="00083F2E">
        <w:t xml:space="preserve">) por la cantidad de </w:t>
      </w:r>
      <w:r w:rsidR="00083F2E" w:rsidRPr="00083F2E">
        <w:t>$</w:t>
      </w:r>
      <w:r w:rsidR="00323FE9">
        <w:t>1,686,113.00, dando un total de transferencias efectuadas por la Secretaría de Planeación y Finanzas de $6,188,116.00</w:t>
      </w:r>
    </w:p>
    <w:p w:rsidR="007E46DD" w:rsidRDefault="007E46DD" w:rsidP="007E46DD">
      <w:pPr>
        <w:pStyle w:val="ROMANOS"/>
        <w:tabs>
          <w:tab w:val="clear" w:pos="720"/>
          <w:tab w:val="left" w:pos="288"/>
        </w:tabs>
        <w:spacing w:after="0" w:line="240" w:lineRule="exact"/>
        <w:ind w:left="284" w:firstLine="4"/>
        <w:rPr>
          <w:lang w:val="es-MX"/>
        </w:rPr>
      </w:pPr>
    </w:p>
    <w:p w:rsidR="00062D05" w:rsidRDefault="007E46DD" w:rsidP="00D7394C">
      <w:pPr>
        <w:pStyle w:val="ROMANOS"/>
        <w:numPr>
          <w:ilvl w:val="0"/>
          <w:numId w:val="12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Productos financieros </w:t>
      </w:r>
      <w:r w:rsidR="00062D05">
        <w:rPr>
          <w:lang w:val="es-MX"/>
        </w:rPr>
        <w:t>por la cantidad de $</w:t>
      </w:r>
      <w:r w:rsidR="00323FE9">
        <w:rPr>
          <w:lang w:val="es-MX"/>
        </w:rPr>
        <w:t>46</w:t>
      </w:r>
      <w:r>
        <w:rPr>
          <w:lang w:val="es-MX"/>
        </w:rPr>
        <w:t>.00.</w:t>
      </w:r>
    </w:p>
    <w:p w:rsidR="007E46DD" w:rsidRDefault="007E46DD" w:rsidP="007E46DD">
      <w:pPr>
        <w:pStyle w:val="ROMANOS"/>
        <w:spacing w:after="0" w:line="240" w:lineRule="exact"/>
        <w:rPr>
          <w:lang w:val="es-MX"/>
        </w:rPr>
      </w:pPr>
    </w:p>
    <w:p w:rsidR="007E46DD" w:rsidRDefault="007E46DD" w:rsidP="007E46DD">
      <w:pPr>
        <w:pStyle w:val="ROMANOS"/>
        <w:spacing w:after="0" w:line="240" w:lineRule="exact"/>
        <w:rPr>
          <w:lang w:val="es-MX"/>
        </w:rPr>
      </w:pPr>
      <w:r w:rsidRPr="007E46DD">
        <w:rPr>
          <w:b/>
          <w:lang w:val="es-MX"/>
        </w:rPr>
        <w:t>Un total de ingresos</w:t>
      </w:r>
      <w:r w:rsidR="00F3780C">
        <w:rPr>
          <w:b/>
          <w:lang w:val="es-MX"/>
        </w:rPr>
        <w:t xml:space="preserve"> (</w:t>
      </w:r>
      <w:r w:rsidR="00323FE9">
        <w:rPr>
          <w:b/>
          <w:lang w:val="es-MX"/>
        </w:rPr>
        <w:t xml:space="preserve">incluye </w:t>
      </w:r>
      <w:r w:rsidR="00F3780C">
        <w:rPr>
          <w:b/>
          <w:lang w:val="es-MX"/>
        </w:rPr>
        <w:t>transferencias</w:t>
      </w:r>
      <w:r w:rsidR="00323FE9">
        <w:rPr>
          <w:b/>
          <w:lang w:val="es-MX"/>
        </w:rPr>
        <w:t xml:space="preserve"> y productos financieros</w:t>
      </w:r>
      <w:r w:rsidR="00F3780C">
        <w:rPr>
          <w:b/>
          <w:lang w:val="es-MX"/>
        </w:rPr>
        <w:t>)</w:t>
      </w:r>
      <w:r w:rsidRPr="007E46DD">
        <w:rPr>
          <w:b/>
          <w:lang w:val="es-MX"/>
        </w:rPr>
        <w:t xml:space="preserve"> por el importe de $</w:t>
      </w:r>
      <w:r w:rsidR="00323FE9">
        <w:rPr>
          <w:b/>
          <w:lang w:val="es-MX"/>
        </w:rPr>
        <w:t>6,188,162.00</w:t>
      </w:r>
    </w:p>
    <w:p w:rsidR="007E46DD" w:rsidRDefault="007E46DD" w:rsidP="007E46DD">
      <w:pPr>
        <w:pStyle w:val="ROMANOS"/>
        <w:spacing w:after="0" w:line="240" w:lineRule="exact"/>
        <w:rPr>
          <w:lang w:val="es-MX"/>
        </w:rPr>
      </w:pPr>
    </w:p>
    <w:p w:rsidR="0068210F" w:rsidRDefault="0068210F" w:rsidP="007E46DD">
      <w:pPr>
        <w:pStyle w:val="ROMANOS"/>
        <w:tabs>
          <w:tab w:val="clear" w:pos="720"/>
        </w:tabs>
        <w:spacing w:after="0" w:line="240" w:lineRule="exact"/>
        <w:ind w:left="284" w:firstLine="4"/>
        <w:rPr>
          <w:lang w:val="es-MX"/>
        </w:rPr>
      </w:pPr>
    </w:p>
    <w:p w:rsidR="00CE4951" w:rsidRDefault="00B76009" w:rsidP="007E46DD">
      <w:pPr>
        <w:pStyle w:val="ROMANOS"/>
        <w:tabs>
          <w:tab w:val="clear" w:pos="720"/>
        </w:tabs>
        <w:spacing w:after="0" w:line="240" w:lineRule="exact"/>
        <w:ind w:left="284" w:firstLine="4"/>
        <w:rPr>
          <w:lang w:val="es-MX"/>
        </w:rPr>
      </w:pPr>
      <w:r>
        <w:rPr>
          <w:lang w:val="es-MX"/>
        </w:rPr>
        <w:t>Es importante mencionar que</w:t>
      </w:r>
      <w:r w:rsidR="007E46DD">
        <w:rPr>
          <w:lang w:val="es-MX"/>
        </w:rPr>
        <w:t xml:space="preserve"> el Instituto de Catastro solicitó </w:t>
      </w:r>
      <w:r w:rsidR="00135160">
        <w:rPr>
          <w:lang w:val="es-MX"/>
        </w:rPr>
        <w:t xml:space="preserve"> la ministración por concepto </w:t>
      </w:r>
      <w:r w:rsidR="007E46DD">
        <w:rPr>
          <w:lang w:val="es-MX"/>
        </w:rPr>
        <w:t xml:space="preserve">de Gasto Médico correspondiente a los meses de febrero y marzo del presente ejercicio fiscal, </w:t>
      </w:r>
      <w:r w:rsidR="006B615E">
        <w:rPr>
          <w:lang w:val="es-MX"/>
        </w:rPr>
        <w:t xml:space="preserve">mismo que fueron ministrados en el mes de junio </w:t>
      </w:r>
      <w:r w:rsidR="007E46DD">
        <w:rPr>
          <w:lang w:val="es-MX"/>
        </w:rPr>
        <w:t xml:space="preserve">por parte de </w:t>
      </w:r>
      <w:r>
        <w:rPr>
          <w:lang w:val="es-MX"/>
        </w:rPr>
        <w:t>la Dirección de Presupuesto de la Secretaría de Planeación y Finanzas</w:t>
      </w:r>
      <w:r w:rsidR="007E46DD">
        <w:rPr>
          <w:lang w:val="es-MX"/>
        </w:rPr>
        <w:t>.</w:t>
      </w:r>
    </w:p>
    <w:p w:rsidR="00CE4951" w:rsidRDefault="00CE4951" w:rsidP="00B76009">
      <w:pPr>
        <w:pStyle w:val="ROMANOS"/>
        <w:spacing w:after="0" w:line="240" w:lineRule="exact"/>
        <w:ind w:left="648" w:firstLine="0"/>
        <w:rPr>
          <w:lang w:val="es-MX"/>
        </w:rPr>
      </w:pPr>
    </w:p>
    <w:p w:rsidR="007E46DD" w:rsidRDefault="007E46DD" w:rsidP="00B76009">
      <w:pPr>
        <w:pStyle w:val="ROMANOS"/>
        <w:spacing w:after="0" w:line="240" w:lineRule="exact"/>
        <w:ind w:left="648" w:firstLine="0"/>
        <w:rPr>
          <w:lang w:val="es-MX"/>
        </w:rPr>
      </w:pPr>
    </w:p>
    <w:p w:rsidR="00DF3429" w:rsidRPr="00120AA1" w:rsidRDefault="00DF3429" w:rsidP="00B76009">
      <w:pPr>
        <w:pStyle w:val="ROMANOS"/>
        <w:numPr>
          <w:ilvl w:val="0"/>
          <w:numId w:val="10"/>
        </w:numPr>
        <w:spacing w:after="0" w:line="240" w:lineRule="exact"/>
        <w:rPr>
          <w:b/>
          <w:lang w:val="es-MX"/>
        </w:rPr>
      </w:pPr>
      <w:r w:rsidRPr="00120AA1">
        <w:rPr>
          <w:b/>
          <w:lang w:val="es-MX"/>
        </w:rPr>
        <w:t>Gastos y Otras Pérdidas:</w:t>
      </w:r>
    </w:p>
    <w:p w:rsidR="007E46DD" w:rsidRPr="007E46DD" w:rsidRDefault="007E46DD" w:rsidP="007E46DD">
      <w:pPr>
        <w:pStyle w:val="ROMANOS"/>
        <w:spacing w:after="0" w:line="240" w:lineRule="exact"/>
        <w:rPr>
          <w:lang w:val="es-MX"/>
        </w:rPr>
      </w:pPr>
      <w:r w:rsidRPr="007E46DD">
        <w:rPr>
          <w:lang w:val="es-MX"/>
        </w:rPr>
        <w:t>Se registraron gastos de la siguiente manera:</w:t>
      </w:r>
    </w:p>
    <w:p w:rsidR="007E46DD" w:rsidRDefault="007E46DD" w:rsidP="007E46DD">
      <w:pPr>
        <w:pStyle w:val="ROMANOS"/>
        <w:spacing w:after="0" w:line="240" w:lineRule="exact"/>
        <w:rPr>
          <w:b/>
          <w:lang w:val="es-MX"/>
        </w:rPr>
      </w:pPr>
    </w:p>
    <w:tbl>
      <w:tblPr>
        <w:tblW w:w="86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992"/>
        <w:gridCol w:w="2170"/>
      </w:tblGrid>
      <w:tr w:rsidR="00083F2E" w:rsidRPr="00083F2E" w:rsidTr="00117017">
        <w:trPr>
          <w:trHeight w:val="362"/>
          <w:jc w:val="center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CAPÍTULO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PRESUPUESTAL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FINANCIERO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</w:tr>
      <w:tr w:rsidR="00083F2E" w:rsidRPr="00083F2E" w:rsidTr="00DB6806">
        <w:trPr>
          <w:trHeight w:val="335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DB68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DB6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4,422,261.00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DB68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DB6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163,288.00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DB6806" w:rsidRDefault="00DB6806" w:rsidP="00DB68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$4,585,549.00</w:t>
            </w:r>
          </w:p>
        </w:tc>
      </w:tr>
      <w:tr w:rsidR="00DB6806" w:rsidRPr="00083F2E" w:rsidTr="00DB6806">
        <w:trPr>
          <w:trHeight w:val="22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806" w:rsidRPr="00083F2E" w:rsidRDefault="00DB6806" w:rsidP="00DB68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806" w:rsidRPr="00083F2E" w:rsidRDefault="00DB6806" w:rsidP="00DB68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806" w:rsidRPr="00083F2E" w:rsidRDefault="00DB6806" w:rsidP="00DB68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717,303.00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6806" w:rsidRPr="00DB6806" w:rsidRDefault="00DB6806" w:rsidP="00DB68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B6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$717,303.00</w:t>
            </w:r>
          </w:p>
        </w:tc>
      </w:tr>
      <w:tr w:rsidR="00DB6806" w:rsidRPr="00083F2E" w:rsidTr="00DB6806">
        <w:trPr>
          <w:trHeight w:val="275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806" w:rsidRPr="00083F2E" w:rsidRDefault="00DB6806" w:rsidP="00DB68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806" w:rsidRPr="00083F2E" w:rsidRDefault="00DB6806" w:rsidP="00DB68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79,741.00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806" w:rsidRPr="00083F2E" w:rsidRDefault="00DB6806" w:rsidP="00DB68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116,407.00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6806" w:rsidRPr="00DB6806" w:rsidRDefault="00DB6806" w:rsidP="00DB68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$196,148.00</w:t>
            </w:r>
          </w:p>
        </w:tc>
      </w:tr>
      <w:tr w:rsidR="00DB6806" w:rsidRPr="00083F2E" w:rsidTr="0039743A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806" w:rsidRPr="00083F2E" w:rsidRDefault="00DB6806" w:rsidP="00DB680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6806" w:rsidRPr="00DB6806" w:rsidRDefault="00DB6806" w:rsidP="00DB68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$4,502,002.00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6806" w:rsidRPr="00DB6806" w:rsidRDefault="00DB6806" w:rsidP="00DB68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$996,998.00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6806" w:rsidRPr="00DB6806" w:rsidRDefault="00DB6806" w:rsidP="00DB68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$5,499,000.00</w:t>
            </w:r>
          </w:p>
        </w:tc>
      </w:tr>
    </w:tbl>
    <w:p w:rsidR="007E46DD" w:rsidRPr="00252B38" w:rsidRDefault="007E46DD" w:rsidP="007E46DD">
      <w:pPr>
        <w:pStyle w:val="ROMANOS"/>
        <w:spacing w:after="0" w:line="240" w:lineRule="exact"/>
        <w:rPr>
          <w:lang w:val="es-MX"/>
        </w:rPr>
      </w:pPr>
    </w:p>
    <w:p w:rsidR="00DF3429" w:rsidRPr="00216810" w:rsidRDefault="009458F4" w:rsidP="00120AA1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216810">
        <w:rPr>
          <w:rFonts w:ascii="Arial" w:eastAsia="Times New Roman" w:hAnsi="Arial" w:cs="Arial"/>
          <w:sz w:val="18"/>
          <w:szCs w:val="18"/>
          <w:lang w:eastAsia="es-ES"/>
        </w:rPr>
        <w:t>G</w:t>
      </w:r>
      <w:r w:rsidR="00DF3429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astos por concepto de Servicios Personales ascienden a </w:t>
      </w:r>
      <w:r w:rsidR="00F031F7" w:rsidRPr="00216810">
        <w:rPr>
          <w:rFonts w:ascii="Arial" w:eastAsia="Times New Roman" w:hAnsi="Arial" w:cs="Arial"/>
          <w:sz w:val="18"/>
          <w:szCs w:val="18"/>
          <w:lang w:eastAsia="es-ES"/>
        </w:rPr>
        <w:t>$</w:t>
      </w:r>
      <w:r w:rsidR="00DB6806">
        <w:rPr>
          <w:rFonts w:ascii="Arial" w:eastAsia="Times New Roman" w:hAnsi="Arial" w:cs="Arial"/>
          <w:sz w:val="18"/>
          <w:szCs w:val="18"/>
          <w:lang w:eastAsia="es-ES"/>
        </w:rPr>
        <w:t>4,585,549.00</w:t>
      </w:r>
      <w:r w:rsidR="001F53DA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DF3429" w:rsidRPr="00216810">
        <w:rPr>
          <w:rFonts w:ascii="Arial" w:eastAsia="Times New Roman" w:hAnsi="Arial" w:cs="Arial"/>
          <w:sz w:val="18"/>
          <w:szCs w:val="18"/>
          <w:lang w:eastAsia="es-ES"/>
        </w:rPr>
        <w:t>mismos que incluyen</w:t>
      </w:r>
      <w:r w:rsidR="009F0D30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cargos presupuestales </w:t>
      </w:r>
      <w:r w:rsidR="00004482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por la S.P. y F. conforme al Acuerdo por el que se establecen las bases para la administración de la nómina y el cumplimiento de las obligaciones fiscales federales y estatales del ITJ, ITC, ITPCD, IDC y FOMTLAX, </w:t>
      </w:r>
      <w:r w:rsidR="009F0D30" w:rsidRPr="00216810">
        <w:rPr>
          <w:rFonts w:ascii="Arial" w:eastAsia="Times New Roman" w:hAnsi="Arial" w:cs="Arial"/>
          <w:sz w:val="18"/>
          <w:szCs w:val="18"/>
          <w:lang w:eastAsia="es-ES"/>
        </w:rPr>
        <w:t>por</w:t>
      </w:r>
      <w:r w:rsidR="00DF3429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remuneraciones al personal de carácter permanente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por $</w:t>
      </w:r>
      <w:r w:rsidR="00790B66">
        <w:rPr>
          <w:rFonts w:ascii="Arial" w:eastAsia="Times New Roman" w:hAnsi="Arial" w:cs="Arial"/>
          <w:sz w:val="18"/>
          <w:szCs w:val="18"/>
          <w:lang w:eastAsia="es-ES"/>
        </w:rPr>
        <w:t>3,537,209.00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DF3429" w:rsidRPr="00216810">
        <w:rPr>
          <w:rFonts w:ascii="Arial" w:eastAsia="Times New Roman" w:hAnsi="Arial" w:cs="Arial"/>
          <w:sz w:val="18"/>
          <w:szCs w:val="18"/>
          <w:lang w:eastAsia="es-ES"/>
        </w:rPr>
        <w:t>remuneraciones</w:t>
      </w:r>
      <w:r w:rsidR="005D05C9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provisionadas</w:t>
      </w:r>
      <w:r w:rsidR="004C0C6A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(devengos) por parte de la Dirección de Presupuesto</w:t>
      </w:r>
      <w:r w:rsidR="005D05C9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durante el </w:t>
      </w:r>
      <w:r w:rsidR="00216810">
        <w:rPr>
          <w:rFonts w:ascii="Arial" w:eastAsia="Times New Roman" w:hAnsi="Arial" w:cs="Arial"/>
          <w:sz w:val="18"/>
          <w:szCs w:val="18"/>
          <w:lang w:eastAsia="es-ES"/>
        </w:rPr>
        <w:t>semestre</w:t>
      </w:r>
      <w:r w:rsidR="00790B66">
        <w:rPr>
          <w:rFonts w:ascii="Arial" w:eastAsia="Times New Roman" w:hAnsi="Arial" w:cs="Arial"/>
          <w:sz w:val="18"/>
          <w:szCs w:val="18"/>
          <w:lang w:eastAsia="es-ES"/>
        </w:rPr>
        <w:t xml:space="preserve"> por la cantidad de $833,689.00</w:t>
      </w:r>
      <w:r w:rsidR="00216810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siendo las percepciones siguientes: </w:t>
      </w:r>
      <w:r w:rsidR="00BA7251" w:rsidRPr="00216810">
        <w:rPr>
          <w:rFonts w:ascii="Arial" w:eastAsia="Times New Roman" w:hAnsi="Arial" w:cs="Arial"/>
          <w:sz w:val="18"/>
          <w:szCs w:val="18"/>
          <w:lang w:eastAsia="es-ES"/>
        </w:rPr>
        <w:t>aguinaldo,</w:t>
      </w:r>
      <w:r w:rsidR="00DF3429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prima vacacional</w:t>
      </w:r>
      <w:r w:rsidR="00BA7251" w:rsidRPr="00216810">
        <w:rPr>
          <w:rFonts w:ascii="Arial" w:eastAsia="Times New Roman" w:hAnsi="Arial" w:cs="Arial"/>
          <w:sz w:val="18"/>
          <w:szCs w:val="18"/>
          <w:lang w:eastAsia="es-ES"/>
        </w:rPr>
        <w:t>, bono anual y despensa especial de fin de año</w:t>
      </w:r>
      <w:r w:rsidR="005D05C9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, 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>así como otras prestaciones</w:t>
      </w:r>
      <w:r w:rsidR="004C0C6A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y </w:t>
      </w:r>
      <w:r w:rsidR="00264876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aportaciones a 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>pensiones,</w:t>
      </w:r>
      <w:r w:rsidR="00790B66">
        <w:rPr>
          <w:rFonts w:ascii="Arial" w:eastAsia="Times New Roman" w:hAnsi="Arial" w:cs="Arial"/>
          <w:sz w:val="18"/>
          <w:szCs w:val="18"/>
          <w:lang w:eastAsia="es-ES"/>
        </w:rPr>
        <w:t xml:space="preserve"> y seguro de vida por el importe de $51,363.00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danto un total por concepto de nómina de </w:t>
      </w:r>
      <w:r w:rsidRPr="00216810">
        <w:rPr>
          <w:rFonts w:ascii="Arial" w:eastAsia="Times New Roman" w:hAnsi="Arial" w:cs="Arial"/>
          <w:sz w:val="18"/>
          <w:szCs w:val="18"/>
          <w:lang w:eastAsia="es-ES"/>
        </w:rPr>
        <w:t>$</w:t>
      </w:r>
      <w:r w:rsidR="00790B66">
        <w:rPr>
          <w:rFonts w:ascii="Arial" w:eastAsia="Times New Roman" w:hAnsi="Arial" w:cs="Arial"/>
          <w:sz w:val="18"/>
          <w:szCs w:val="18"/>
          <w:lang w:eastAsia="es-ES"/>
        </w:rPr>
        <w:t>4,422,261.00</w:t>
      </w:r>
      <w:r w:rsidR="009F0D30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; y financieros </w:t>
      </w:r>
      <w:r w:rsidR="00BA7251" w:rsidRPr="00216810">
        <w:rPr>
          <w:rFonts w:ascii="Arial" w:eastAsia="Times New Roman" w:hAnsi="Arial" w:cs="Arial"/>
          <w:sz w:val="18"/>
          <w:szCs w:val="18"/>
          <w:lang w:eastAsia="es-ES"/>
        </w:rPr>
        <w:t>por la cantidad de  $</w:t>
      </w:r>
      <w:r w:rsidR="00790B66">
        <w:rPr>
          <w:rFonts w:ascii="Arial" w:eastAsia="Times New Roman" w:hAnsi="Arial" w:cs="Arial"/>
          <w:sz w:val="18"/>
          <w:szCs w:val="18"/>
          <w:lang w:eastAsia="es-ES"/>
        </w:rPr>
        <w:t>163,288.00</w:t>
      </w:r>
      <w:r w:rsidR="00DB3B1E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0F34FD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por pago de </w:t>
      </w:r>
      <w:r w:rsidR="009F0D30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servicio de </w:t>
      </w:r>
      <w:r w:rsidR="000F34FD" w:rsidRPr="00216810">
        <w:rPr>
          <w:rFonts w:ascii="Arial" w:eastAsia="Times New Roman" w:hAnsi="Arial" w:cs="Arial"/>
          <w:sz w:val="18"/>
          <w:szCs w:val="18"/>
          <w:lang w:eastAsia="es-ES"/>
        </w:rPr>
        <w:t>gasto médico.</w:t>
      </w:r>
    </w:p>
    <w:p w:rsidR="009458F4" w:rsidRDefault="009458F4" w:rsidP="009458F4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>
        <w:rPr>
          <w:lang w:val="es-MX"/>
        </w:rPr>
        <w:t>M</w:t>
      </w:r>
      <w:r w:rsidR="00DF3429">
        <w:rPr>
          <w:lang w:val="es-MX"/>
        </w:rPr>
        <w:t>ateriales y suministros se registraron erogaciones</w:t>
      </w:r>
      <w:r w:rsidR="00BA7251">
        <w:rPr>
          <w:lang w:val="es-MX"/>
        </w:rPr>
        <w:t xml:space="preserve"> financieras</w:t>
      </w:r>
      <w:r w:rsidR="00DF3429">
        <w:rPr>
          <w:lang w:val="es-MX"/>
        </w:rPr>
        <w:t xml:space="preserve"> </w:t>
      </w:r>
      <w:r w:rsidR="00DB3B1E">
        <w:rPr>
          <w:lang w:val="es-MX"/>
        </w:rPr>
        <w:t>por $</w:t>
      </w:r>
      <w:r w:rsidR="00790B66">
        <w:rPr>
          <w:lang w:val="es-MX"/>
        </w:rPr>
        <w:t>717,303.00</w:t>
      </w:r>
    </w:p>
    <w:p w:rsidR="009F0D30" w:rsidRPr="009458F4" w:rsidRDefault="009458F4" w:rsidP="009458F4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9458F4">
        <w:rPr>
          <w:lang w:val="es-MX"/>
        </w:rPr>
        <w:t>S</w:t>
      </w:r>
      <w:r w:rsidR="00DF3429" w:rsidRPr="009458F4">
        <w:rPr>
          <w:lang w:val="es-MX"/>
        </w:rPr>
        <w:t xml:space="preserve">ervicios Generales se registraron erogaciones por </w:t>
      </w:r>
      <w:r w:rsidR="00BA7251" w:rsidRPr="009458F4">
        <w:rPr>
          <w:lang w:val="es-MX"/>
        </w:rPr>
        <w:t>$</w:t>
      </w:r>
      <w:r w:rsidR="00790B66">
        <w:rPr>
          <w:lang w:val="es-MX"/>
        </w:rPr>
        <w:t>196,148.00</w:t>
      </w:r>
      <w:r w:rsidR="00447FFA" w:rsidRPr="009458F4">
        <w:rPr>
          <w:lang w:val="es-MX"/>
        </w:rPr>
        <w:t>, incluye cargo presupuestal por concepto de impuesto sobre nómina por la cantidad de $</w:t>
      </w:r>
      <w:r w:rsidR="00790B66">
        <w:rPr>
          <w:lang w:val="es-MX"/>
        </w:rPr>
        <w:t>79,741.</w:t>
      </w:r>
      <w:r w:rsidR="00DB3B1E">
        <w:rPr>
          <w:lang w:val="es-MX"/>
        </w:rPr>
        <w:t>00</w:t>
      </w:r>
      <w:r>
        <w:rPr>
          <w:lang w:val="es-MX"/>
        </w:rPr>
        <w:t xml:space="preserve"> y financieras por $</w:t>
      </w:r>
      <w:r w:rsidR="00790B66">
        <w:rPr>
          <w:lang w:val="es-MX"/>
        </w:rPr>
        <w:t>116,407.00</w:t>
      </w:r>
    </w:p>
    <w:p w:rsidR="009F0D30" w:rsidRDefault="009F0D30" w:rsidP="009F0D30">
      <w:pPr>
        <w:pStyle w:val="ROMANOS"/>
        <w:spacing w:after="0" w:line="240" w:lineRule="exact"/>
        <w:ind w:left="284" w:firstLine="0"/>
        <w:rPr>
          <w:lang w:val="es-MX"/>
        </w:rPr>
      </w:pP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III)</w:t>
      </w:r>
      <w:r w:rsidRPr="000F6B3C">
        <w:rPr>
          <w:b/>
          <w:smallCaps/>
        </w:rPr>
        <w:tab/>
        <w:t>Notas al Estado de Variación en la Hacienda Pública</w:t>
      </w:r>
    </w:p>
    <w:p w:rsidR="008E129E" w:rsidRDefault="00DF3429" w:rsidP="005F6932">
      <w:pPr>
        <w:pStyle w:val="ROMANOS"/>
        <w:numPr>
          <w:ilvl w:val="0"/>
          <w:numId w:val="13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Se informa que el pat</w:t>
      </w:r>
      <w:r w:rsidR="00907AB2">
        <w:rPr>
          <w:lang w:val="es-MX"/>
        </w:rPr>
        <w:t>rimonio contribuido</w:t>
      </w:r>
      <w:r w:rsidR="001F53DA">
        <w:rPr>
          <w:lang w:val="es-MX"/>
        </w:rPr>
        <w:t xml:space="preserve"> se modificó, </w:t>
      </w:r>
      <w:r w:rsidR="00BC7FE0">
        <w:rPr>
          <w:lang w:val="es-MX"/>
        </w:rPr>
        <w:t xml:space="preserve">en virtud de que se pagaron gastos </w:t>
      </w:r>
      <w:r w:rsidR="009F0D30">
        <w:rPr>
          <w:lang w:val="es-MX"/>
        </w:rPr>
        <w:t>médicos generados en 201</w:t>
      </w:r>
      <w:r w:rsidR="009458F4">
        <w:rPr>
          <w:lang w:val="es-MX"/>
        </w:rPr>
        <w:t>9</w:t>
      </w:r>
      <w:r w:rsidR="009F0D30">
        <w:rPr>
          <w:lang w:val="es-MX"/>
        </w:rPr>
        <w:t>, previamente autorizados en la primera acta de Consejo Técnico</w:t>
      </w:r>
      <w:r w:rsidR="008E129E">
        <w:rPr>
          <w:lang w:val="es-MX"/>
        </w:rPr>
        <w:t xml:space="preserve"> 2020</w:t>
      </w:r>
      <w:r w:rsidR="009F0D30">
        <w:rPr>
          <w:lang w:val="es-MX"/>
        </w:rPr>
        <w:t>, por la cantidad de $</w:t>
      </w:r>
      <w:r w:rsidR="00F139DD">
        <w:rPr>
          <w:lang w:val="es-MX"/>
        </w:rPr>
        <w:t>23,461.00</w:t>
      </w:r>
      <w:r w:rsidR="009C5F09">
        <w:rPr>
          <w:lang w:val="es-MX"/>
        </w:rPr>
        <w:t>, quedando un saldo</w:t>
      </w:r>
      <w:r w:rsidR="008E129E">
        <w:rPr>
          <w:lang w:val="es-MX"/>
        </w:rPr>
        <w:t xml:space="preserve"> </w:t>
      </w:r>
      <w:r w:rsidR="008E129E" w:rsidRPr="008E129E">
        <w:rPr>
          <w:lang w:val="es-MX"/>
        </w:rPr>
        <w:t xml:space="preserve">financiero de </w:t>
      </w:r>
      <w:r w:rsidR="005F6932" w:rsidRPr="005F6932">
        <w:rPr>
          <w:lang w:val="es-MX"/>
        </w:rPr>
        <w:t>$267,086</w:t>
      </w:r>
      <w:r w:rsidR="004C0C6A">
        <w:rPr>
          <w:lang w:val="es-MX"/>
        </w:rPr>
        <w:t>.00</w:t>
      </w:r>
      <w:r w:rsidR="005F6932" w:rsidRPr="005F6932">
        <w:rPr>
          <w:lang w:val="es-MX"/>
        </w:rPr>
        <w:t xml:space="preserve"> </w:t>
      </w:r>
      <w:r w:rsidR="008E129E" w:rsidRPr="008E129E">
        <w:rPr>
          <w:lang w:val="es-MX"/>
        </w:rPr>
        <w:t xml:space="preserve">y presupuestal por la cantidad de </w:t>
      </w:r>
      <w:r w:rsidR="005F6932" w:rsidRPr="005F6932">
        <w:rPr>
          <w:lang w:val="es-MX"/>
        </w:rPr>
        <w:t>$54,104.00</w:t>
      </w:r>
      <w:r w:rsidR="003526BF">
        <w:rPr>
          <w:lang w:val="es-MX"/>
        </w:rPr>
        <w:t>.</w:t>
      </w:r>
    </w:p>
    <w:p w:rsidR="003526BF" w:rsidRDefault="003526BF" w:rsidP="005F6932">
      <w:pPr>
        <w:pStyle w:val="ROMANOS"/>
        <w:numPr>
          <w:ilvl w:val="0"/>
          <w:numId w:val="13"/>
        </w:numPr>
        <w:spacing w:after="0" w:line="240" w:lineRule="exact"/>
        <w:rPr>
          <w:lang w:val="es-MX"/>
        </w:rPr>
      </w:pPr>
      <w:r>
        <w:rPr>
          <w:lang w:val="es-MX"/>
        </w:rPr>
        <w:t>Se efectúo un reintegro por la cantidad de $2,171.00, como medida de acción para la solventación de observaciones ante el Órgano de Fiscalización Superior por el periodo Julio-Diciembre 2019.</w:t>
      </w:r>
    </w:p>
    <w:p w:rsidR="00790B66" w:rsidRDefault="00790B66" w:rsidP="005F6932">
      <w:pPr>
        <w:pStyle w:val="ROMANOS"/>
        <w:numPr>
          <w:ilvl w:val="0"/>
          <w:numId w:val="13"/>
        </w:numPr>
        <w:spacing w:after="0" w:line="240" w:lineRule="exact"/>
        <w:rPr>
          <w:lang w:val="es-MX"/>
        </w:rPr>
      </w:pPr>
      <w:r>
        <w:rPr>
          <w:lang w:val="es-MX"/>
        </w:rPr>
        <w:t>Se efectúo la adquisición de un vehículo modelo versa 2021, marca Nissan, previamente autorizado por Consejo Técnico, por la cantidad de $268,205.00 (incluye seguro)</w:t>
      </w:r>
    </w:p>
    <w:p w:rsidR="001B756D" w:rsidRDefault="003526BF" w:rsidP="0070667F">
      <w:pPr>
        <w:pStyle w:val="ROMANOS"/>
        <w:numPr>
          <w:ilvl w:val="0"/>
          <w:numId w:val="13"/>
        </w:numPr>
        <w:spacing w:after="0" w:line="240" w:lineRule="exact"/>
        <w:ind w:left="284" w:hanging="142"/>
        <w:rPr>
          <w:lang w:val="es-MX"/>
        </w:rPr>
      </w:pPr>
      <w:r w:rsidRPr="001B756D">
        <w:rPr>
          <w:lang w:val="es-MX"/>
        </w:rPr>
        <w:t>Por lo que el saldo en la cuenta de resultado de ejercicios anteriores es de $</w:t>
      </w:r>
      <w:r w:rsidR="001B756D" w:rsidRPr="001B756D">
        <w:rPr>
          <w:lang w:val="es-MX"/>
        </w:rPr>
        <w:t xml:space="preserve">55,156.00, integrado de </w:t>
      </w:r>
      <w:r w:rsidRPr="001B756D">
        <w:rPr>
          <w:lang w:val="es-MX"/>
        </w:rPr>
        <w:t>un saldo presupuestal de $54,104.00</w:t>
      </w:r>
      <w:r w:rsidR="001B756D" w:rsidRPr="001B756D">
        <w:rPr>
          <w:lang w:val="es-MX"/>
        </w:rPr>
        <w:t xml:space="preserve"> (adquisición de activos)</w:t>
      </w:r>
      <w:r w:rsidRPr="001B756D">
        <w:rPr>
          <w:lang w:val="es-MX"/>
        </w:rPr>
        <w:t xml:space="preserve">, </w:t>
      </w:r>
      <w:r w:rsidR="001B756D" w:rsidRPr="001B756D">
        <w:rPr>
          <w:lang w:val="es-MX"/>
        </w:rPr>
        <w:t>y saldo financiero por $1</w:t>
      </w:r>
      <w:r w:rsidR="00A15EA9">
        <w:rPr>
          <w:lang w:val="es-MX"/>
        </w:rPr>
        <w:t>,052.00, como a continuación se detalla:</w:t>
      </w:r>
    </w:p>
    <w:p w:rsidR="00A15EA9" w:rsidRDefault="00A15EA9" w:rsidP="00A15EA9">
      <w:pPr>
        <w:pStyle w:val="ROMANOS"/>
        <w:spacing w:after="0" w:line="240" w:lineRule="exact"/>
        <w:rPr>
          <w:lang w:val="es-MX"/>
        </w:rPr>
      </w:pPr>
    </w:p>
    <w:p w:rsidR="00A15EA9" w:rsidRDefault="00A15EA9" w:rsidP="00A15EA9">
      <w:pPr>
        <w:pStyle w:val="ROMANOS"/>
        <w:spacing w:after="0" w:line="240" w:lineRule="exact"/>
        <w:rPr>
          <w:lang w:val="es-MX"/>
        </w:rPr>
      </w:pPr>
    </w:p>
    <w:p w:rsidR="00A15EA9" w:rsidRDefault="00A15EA9" w:rsidP="00A15EA9">
      <w:pPr>
        <w:pStyle w:val="ROMANOS"/>
        <w:spacing w:after="0" w:line="240" w:lineRule="exact"/>
        <w:rPr>
          <w:lang w:val="es-MX"/>
        </w:rPr>
      </w:pPr>
    </w:p>
    <w:p w:rsidR="00A15EA9" w:rsidRDefault="00A15EA9" w:rsidP="00A15EA9">
      <w:pPr>
        <w:pStyle w:val="ROMANOS"/>
        <w:spacing w:after="0" w:line="240" w:lineRule="exact"/>
        <w:rPr>
          <w:lang w:val="es-MX"/>
        </w:rPr>
      </w:pPr>
    </w:p>
    <w:p w:rsidR="00A15EA9" w:rsidRDefault="00A15EA9" w:rsidP="00A15EA9">
      <w:pPr>
        <w:pStyle w:val="ROMANOS"/>
        <w:spacing w:after="0" w:line="240" w:lineRule="exact"/>
        <w:rPr>
          <w:lang w:val="es-MX"/>
        </w:rPr>
      </w:pPr>
    </w:p>
    <w:tbl>
      <w:tblPr>
        <w:tblW w:w="127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7"/>
        <w:gridCol w:w="3191"/>
        <w:gridCol w:w="2497"/>
        <w:gridCol w:w="2497"/>
      </w:tblGrid>
      <w:tr w:rsidR="00A15EA9" w:rsidRPr="00A15EA9" w:rsidTr="00A15EA9">
        <w:trPr>
          <w:trHeight w:val="311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A15EA9" w:rsidP="00A15E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Ejer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c</w:t>
            </w: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icio fiscal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A15EA9" w:rsidP="00A15E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Saldo financiero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A15EA9" w:rsidP="00A15E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Saldo presupuestal (adquisición de 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activos</w:t>
            </w: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A15EA9" w:rsidP="00A15E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Saldo</w:t>
            </w:r>
          </w:p>
        </w:tc>
      </w:tr>
      <w:tr w:rsidR="00A15EA9" w:rsidRPr="00A15EA9" w:rsidTr="00A15EA9">
        <w:trPr>
          <w:trHeight w:val="198"/>
        </w:trPr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A15EA9" w:rsidP="00A15E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Resultado del ejercicio fis</w:t>
            </w:r>
            <w:r w:rsidRPr="00A15EA9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cal 2019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A15EA9" w:rsidP="00A15E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$966.00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A15EA9" w:rsidP="00A15E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$</w:t>
            </w:r>
            <w:r w:rsidRPr="00A15EA9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9,980.00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A15EA9" w:rsidP="00A15E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$10,946.00</w:t>
            </w:r>
          </w:p>
        </w:tc>
      </w:tr>
      <w:tr w:rsidR="00A15EA9" w:rsidRPr="00A15EA9" w:rsidTr="00A15EA9">
        <w:trPr>
          <w:trHeight w:val="273"/>
        </w:trPr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A15EA9" w:rsidP="00A15E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Resultado de ejercicios anteriores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A15EA9" w:rsidP="00A15E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86.00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A15EA9" w:rsidP="00A15E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44,124.00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A15EA9" w:rsidP="00A15E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44,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210.00</w:t>
            </w:r>
          </w:p>
        </w:tc>
      </w:tr>
      <w:tr w:rsidR="00A15EA9" w:rsidRPr="00A15EA9" w:rsidTr="00A15EA9">
        <w:trPr>
          <w:trHeight w:val="198"/>
        </w:trPr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A15EA9" w:rsidP="00A15E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Saldo en Bancos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A15EA9" w:rsidP="00A15E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$1,052.00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A15EA9" w:rsidP="00A15E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$54,104.00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A15EA9" w:rsidP="00A15E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$55,156.00</w:t>
            </w:r>
          </w:p>
        </w:tc>
      </w:tr>
    </w:tbl>
    <w:p w:rsidR="00A15EA9" w:rsidRDefault="00A15EA9" w:rsidP="00A15EA9">
      <w:pPr>
        <w:pStyle w:val="ROMANOS"/>
        <w:spacing w:after="0" w:line="240" w:lineRule="exact"/>
        <w:ind w:left="284" w:firstLine="0"/>
        <w:rPr>
          <w:lang w:val="es-MX"/>
        </w:rPr>
      </w:pPr>
    </w:p>
    <w:p w:rsidR="00A15EA9" w:rsidRDefault="00A15EA9" w:rsidP="00A15EA9">
      <w:pPr>
        <w:pStyle w:val="ROMANOS"/>
        <w:spacing w:after="0" w:line="240" w:lineRule="exact"/>
        <w:ind w:left="284" w:firstLine="0"/>
        <w:rPr>
          <w:lang w:val="es-MX"/>
        </w:rPr>
      </w:pPr>
    </w:p>
    <w:p w:rsidR="003526BF" w:rsidRPr="001B756D" w:rsidRDefault="003526BF" w:rsidP="0070667F">
      <w:pPr>
        <w:pStyle w:val="ROMANOS"/>
        <w:numPr>
          <w:ilvl w:val="0"/>
          <w:numId w:val="13"/>
        </w:numPr>
        <w:spacing w:after="0" w:line="240" w:lineRule="exact"/>
        <w:ind w:left="284" w:hanging="142"/>
        <w:rPr>
          <w:lang w:val="es-MX"/>
        </w:rPr>
      </w:pPr>
      <w:r w:rsidRPr="001B756D">
        <w:rPr>
          <w:lang w:val="es-MX"/>
        </w:rPr>
        <w:t>Se afectó</w:t>
      </w:r>
      <w:r w:rsidR="001B756D">
        <w:rPr>
          <w:lang w:val="es-MX"/>
        </w:rPr>
        <w:t xml:space="preserve"> modificación a</w:t>
      </w:r>
      <w:r w:rsidRPr="001B756D">
        <w:rPr>
          <w:lang w:val="es-MX"/>
        </w:rPr>
        <w:t xml:space="preserve"> la cuenta de rectificaciones de ejercicios anteriores por la baja de activos ante la Dirección de Recursos Materiales Servicios y Adquisiciones</w:t>
      </w:r>
      <w:r w:rsidR="001B756D">
        <w:rPr>
          <w:lang w:val="es-MX"/>
        </w:rPr>
        <w:t>, y la adquisición de un vehículo quedando con un saldo al 31 de diciembre de $10,309,102.00</w:t>
      </w:r>
    </w:p>
    <w:p w:rsidR="003526BF" w:rsidRDefault="003526BF" w:rsidP="003526BF">
      <w:pPr>
        <w:pStyle w:val="ROMANOS"/>
        <w:tabs>
          <w:tab w:val="clear" w:pos="720"/>
        </w:tabs>
        <w:spacing w:after="0" w:line="240" w:lineRule="exact"/>
        <w:ind w:left="284" w:hanging="142"/>
        <w:rPr>
          <w:lang w:val="es-MX"/>
        </w:rPr>
      </w:pPr>
    </w:p>
    <w:p w:rsidR="003526BF" w:rsidRDefault="003526BF" w:rsidP="003526BF">
      <w:pPr>
        <w:pStyle w:val="ROMANOS"/>
        <w:tabs>
          <w:tab w:val="clear" w:pos="720"/>
        </w:tabs>
        <w:spacing w:after="0" w:line="240" w:lineRule="exact"/>
        <w:ind w:left="284" w:hanging="142"/>
        <w:rPr>
          <w:lang w:val="es-MX"/>
        </w:rPr>
      </w:pPr>
    </w:p>
    <w:p w:rsidR="003526BF" w:rsidRPr="008E129E" w:rsidRDefault="003526BF" w:rsidP="003526BF">
      <w:pPr>
        <w:pStyle w:val="ROMANOS"/>
        <w:tabs>
          <w:tab w:val="clear" w:pos="720"/>
        </w:tabs>
        <w:spacing w:after="0" w:line="240" w:lineRule="exact"/>
        <w:ind w:left="284" w:hanging="142"/>
        <w:rPr>
          <w:lang w:val="es-MX"/>
        </w:rPr>
      </w:pPr>
    </w:p>
    <w:p w:rsidR="009C5F09" w:rsidRPr="009C5F09" w:rsidRDefault="009C5F09" w:rsidP="009C5F09">
      <w:pPr>
        <w:pStyle w:val="ROMANOS"/>
        <w:tabs>
          <w:tab w:val="clear" w:pos="720"/>
          <w:tab w:val="left" w:pos="567"/>
        </w:tabs>
        <w:spacing w:after="0" w:line="240" w:lineRule="exact"/>
        <w:ind w:left="284" w:firstLine="0"/>
        <w:rPr>
          <w:lang w:val="es-MX"/>
        </w:rPr>
      </w:pP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IV)</w:t>
      </w:r>
      <w:r w:rsidRPr="000F6B3C">
        <w:rPr>
          <w:b/>
          <w:smallCaps/>
        </w:rPr>
        <w:tab/>
        <w:t xml:space="preserve">Notas al Estado de Flujos de Efectivo </w:t>
      </w: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Efectivo y equivalentes</w:t>
      </w:r>
    </w:p>
    <w:p w:rsidR="00DF3429" w:rsidRDefault="00DF3429" w:rsidP="00DF3429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El análisis de los saldos inicial y final que figuran en la última parte del Estado de Flujo de Efectivo como sigue:</w:t>
      </w:r>
    </w:p>
    <w:p w:rsidR="00135160" w:rsidRPr="000F6B3C" w:rsidRDefault="00135160" w:rsidP="00135160">
      <w:pPr>
        <w:pStyle w:val="ROMANOS"/>
        <w:spacing w:after="0" w:line="240" w:lineRule="exact"/>
        <w:ind w:left="648" w:firstLine="0"/>
        <w:rPr>
          <w:lang w:val="es-MX"/>
        </w:rPr>
      </w:pPr>
    </w:p>
    <w:p w:rsidR="00147276" w:rsidRPr="000F6B3C" w:rsidRDefault="00147276" w:rsidP="00147276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45"/>
        <w:gridCol w:w="1300"/>
        <w:gridCol w:w="1219"/>
      </w:tblGrid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8E129E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8E129E" w:rsidP="00BC7FE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2019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145" w:rsidRPr="000F6B3C" w:rsidRDefault="001B756D" w:rsidP="00CC6753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663,214.00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8E129E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290,548.00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F630FF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0FF" w:rsidRPr="000F6B3C" w:rsidRDefault="00F630FF" w:rsidP="00F630FF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0FF" w:rsidRPr="000F6B3C" w:rsidRDefault="001B756D" w:rsidP="001B756D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663,214</w:t>
            </w:r>
            <w:r w:rsidR="003526BF">
              <w:rPr>
                <w:szCs w:val="18"/>
                <w:lang w:val="es-MX"/>
              </w:rPr>
              <w:t>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0FF" w:rsidRPr="000F6B3C" w:rsidRDefault="008E129E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290,548.00</w:t>
            </w:r>
          </w:p>
        </w:tc>
      </w:tr>
    </w:tbl>
    <w:p w:rsidR="00385231" w:rsidRDefault="00385231" w:rsidP="000416C6">
      <w:pPr>
        <w:pStyle w:val="Texto"/>
        <w:spacing w:after="0" w:line="240" w:lineRule="exact"/>
        <w:ind w:firstLine="0"/>
        <w:rPr>
          <w:szCs w:val="18"/>
          <w:lang w:val="es-MX"/>
        </w:rPr>
      </w:pPr>
      <w:r>
        <w:rPr>
          <w:szCs w:val="18"/>
          <w:lang w:val="es-MX"/>
        </w:rPr>
        <w:tab/>
      </w:r>
    </w:p>
    <w:p w:rsidR="00F705D7" w:rsidRDefault="00385231" w:rsidP="00385231">
      <w:pPr>
        <w:pStyle w:val="Texto"/>
        <w:spacing w:after="0" w:line="240" w:lineRule="exact"/>
        <w:ind w:left="708" w:firstLine="0"/>
        <w:rPr>
          <w:szCs w:val="18"/>
          <w:lang w:val="es-MX"/>
        </w:rPr>
      </w:pPr>
      <w:r>
        <w:rPr>
          <w:szCs w:val="18"/>
          <w:lang w:val="es-MX"/>
        </w:rPr>
        <w:t xml:space="preserve">Es importante </w:t>
      </w:r>
      <w:r w:rsidR="0051049E">
        <w:rPr>
          <w:szCs w:val="18"/>
          <w:lang w:val="es-MX"/>
        </w:rPr>
        <w:t>aclarar</w:t>
      </w:r>
      <w:r>
        <w:rPr>
          <w:szCs w:val="18"/>
          <w:lang w:val="es-MX"/>
        </w:rPr>
        <w:t xml:space="preserve"> que </w:t>
      </w:r>
      <w:r w:rsidR="00D26485">
        <w:rPr>
          <w:szCs w:val="18"/>
          <w:lang w:val="es-MX"/>
        </w:rPr>
        <w:t xml:space="preserve">este Estado </w:t>
      </w:r>
      <w:r w:rsidR="009C5F09">
        <w:rPr>
          <w:szCs w:val="18"/>
          <w:lang w:val="es-MX"/>
        </w:rPr>
        <w:t>F</w:t>
      </w:r>
      <w:r w:rsidR="00D26485">
        <w:rPr>
          <w:szCs w:val="18"/>
          <w:lang w:val="es-MX"/>
        </w:rPr>
        <w:t>inanciero</w:t>
      </w:r>
      <w:r>
        <w:rPr>
          <w:szCs w:val="18"/>
          <w:lang w:val="es-MX"/>
        </w:rPr>
        <w:t>, está</w:t>
      </w:r>
      <w:r w:rsidR="00D26485">
        <w:rPr>
          <w:szCs w:val="18"/>
          <w:lang w:val="es-MX"/>
        </w:rPr>
        <w:t xml:space="preserve"> integrado</w:t>
      </w:r>
      <w:r>
        <w:rPr>
          <w:szCs w:val="18"/>
          <w:lang w:val="es-MX"/>
        </w:rPr>
        <w:t xml:space="preserve"> </w:t>
      </w:r>
      <w:r w:rsidR="008E129E">
        <w:rPr>
          <w:szCs w:val="18"/>
          <w:lang w:val="es-MX"/>
        </w:rPr>
        <w:t xml:space="preserve">únicamente por importes financieros (cargos y abonos) efectivamente reconocidos en bancos, en virtud que hasta al 31 de diciembre de 2019 éste estado financiero también </w:t>
      </w:r>
      <w:r w:rsidR="005368B2">
        <w:rPr>
          <w:szCs w:val="18"/>
          <w:lang w:val="es-MX"/>
        </w:rPr>
        <w:t>contemplaba movimiento</w:t>
      </w:r>
      <w:r w:rsidR="00457D9B">
        <w:rPr>
          <w:szCs w:val="18"/>
          <w:lang w:val="es-MX"/>
        </w:rPr>
        <w:t>s</w:t>
      </w:r>
      <w:r w:rsidR="005368B2">
        <w:rPr>
          <w:szCs w:val="18"/>
          <w:lang w:val="es-MX"/>
        </w:rPr>
        <w:t xml:space="preserve"> tanto </w:t>
      </w:r>
      <w:r w:rsidR="008E129E">
        <w:rPr>
          <w:szCs w:val="18"/>
          <w:lang w:val="es-MX"/>
        </w:rPr>
        <w:t xml:space="preserve">presupuestales como </w:t>
      </w:r>
      <w:r w:rsidR="005368B2">
        <w:rPr>
          <w:szCs w:val="18"/>
          <w:lang w:val="es-MX"/>
        </w:rPr>
        <w:t>financieros, si</w:t>
      </w:r>
      <w:r w:rsidR="008E129E">
        <w:rPr>
          <w:szCs w:val="18"/>
          <w:lang w:val="es-MX"/>
        </w:rPr>
        <w:t xml:space="preserve">n embrago esta situación ha sido observable por parte del Órgano de Fiscalización Superior </w:t>
      </w:r>
      <w:r w:rsidR="00F43F8D">
        <w:rPr>
          <w:szCs w:val="18"/>
          <w:lang w:val="es-MX"/>
        </w:rPr>
        <w:t>en distintas ocas</w:t>
      </w:r>
      <w:r w:rsidR="008E129E">
        <w:rPr>
          <w:szCs w:val="18"/>
          <w:lang w:val="es-MX"/>
        </w:rPr>
        <w:t xml:space="preserve">iones, por lo que </w:t>
      </w:r>
      <w:r w:rsidR="00F43F8D">
        <w:rPr>
          <w:szCs w:val="18"/>
          <w:lang w:val="es-MX"/>
        </w:rPr>
        <w:t>derivado de esto se ha soli</w:t>
      </w:r>
      <w:r w:rsidR="00185FFF">
        <w:rPr>
          <w:szCs w:val="18"/>
          <w:lang w:val="es-MX"/>
        </w:rPr>
        <w:t>ci</w:t>
      </w:r>
      <w:r w:rsidR="00F43F8D">
        <w:rPr>
          <w:szCs w:val="18"/>
          <w:lang w:val="es-MX"/>
        </w:rPr>
        <w:t>tad</w:t>
      </w:r>
      <w:r w:rsidR="00185FFF">
        <w:rPr>
          <w:szCs w:val="18"/>
          <w:lang w:val="es-MX"/>
        </w:rPr>
        <w:t>o el apoyo Institucional de la D</w:t>
      </w:r>
      <w:r w:rsidR="00F43F8D">
        <w:rPr>
          <w:szCs w:val="18"/>
          <w:lang w:val="es-MX"/>
        </w:rPr>
        <w:t>irección d</w:t>
      </w:r>
      <w:r w:rsidR="00F3780C">
        <w:rPr>
          <w:szCs w:val="18"/>
          <w:lang w:val="es-MX"/>
        </w:rPr>
        <w:t>e Contabilidad Gubernamental, por lo que d</w:t>
      </w:r>
      <w:r w:rsidR="00F43F8D">
        <w:rPr>
          <w:szCs w:val="18"/>
          <w:lang w:val="es-MX"/>
        </w:rPr>
        <w:t>e</w:t>
      </w:r>
      <w:r w:rsidR="00F3780C">
        <w:rPr>
          <w:szCs w:val="18"/>
          <w:lang w:val="es-MX"/>
        </w:rPr>
        <w:t xml:space="preserve"> </w:t>
      </w:r>
      <w:r w:rsidR="00F43F8D">
        <w:rPr>
          <w:szCs w:val="18"/>
          <w:lang w:val="es-MX"/>
        </w:rPr>
        <w:t xml:space="preserve">acuerdo </w:t>
      </w:r>
      <w:r w:rsidR="00F3780C">
        <w:rPr>
          <w:szCs w:val="18"/>
          <w:lang w:val="es-MX"/>
        </w:rPr>
        <w:t>a los</w:t>
      </w:r>
      <w:r w:rsidR="00F43F8D">
        <w:rPr>
          <w:szCs w:val="18"/>
          <w:lang w:val="es-MX"/>
        </w:rPr>
        <w:t xml:space="preserve"> artículo</w:t>
      </w:r>
      <w:r w:rsidR="0051049E">
        <w:rPr>
          <w:szCs w:val="18"/>
          <w:lang w:val="es-MX"/>
        </w:rPr>
        <w:t>s</w:t>
      </w:r>
      <w:r w:rsidR="00F43F8D">
        <w:rPr>
          <w:szCs w:val="18"/>
          <w:lang w:val="es-MX"/>
        </w:rPr>
        <w:t xml:space="preserve"> 272</w:t>
      </w:r>
      <w:r w:rsidR="00457D9B">
        <w:rPr>
          <w:szCs w:val="18"/>
          <w:lang w:val="es-MX"/>
        </w:rPr>
        <w:t xml:space="preserve"> y</w:t>
      </w:r>
      <w:r w:rsidR="00F43F8D">
        <w:rPr>
          <w:szCs w:val="18"/>
          <w:lang w:val="es-MX"/>
        </w:rPr>
        <w:t xml:space="preserve"> 302</w:t>
      </w:r>
      <w:r w:rsidR="0051049E">
        <w:rPr>
          <w:szCs w:val="18"/>
          <w:lang w:val="es-MX"/>
        </w:rPr>
        <w:t xml:space="preserve"> del Código fin</w:t>
      </w:r>
      <w:r w:rsidR="001719ED">
        <w:rPr>
          <w:szCs w:val="18"/>
          <w:lang w:val="es-MX"/>
        </w:rPr>
        <w:t>an</w:t>
      </w:r>
      <w:r w:rsidR="0051049E">
        <w:rPr>
          <w:szCs w:val="18"/>
          <w:lang w:val="es-MX"/>
        </w:rPr>
        <w:t>c</w:t>
      </w:r>
      <w:r w:rsidR="001719ED">
        <w:rPr>
          <w:szCs w:val="18"/>
          <w:lang w:val="es-MX"/>
        </w:rPr>
        <w:t>ie</w:t>
      </w:r>
      <w:r w:rsidR="0051049E">
        <w:rPr>
          <w:szCs w:val="18"/>
          <w:lang w:val="es-MX"/>
        </w:rPr>
        <w:t>ro para el Estado de Tlaxcala y sus Municipios</w:t>
      </w:r>
      <w:r w:rsidR="00EB2F80">
        <w:rPr>
          <w:szCs w:val="18"/>
          <w:lang w:val="es-MX"/>
        </w:rPr>
        <w:t xml:space="preserve"> y artícul</w:t>
      </w:r>
      <w:r w:rsidR="00457D9B">
        <w:rPr>
          <w:szCs w:val="18"/>
          <w:lang w:val="es-MX"/>
        </w:rPr>
        <w:t>os 17 y</w:t>
      </w:r>
      <w:r w:rsidR="00EB2F80">
        <w:rPr>
          <w:szCs w:val="18"/>
          <w:lang w:val="es-MX"/>
        </w:rPr>
        <w:t xml:space="preserve">  52 de la Ley General de Contabilidad Gu</w:t>
      </w:r>
      <w:r w:rsidR="0051049E">
        <w:rPr>
          <w:szCs w:val="18"/>
          <w:lang w:val="es-MX"/>
        </w:rPr>
        <w:t>bernamental</w:t>
      </w:r>
      <w:r w:rsidR="00185FFF">
        <w:rPr>
          <w:szCs w:val="18"/>
          <w:lang w:val="es-MX"/>
        </w:rPr>
        <w:t>, la elaboraci</w:t>
      </w:r>
      <w:r w:rsidR="00CC7D09">
        <w:rPr>
          <w:szCs w:val="18"/>
          <w:lang w:val="es-MX"/>
        </w:rPr>
        <w:t xml:space="preserve">ón </w:t>
      </w:r>
      <w:r w:rsidR="00457D9B">
        <w:rPr>
          <w:szCs w:val="18"/>
          <w:lang w:val="es-MX"/>
        </w:rPr>
        <w:t>de este documento</w:t>
      </w:r>
      <w:r w:rsidR="00CC7D09">
        <w:rPr>
          <w:szCs w:val="18"/>
          <w:lang w:val="es-MX"/>
        </w:rPr>
        <w:t xml:space="preserve"> a partir del 01 de enero al 3</w:t>
      </w:r>
      <w:r w:rsidR="001B756D">
        <w:rPr>
          <w:szCs w:val="18"/>
          <w:lang w:val="es-MX"/>
        </w:rPr>
        <w:t>1</w:t>
      </w:r>
      <w:r w:rsidR="00CC7D09">
        <w:rPr>
          <w:szCs w:val="18"/>
          <w:lang w:val="es-MX"/>
        </w:rPr>
        <w:t xml:space="preserve"> de </w:t>
      </w:r>
      <w:r w:rsidR="001B756D">
        <w:rPr>
          <w:szCs w:val="18"/>
          <w:lang w:val="es-MX"/>
        </w:rPr>
        <w:t>diciembre</w:t>
      </w:r>
      <w:r w:rsidR="003526BF">
        <w:rPr>
          <w:szCs w:val="18"/>
          <w:lang w:val="es-MX"/>
        </w:rPr>
        <w:t xml:space="preserve"> 202</w:t>
      </w:r>
      <w:r w:rsidR="00CC7D09">
        <w:rPr>
          <w:szCs w:val="18"/>
          <w:lang w:val="es-MX"/>
        </w:rPr>
        <w:t>0, se hace en base a efectivo.</w:t>
      </w:r>
    </w:p>
    <w:p w:rsidR="00135160" w:rsidRDefault="00135160" w:rsidP="00385231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:rsidR="0051049E" w:rsidRPr="000F6B3C" w:rsidRDefault="0051049E" w:rsidP="00385231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:rsidR="00400DEE" w:rsidRDefault="00400DEE" w:rsidP="00400DEE">
      <w:pPr>
        <w:pStyle w:val="Texto"/>
        <w:numPr>
          <w:ilvl w:val="0"/>
          <w:numId w:val="3"/>
        </w:numPr>
        <w:spacing w:after="0" w:line="240" w:lineRule="exact"/>
        <w:rPr>
          <w:color w:val="000000" w:themeColor="text1"/>
          <w:szCs w:val="18"/>
          <w:lang w:val="es-MX"/>
        </w:rPr>
      </w:pPr>
      <w:r w:rsidRPr="000F6B3C">
        <w:rPr>
          <w:szCs w:val="18"/>
          <w:lang w:val="es-MX"/>
        </w:rPr>
        <w:t>Se informa que el Instituto de Catastro tuvo una variación en flu</w:t>
      </w:r>
      <w:r>
        <w:rPr>
          <w:szCs w:val="18"/>
          <w:lang w:val="es-MX"/>
        </w:rPr>
        <w:t xml:space="preserve">jos de efectivo por el </w:t>
      </w:r>
      <w:r w:rsidRPr="00AF12C1">
        <w:rPr>
          <w:color w:val="000000" w:themeColor="text1"/>
          <w:szCs w:val="18"/>
          <w:lang w:val="es-MX"/>
        </w:rPr>
        <w:t xml:space="preserve">importe </w:t>
      </w:r>
      <w:r>
        <w:rPr>
          <w:color w:val="000000" w:themeColor="text1"/>
          <w:szCs w:val="18"/>
          <w:lang w:val="es-MX"/>
        </w:rPr>
        <w:t>$</w:t>
      </w:r>
      <w:r w:rsidR="001B756D">
        <w:rPr>
          <w:color w:val="000000" w:themeColor="text1"/>
          <w:szCs w:val="18"/>
          <w:lang w:val="es-MX"/>
        </w:rPr>
        <w:t>372,666.00</w:t>
      </w:r>
      <w:r w:rsidR="000E7712">
        <w:rPr>
          <w:color w:val="000000" w:themeColor="text1"/>
          <w:szCs w:val="18"/>
          <w:lang w:val="es-MX"/>
        </w:rPr>
        <w:t>.</w:t>
      </w:r>
    </w:p>
    <w:p w:rsidR="00135160" w:rsidRDefault="00135160" w:rsidP="00135160">
      <w:pPr>
        <w:pStyle w:val="Texto"/>
        <w:spacing w:after="0" w:line="240" w:lineRule="exact"/>
        <w:ind w:left="648" w:firstLine="0"/>
        <w:rPr>
          <w:color w:val="000000" w:themeColor="text1"/>
          <w:szCs w:val="18"/>
          <w:lang w:val="es-MX"/>
        </w:rPr>
      </w:pPr>
    </w:p>
    <w:p w:rsidR="00400DEE" w:rsidRPr="00135160" w:rsidRDefault="00400DEE" w:rsidP="00400DEE">
      <w:pPr>
        <w:pStyle w:val="Texto"/>
        <w:numPr>
          <w:ilvl w:val="0"/>
          <w:numId w:val="3"/>
        </w:numPr>
        <w:spacing w:after="0" w:line="240" w:lineRule="exact"/>
        <w:rPr>
          <w:color w:val="000000" w:themeColor="text1"/>
          <w:szCs w:val="18"/>
          <w:lang w:val="es-MX"/>
        </w:rPr>
      </w:pPr>
      <w:r>
        <w:rPr>
          <w:szCs w:val="18"/>
          <w:lang w:val="es-MX"/>
        </w:rPr>
        <w:t>El saldo que muestra el estado de cuenta</w:t>
      </w:r>
      <w:r w:rsidR="001B756D">
        <w:rPr>
          <w:szCs w:val="18"/>
          <w:lang w:val="es-MX"/>
        </w:rPr>
        <w:t xml:space="preserve"> del Instituto de Catastro al 31</w:t>
      </w:r>
      <w:r>
        <w:rPr>
          <w:szCs w:val="18"/>
          <w:lang w:val="es-MX"/>
        </w:rPr>
        <w:t xml:space="preserve"> de </w:t>
      </w:r>
      <w:r w:rsidR="001B756D">
        <w:rPr>
          <w:szCs w:val="18"/>
          <w:lang w:val="es-MX"/>
        </w:rPr>
        <w:t xml:space="preserve">diciembre </w:t>
      </w:r>
      <w:r w:rsidR="00801BEA">
        <w:rPr>
          <w:szCs w:val="18"/>
          <w:lang w:val="es-MX"/>
        </w:rPr>
        <w:t>de 2020</w:t>
      </w:r>
      <w:r>
        <w:rPr>
          <w:szCs w:val="18"/>
          <w:lang w:val="es-MX"/>
        </w:rPr>
        <w:t>, se integra de la siguiente manera:</w:t>
      </w:r>
    </w:p>
    <w:p w:rsidR="00135160" w:rsidRDefault="00135160" w:rsidP="00400DEE">
      <w:pPr>
        <w:pStyle w:val="Texto"/>
        <w:spacing w:after="0" w:line="240" w:lineRule="exact"/>
        <w:ind w:left="648" w:firstLine="0"/>
        <w:rPr>
          <w:color w:val="000000" w:themeColor="text1"/>
          <w:szCs w:val="18"/>
          <w:lang w:val="es-MX"/>
        </w:rPr>
      </w:pPr>
    </w:p>
    <w:tbl>
      <w:tblPr>
        <w:tblW w:w="60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7"/>
        <w:gridCol w:w="1420"/>
      </w:tblGrid>
      <w:tr w:rsidR="00400DEE" w:rsidRPr="00400DEE" w:rsidTr="003526BF">
        <w:trPr>
          <w:trHeight w:val="266"/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EE" w:rsidRPr="00400DEE" w:rsidRDefault="00400DEE" w:rsidP="00801B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Resultado del Ejercicio fiscal</w:t>
            </w:r>
            <w:r w:rsidR="001B756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financiero</w:t>
            </w: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20</w:t>
            </w:r>
            <w:r w:rsidR="00801BE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</w:t>
            </w: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: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EE" w:rsidRPr="00400DEE" w:rsidRDefault="00400DEE" w:rsidP="001B75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</w:t>
            </w:r>
            <w:r w:rsidR="001B756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662,116.00</w:t>
            </w:r>
          </w:p>
        </w:tc>
      </w:tr>
      <w:tr w:rsidR="00400DEE" w:rsidRPr="00400DEE" w:rsidTr="003526BF">
        <w:trPr>
          <w:trHeight w:val="137"/>
          <w:jc w:val="center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EE" w:rsidRPr="00400DEE" w:rsidRDefault="004C0C6A" w:rsidP="004C0C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Productos financieros 2020</w:t>
            </w:r>
            <w:r w:rsidR="00400DEE"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EE" w:rsidRPr="00400DEE" w:rsidRDefault="001B756D" w:rsidP="00801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46</w:t>
            </w:r>
            <w:r w:rsidR="00400DEE"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.00</w:t>
            </w:r>
          </w:p>
        </w:tc>
      </w:tr>
      <w:tr w:rsidR="00400DEE" w:rsidRPr="00400DEE" w:rsidTr="003526BF">
        <w:trPr>
          <w:trHeight w:val="547"/>
          <w:jc w:val="center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EE" w:rsidRPr="00400DEE" w:rsidRDefault="00400DEE" w:rsidP="00400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Remanentes</w:t>
            </w:r>
            <w:r w:rsidR="004C0C6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financieros</w:t>
            </w: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resultados de ejercicios anteriores: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EE" w:rsidRPr="00400DEE" w:rsidRDefault="005F6932" w:rsidP="00BA08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Calibri" w:hAnsi="Calibri"/>
                <w:color w:val="000000"/>
              </w:rPr>
              <w:t>$</w:t>
            </w:r>
            <w:r w:rsidR="00BA0835">
              <w:rPr>
                <w:rFonts w:ascii="Calibri" w:hAnsi="Calibri"/>
                <w:color w:val="000000"/>
              </w:rPr>
              <w:t>1,052.00</w:t>
            </w:r>
          </w:p>
        </w:tc>
      </w:tr>
      <w:tr w:rsidR="00400DEE" w:rsidRPr="00400DEE" w:rsidTr="003526BF">
        <w:trPr>
          <w:trHeight w:val="176"/>
          <w:jc w:val="center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EE" w:rsidRPr="00400DEE" w:rsidRDefault="00400DEE" w:rsidP="00400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Saldo en bancos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EE" w:rsidRPr="00400DEE" w:rsidRDefault="00426D93" w:rsidP="00BA08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26D9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</w:t>
            </w:r>
            <w:r w:rsidR="00BA083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663,214.00</w:t>
            </w:r>
          </w:p>
        </w:tc>
      </w:tr>
    </w:tbl>
    <w:p w:rsidR="000E7712" w:rsidRDefault="000E7712" w:rsidP="000E7712">
      <w:pPr>
        <w:pStyle w:val="ROMANOS"/>
        <w:spacing w:after="0" w:line="240" w:lineRule="exact"/>
        <w:ind w:left="648" w:firstLine="0"/>
        <w:rPr>
          <w:lang w:val="es-MX"/>
        </w:rPr>
      </w:pPr>
    </w:p>
    <w:p w:rsidR="00135160" w:rsidRDefault="00135160" w:rsidP="000E7712">
      <w:pPr>
        <w:pStyle w:val="ROMANOS"/>
        <w:spacing w:after="0" w:line="240" w:lineRule="exact"/>
        <w:ind w:left="648" w:firstLine="0"/>
        <w:rPr>
          <w:lang w:val="es-MX"/>
        </w:rPr>
      </w:pPr>
    </w:p>
    <w:p w:rsidR="00135160" w:rsidRDefault="00135160" w:rsidP="000E7712">
      <w:pPr>
        <w:pStyle w:val="ROMANOS"/>
        <w:spacing w:after="0" w:line="240" w:lineRule="exact"/>
        <w:ind w:left="648" w:firstLine="0"/>
        <w:rPr>
          <w:lang w:val="es-MX"/>
        </w:rPr>
      </w:pPr>
    </w:p>
    <w:p w:rsidR="00135160" w:rsidRDefault="00135160" w:rsidP="000E7712">
      <w:pPr>
        <w:pStyle w:val="ROMANOS"/>
        <w:spacing w:after="0" w:line="240" w:lineRule="exact"/>
        <w:ind w:left="648" w:firstLine="0"/>
        <w:rPr>
          <w:lang w:val="es-MX"/>
        </w:rPr>
      </w:pPr>
    </w:p>
    <w:p w:rsidR="000E7712" w:rsidRDefault="000E7712" w:rsidP="000E7712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F630FF">
        <w:rPr>
          <w:lang w:val="es-MX"/>
        </w:rPr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400DEE" w:rsidRDefault="00400DEE" w:rsidP="00400DEE">
      <w:pPr>
        <w:pStyle w:val="Texto"/>
        <w:spacing w:after="0" w:line="240" w:lineRule="exact"/>
        <w:ind w:left="648" w:firstLine="0"/>
        <w:rPr>
          <w:color w:val="000000" w:themeColor="text1"/>
          <w:szCs w:val="18"/>
          <w:lang w:val="es-MX"/>
        </w:rPr>
      </w:pP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5F6932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9C5F09" w:rsidP="005F69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</w:t>
            </w:r>
            <w:r w:rsidR="005F6932">
              <w:rPr>
                <w:szCs w:val="18"/>
                <w:lang w:val="es-MX"/>
              </w:rPr>
              <w:t>19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0F6B3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A8" w:rsidRPr="006F1AA8" w:rsidRDefault="00BA0835" w:rsidP="004C0C6A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689,162.00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F031F7" w:rsidRDefault="005F6932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300,442.00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0F6B3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9C5F09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9C5F09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</w:tbl>
    <w:p w:rsidR="00147276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5F6932" w:rsidRDefault="005F6932" w:rsidP="00147276">
      <w:pPr>
        <w:pStyle w:val="Texto"/>
        <w:spacing w:after="0" w:line="240" w:lineRule="exact"/>
        <w:rPr>
          <w:szCs w:val="18"/>
          <w:lang w:val="es-MX"/>
        </w:rPr>
      </w:pPr>
    </w:p>
    <w:p w:rsidR="00426D93" w:rsidRDefault="00426D93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35160" w:rsidRDefault="00400DEE" w:rsidP="00574EBC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  <w:r>
        <w:rPr>
          <w:color w:val="000000" w:themeColor="text1"/>
          <w:szCs w:val="18"/>
          <w:lang w:val="es-MX"/>
        </w:rPr>
        <w:t>El resultad</w:t>
      </w:r>
      <w:r w:rsidR="00216810">
        <w:rPr>
          <w:color w:val="000000" w:themeColor="text1"/>
          <w:szCs w:val="18"/>
          <w:lang w:val="es-MX"/>
        </w:rPr>
        <w:t>o del</w:t>
      </w:r>
      <w:r w:rsidR="00BA0835">
        <w:rPr>
          <w:color w:val="000000" w:themeColor="text1"/>
          <w:szCs w:val="18"/>
          <w:lang w:val="es-MX"/>
        </w:rPr>
        <w:t xml:space="preserve"> ejercicio fiscal al 31 de diciembre </w:t>
      </w:r>
      <w:r w:rsidR="005F6932">
        <w:rPr>
          <w:color w:val="000000" w:themeColor="text1"/>
          <w:szCs w:val="18"/>
          <w:lang w:val="es-MX"/>
        </w:rPr>
        <w:t>se</w:t>
      </w:r>
      <w:r>
        <w:rPr>
          <w:color w:val="000000" w:themeColor="text1"/>
          <w:szCs w:val="18"/>
          <w:lang w:val="es-MX"/>
        </w:rPr>
        <w:t xml:space="preserve"> integra </w:t>
      </w:r>
      <w:r w:rsidR="00BA0835">
        <w:rPr>
          <w:color w:val="000000" w:themeColor="text1"/>
          <w:szCs w:val="18"/>
          <w:lang w:val="es-MX"/>
        </w:rPr>
        <w:t xml:space="preserve"> de la siguiente manera: </w:t>
      </w:r>
    </w:p>
    <w:p w:rsidR="00426D93" w:rsidRDefault="00426D93" w:rsidP="00574EBC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tbl>
      <w:tblPr>
        <w:tblW w:w="11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5"/>
        <w:gridCol w:w="1410"/>
        <w:gridCol w:w="4709"/>
      </w:tblGrid>
      <w:tr w:rsidR="00F24F9A" w:rsidRPr="00F24F9A" w:rsidTr="00F24F9A">
        <w:trPr>
          <w:trHeight w:val="236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A" w:rsidRPr="00F24F9A" w:rsidRDefault="00F24F9A" w:rsidP="00F24F9A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F24F9A">
              <w:rPr>
                <w:szCs w:val="18"/>
                <w:lang w:val="es-MX"/>
              </w:rPr>
              <w:t>Resultado financiero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A" w:rsidRPr="00F24F9A" w:rsidRDefault="00246F85" w:rsidP="00BA083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</w:t>
            </w:r>
            <w:r w:rsidR="00BA0835">
              <w:rPr>
                <w:szCs w:val="18"/>
                <w:lang w:val="es-MX"/>
              </w:rPr>
              <w:t>662,162.00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A" w:rsidRPr="00F24F9A" w:rsidRDefault="00F24F9A" w:rsidP="00BA0835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F24F9A">
              <w:rPr>
                <w:szCs w:val="18"/>
                <w:lang w:val="es-MX"/>
              </w:rPr>
              <w:t>Incluye $</w:t>
            </w:r>
            <w:r w:rsidR="00BA0835">
              <w:rPr>
                <w:szCs w:val="18"/>
                <w:lang w:val="es-MX"/>
              </w:rPr>
              <w:t>662,116.00 más productos financieros $46</w:t>
            </w:r>
            <w:r w:rsidRPr="00F24F9A">
              <w:rPr>
                <w:szCs w:val="18"/>
                <w:lang w:val="es-MX"/>
              </w:rPr>
              <w:t>.00</w:t>
            </w:r>
            <w:r>
              <w:rPr>
                <w:szCs w:val="18"/>
                <w:lang w:val="es-MX"/>
              </w:rPr>
              <w:t>.</w:t>
            </w:r>
          </w:p>
        </w:tc>
      </w:tr>
      <w:tr w:rsidR="00BA0835" w:rsidRPr="00F24F9A" w:rsidTr="00F24F9A">
        <w:trPr>
          <w:trHeight w:val="236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35" w:rsidRPr="00F24F9A" w:rsidRDefault="00BA0835" w:rsidP="00F24F9A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Resultado Presupuestal (adquisición de activos)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35" w:rsidRDefault="00BA0835" w:rsidP="00BA083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27,000.00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35" w:rsidRPr="00F24F9A" w:rsidRDefault="00BA0835" w:rsidP="00BA0835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Adquisición de activos</w:t>
            </w:r>
          </w:p>
        </w:tc>
      </w:tr>
      <w:tr w:rsidR="00BA0835" w:rsidRPr="00F24F9A" w:rsidTr="00F24F9A">
        <w:trPr>
          <w:trHeight w:val="236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35" w:rsidRDefault="00BA0835" w:rsidP="00BA0835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Total de resultado del ejercicio fiscal 2020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35" w:rsidRDefault="00BA0835" w:rsidP="00BA083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689,162.00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35" w:rsidRPr="00F24F9A" w:rsidRDefault="00BA0835" w:rsidP="00BA0835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Superávit.</w:t>
            </w:r>
          </w:p>
        </w:tc>
      </w:tr>
    </w:tbl>
    <w:p w:rsidR="00F24F9A" w:rsidRDefault="00F24F9A" w:rsidP="00574EBC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:rsidR="00135160" w:rsidRDefault="00135160" w:rsidP="003B2773">
      <w:pPr>
        <w:pStyle w:val="INCISO"/>
        <w:spacing w:after="0" w:line="240" w:lineRule="exact"/>
        <w:ind w:left="360"/>
        <w:rPr>
          <w:b/>
          <w:smallCaps/>
        </w:rPr>
      </w:pPr>
    </w:p>
    <w:p w:rsidR="00135160" w:rsidRDefault="00135160" w:rsidP="003B2773">
      <w:pPr>
        <w:pStyle w:val="INCISO"/>
        <w:spacing w:after="0" w:line="240" w:lineRule="exact"/>
        <w:ind w:left="360"/>
        <w:rPr>
          <w:b/>
          <w:smallCaps/>
        </w:rPr>
      </w:pPr>
    </w:p>
    <w:p w:rsidR="00135160" w:rsidRDefault="00135160" w:rsidP="003B2773">
      <w:pPr>
        <w:pStyle w:val="INCISO"/>
        <w:spacing w:after="0" w:line="240" w:lineRule="exact"/>
        <w:ind w:left="360"/>
        <w:rPr>
          <w:b/>
          <w:smallCaps/>
        </w:rPr>
      </w:pPr>
    </w:p>
    <w:p w:rsidR="0030706A" w:rsidRDefault="00147276" w:rsidP="003B2773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V) Conciliación entre los ingresos presupuestarios y contables, así como entre los egresos presupuestarios y los gastos contables</w:t>
      </w:r>
    </w:p>
    <w:p w:rsidR="00147276" w:rsidRDefault="00147276" w:rsidP="0030706A">
      <w:pPr>
        <w:pStyle w:val="INCISO"/>
        <w:spacing w:after="0" w:line="240" w:lineRule="exact"/>
        <w:ind w:left="360"/>
        <w:rPr>
          <w:lang w:val="es-MX"/>
        </w:rPr>
      </w:pPr>
      <w:r w:rsidRPr="000F6B3C">
        <w:rPr>
          <w:lang w:val="es-MX"/>
        </w:rPr>
        <w:lastRenderedPageBreak/>
        <w:t xml:space="preserve">La conciliación se presentará atendiendo a lo dispuesto por el Acuerdo por el que se emite el formato de conciliación entre los ingresos presupuestarios y contables, así </w:t>
      </w:r>
      <w:r w:rsidR="0030706A">
        <w:rPr>
          <w:lang w:val="es-MX"/>
        </w:rPr>
        <w:t>c</w:t>
      </w:r>
      <w:r w:rsidRPr="000F6B3C">
        <w:rPr>
          <w:lang w:val="es-MX"/>
        </w:rPr>
        <w:t>omo entre los egresos presupuestarios y los gastos contables.</w:t>
      </w:r>
    </w:p>
    <w:p w:rsidR="00135160" w:rsidRDefault="00135160" w:rsidP="0030706A">
      <w:pPr>
        <w:pStyle w:val="INCISO"/>
        <w:spacing w:after="0" w:line="240" w:lineRule="exact"/>
        <w:ind w:left="360"/>
        <w:rPr>
          <w:lang w:val="es-MX"/>
        </w:rPr>
      </w:pPr>
    </w:p>
    <w:p w:rsidR="00AC339A" w:rsidRDefault="00AC339A" w:rsidP="00147276">
      <w:pPr>
        <w:pStyle w:val="Texto"/>
        <w:spacing w:after="0" w:line="240" w:lineRule="exact"/>
        <w:ind w:firstLine="0"/>
        <w:jc w:val="center"/>
        <w:rPr>
          <w:szCs w:val="18"/>
        </w:rPr>
      </w:pPr>
    </w:p>
    <w:tbl>
      <w:tblPr>
        <w:tblW w:w="81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5787"/>
        <w:gridCol w:w="1417"/>
      </w:tblGrid>
      <w:tr w:rsidR="00083778" w:rsidRPr="00CE4951" w:rsidTr="005468B5">
        <w:trPr>
          <w:trHeight w:val="297"/>
          <w:jc w:val="center"/>
        </w:trPr>
        <w:tc>
          <w:tcPr>
            <w:tcW w:w="811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1B1163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Instituto de Catastro del Estado de Tlaxcala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Conciliación entre los Ingresos Presupuestarios y Contables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083778" w:rsidP="00BA0835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Correspondiente del 01 de enero al 3</w:t>
            </w:r>
            <w:r w:rsidR="00BA083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 de</w:t>
            </w:r>
            <w:r w:rsidR="006C5145"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BA083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diciembre </w:t>
            </w: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de 20</w:t>
            </w:r>
            <w:r w:rsidR="005F6932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083778" w:rsidRPr="00CE4951" w:rsidTr="00426D93">
        <w:trPr>
          <w:trHeight w:val="66"/>
          <w:jc w:val="center"/>
        </w:trPr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(Cifras en pesos)</w:t>
            </w:r>
          </w:p>
        </w:tc>
      </w:tr>
      <w:tr w:rsidR="00083778" w:rsidRPr="00CE4951" w:rsidTr="005468B5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1. Ingresos Presupuestarios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C6753" w:rsidRPr="00CE4951" w:rsidRDefault="00083778" w:rsidP="00BA0835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BA083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6,188,162.00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3778" w:rsidRPr="00CE4951" w:rsidTr="005468B5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2. Más ingresos contables no presupuestarios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3778" w:rsidRPr="00CE4951" w:rsidRDefault="00083778" w:rsidP="006C51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</w:t>
            </w:r>
            <w:r w:rsidR="006C5145"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Ingresos financieros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6C5145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2.2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Incremento por variación de inventarios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6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2.3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Disminución del exceso de estimaciones por pérdida o Deterioro u Obsolescencia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2.4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Disminución del exceso de provisiones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2.5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Otros ingresos y beneficios varios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2.6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Otros ingresos contables no presupuestarios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3778" w:rsidRPr="00CE4951" w:rsidTr="005468B5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3. Menos ingresos presupuestarios no contables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3.1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Aprovechamientos capital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3.2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3.3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Otros Ingresos presupuestarios no contables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3778" w:rsidRPr="00CE4951" w:rsidTr="005468B5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4. Total de Ingresos Contables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083778" w:rsidP="00BA0835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BA083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6,188,162.00</w:t>
            </w:r>
          </w:p>
        </w:tc>
      </w:tr>
    </w:tbl>
    <w:p w:rsidR="00F24F9A" w:rsidRDefault="00F24F9A" w:rsidP="000E7712">
      <w:pPr>
        <w:pStyle w:val="Texto"/>
        <w:spacing w:after="0" w:line="240" w:lineRule="exact"/>
        <w:ind w:firstLine="0"/>
        <w:rPr>
          <w:szCs w:val="18"/>
        </w:rPr>
      </w:pPr>
    </w:p>
    <w:p w:rsidR="00135160" w:rsidRDefault="00135160" w:rsidP="000E7712">
      <w:pPr>
        <w:pStyle w:val="Texto"/>
        <w:spacing w:after="0" w:line="240" w:lineRule="exact"/>
        <w:ind w:firstLine="0"/>
        <w:rPr>
          <w:szCs w:val="18"/>
        </w:rPr>
      </w:pPr>
    </w:p>
    <w:p w:rsidR="00135160" w:rsidRDefault="00135160" w:rsidP="000E7712">
      <w:pPr>
        <w:pStyle w:val="Texto"/>
        <w:spacing w:after="0" w:line="240" w:lineRule="exact"/>
        <w:ind w:firstLine="0"/>
        <w:rPr>
          <w:szCs w:val="18"/>
        </w:rPr>
      </w:pPr>
    </w:p>
    <w:p w:rsidR="00135160" w:rsidRDefault="00135160" w:rsidP="000E7712">
      <w:pPr>
        <w:pStyle w:val="Texto"/>
        <w:spacing w:after="0" w:line="240" w:lineRule="exact"/>
        <w:ind w:firstLine="0"/>
        <w:rPr>
          <w:szCs w:val="18"/>
        </w:rPr>
      </w:pPr>
    </w:p>
    <w:p w:rsidR="00135160" w:rsidRDefault="00135160" w:rsidP="000E7712">
      <w:pPr>
        <w:pStyle w:val="Texto"/>
        <w:spacing w:after="0" w:line="240" w:lineRule="exact"/>
        <w:ind w:firstLine="0"/>
        <w:rPr>
          <w:szCs w:val="18"/>
        </w:rPr>
      </w:pPr>
    </w:p>
    <w:p w:rsidR="00135160" w:rsidRDefault="00135160" w:rsidP="000E7712">
      <w:pPr>
        <w:pStyle w:val="Texto"/>
        <w:spacing w:after="0" w:line="240" w:lineRule="exact"/>
        <w:ind w:firstLine="0"/>
        <w:rPr>
          <w:szCs w:val="18"/>
        </w:rPr>
      </w:pPr>
    </w:p>
    <w:tbl>
      <w:tblPr>
        <w:tblW w:w="62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3434"/>
        <w:gridCol w:w="945"/>
      </w:tblGrid>
      <w:tr w:rsidR="001B1163" w:rsidRPr="001B1163" w:rsidTr="00F24F9A">
        <w:trPr>
          <w:trHeight w:val="144"/>
          <w:jc w:val="center"/>
        </w:trPr>
        <w:tc>
          <w:tcPr>
            <w:tcW w:w="621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Instituto de Catastro del Estado de Tlaxcala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62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Conciliación entre los Egresos Presupuestarios y los Gastos Contables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62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BA0835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Correspondiente del 01 de enero al </w:t>
            </w:r>
            <w:r w:rsidR="0068486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3</w:t>
            </w:r>
            <w:r w:rsidR="00BA083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 de</w:t>
            </w:r>
            <w:r w:rsidR="00BA083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 diciembre </w:t>
            </w: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de 20</w:t>
            </w:r>
            <w:r w:rsidR="005468B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20</w:t>
            </w:r>
          </w:p>
        </w:tc>
      </w:tr>
      <w:tr w:rsidR="001B1163" w:rsidRPr="001B1163" w:rsidTr="00F24F9A">
        <w:trPr>
          <w:trHeight w:val="150"/>
          <w:jc w:val="center"/>
        </w:trPr>
        <w:tc>
          <w:tcPr>
            <w:tcW w:w="62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(Cifras en pesos)</w:t>
            </w:r>
          </w:p>
        </w:tc>
      </w:tr>
      <w:tr w:rsidR="001B1163" w:rsidRPr="001B1163" w:rsidTr="00F24F9A">
        <w:trPr>
          <w:trHeight w:val="150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1. Total de egresos presupuestarios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BA0835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$</w:t>
            </w:r>
            <w:r w:rsidR="00BA083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5,526,000.00</w:t>
            </w:r>
          </w:p>
        </w:tc>
      </w:tr>
      <w:tr w:rsidR="001B1163" w:rsidRPr="001B1163" w:rsidTr="00F24F9A">
        <w:trPr>
          <w:trHeight w:val="5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1163" w:rsidRPr="001B1163" w:rsidTr="00F24F9A">
        <w:trPr>
          <w:trHeight w:val="150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2. Menos egresos presupuestarios no contables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163" w:rsidRPr="00BA0835" w:rsidRDefault="001B1163" w:rsidP="00BA08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BA083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es-MX"/>
              </w:rPr>
              <w:t>$</w:t>
            </w:r>
            <w:r w:rsidR="00BA0835" w:rsidRPr="00BA083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es-MX"/>
              </w:rPr>
              <w:t>27</w:t>
            </w:r>
            <w:r w:rsidR="00BA083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es-MX"/>
              </w:rPr>
              <w:t>,</w:t>
            </w:r>
            <w:r w:rsidR="00BA0835" w:rsidRPr="00BA083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es-MX"/>
              </w:rPr>
              <w:t>000.00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Materias Primas y materiales de Producción y Comercialización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92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Materiales y suministros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Mobiliario y Equipo de Administración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5468B5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</w:t>
            </w:r>
            <w:r w:rsidR="00BA0835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27,000.00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Mobiliario y Equipo Educacional y Recreativo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Equipo e instrumental Médico y de Laboratorio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Vehículos y Equ</w:t>
            </w:r>
            <w:r w:rsidR="005B136D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i</w:t>
            </w: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pos de Transporte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Equipo de Defensa y seguridad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Maquinaria, Otros equipos y Herramientas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Activos Biológicos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Bienes Inmuebles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Activos Intangibles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Obra Pública en Bienes de Dominio Público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Obra pública en bienes en Bienes Propios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Acciones y Participaciones de Capital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Compra de Títulos y Valores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Concesión de Préstamos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Inversiones en Fideicomisos, Mandatos y otros Análogos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Provisiones para Contingencias y Otras erogaciones Especiales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Amortización de la Deuda Pública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Adeudos de ejercicios fiscales anteriores (ADEFAS)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2.21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Otros Egresos presupuestarios No Contables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1163" w:rsidRPr="001B1163" w:rsidTr="00F24F9A">
        <w:trPr>
          <w:trHeight w:val="150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3. Más Gasto Contables No Presupuestales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421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Estimaciones, depreciaciones, deterioros, obsolescencia y amortizaciones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Provisiones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Disminución de inventarios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421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Aumento por insuficiencia de estimaciones por pérdida o deterioro u obsolescencia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Aumento por insuficiencia de provisiones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Otros Gastos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Otros Gastos Contables No Presupuestales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1163" w:rsidRPr="001B1163" w:rsidTr="00F24F9A">
        <w:trPr>
          <w:trHeight w:val="150"/>
          <w:jc w:val="center"/>
        </w:trPr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4. Total de Gasto Contable</w:t>
            </w: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84861" w:rsidRPr="001B1163" w:rsidRDefault="001B1163" w:rsidP="00BA0835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$</w:t>
            </w:r>
            <w:r w:rsidR="00BA083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5,499,000.00</w:t>
            </w:r>
          </w:p>
        </w:tc>
      </w:tr>
    </w:tbl>
    <w:p w:rsidR="000E7712" w:rsidRDefault="00147276" w:rsidP="00147276">
      <w:pPr>
        <w:pStyle w:val="Texto"/>
        <w:spacing w:after="0" w:line="240" w:lineRule="exact"/>
        <w:ind w:firstLine="0"/>
        <w:jc w:val="center"/>
        <w:rPr>
          <w:szCs w:val="18"/>
        </w:rPr>
      </w:pPr>
      <w:r w:rsidRPr="000F6B3C">
        <w:rPr>
          <w:szCs w:val="18"/>
        </w:rPr>
        <w:t xml:space="preserve"> 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b/>
          <w:szCs w:val="18"/>
        </w:rPr>
        <w:lastRenderedPageBreak/>
        <w:t>b)</w:t>
      </w:r>
      <w:r w:rsidRPr="000F6B3C">
        <w:rPr>
          <w:szCs w:val="18"/>
        </w:rPr>
        <w:t xml:space="preserve"> </w:t>
      </w:r>
      <w:r w:rsidRPr="000F6B3C">
        <w:rPr>
          <w:b/>
          <w:szCs w:val="18"/>
          <w:lang w:val="es-MX"/>
        </w:rPr>
        <w:t>N</w:t>
      </w:r>
      <w:r w:rsidR="000E7712">
        <w:rPr>
          <w:b/>
          <w:szCs w:val="18"/>
          <w:lang w:val="es-MX"/>
        </w:rPr>
        <w:t xml:space="preserve"> </w:t>
      </w:r>
      <w:r w:rsidRPr="000F6B3C">
        <w:rPr>
          <w:b/>
          <w:szCs w:val="18"/>
          <w:lang w:val="es-MX"/>
        </w:rPr>
        <w:t>OTAS DE MEMORIA (CUENTAS DE ORDEN)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856D32" w:rsidRDefault="00856D32" w:rsidP="00856D32">
      <w:pPr>
        <w:pStyle w:val="Texto"/>
        <w:spacing w:after="0" w:line="240" w:lineRule="exact"/>
        <w:ind w:firstLine="0"/>
        <w:rPr>
          <w:szCs w:val="18"/>
        </w:rPr>
      </w:pPr>
      <w:r>
        <w:rPr>
          <w:szCs w:val="18"/>
        </w:rPr>
        <w:t>No se registraron movimientos en las cuentas de orden Contables</w:t>
      </w:r>
      <w:r w:rsidR="004219A4">
        <w:rPr>
          <w:szCs w:val="18"/>
        </w:rPr>
        <w:t xml:space="preserve"> ya que son cuentas que no maneja el IDC</w:t>
      </w:r>
      <w:r>
        <w:rPr>
          <w:szCs w:val="18"/>
        </w:rPr>
        <w:t xml:space="preserve">: </w:t>
      </w:r>
    </w:p>
    <w:p w:rsidR="00856D32" w:rsidRPr="00856D32" w:rsidRDefault="00856D32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</w:rPr>
      </w:pPr>
      <w:r w:rsidRPr="000F6B3C">
        <w:rPr>
          <w:b/>
          <w:szCs w:val="18"/>
        </w:rPr>
        <w:t>Cuentas de Orden Contables: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0F6B3C">
        <w:rPr>
          <w:i/>
          <w:szCs w:val="18"/>
        </w:rPr>
        <w:t>Contables: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Valores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Emisión de obligaciones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Avales y garantías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Juicios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Contratos para Inversión Mediante Proyectos para Prestación de Servicios (PPS) y Similares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Bienes concesionados o en comodato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</w:p>
    <w:p w:rsidR="00856D32" w:rsidRDefault="00856D32" w:rsidP="00856D32">
      <w:pPr>
        <w:pStyle w:val="Texto"/>
        <w:spacing w:after="0" w:line="240" w:lineRule="exact"/>
        <w:ind w:firstLine="0"/>
        <w:rPr>
          <w:szCs w:val="18"/>
        </w:rPr>
      </w:pPr>
      <w:r w:rsidRPr="00856D32">
        <w:rPr>
          <w:szCs w:val="18"/>
        </w:rPr>
        <w:t xml:space="preserve">Y con lo que respecta a las cuentas de orden </w:t>
      </w:r>
      <w:r w:rsidRPr="00856D32">
        <w:rPr>
          <w:b/>
          <w:szCs w:val="18"/>
        </w:rPr>
        <w:t>Presupuestarias</w:t>
      </w:r>
      <w:r w:rsidRPr="00856D32">
        <w:rPr>
          <w:szCs w:val="18"/>
        </w:rPr>
        <w:t>, no hay información a revelar.</w:t>
      </w:r>
    </w:p>
    <w:p w:rsidR="009C5F09" w:rsidRPr="00856D32" w:rsidRDefault="009C5F09" w:rsidP="00856D32">
      <w:pPr>
        <w:pStyle w:val="Texto"/>
        <w:spacing w:after="0" w:line="240" w:lineRule="exact"/>
        <w:ind w:firstLine="0"/>
        <w:rPr>
          <w:i/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0F6B3C">
        <w:rPr>
          <w:i/>
          <w:szCs w:val="18"/>
        </w:rPr>
        <w:t>Presupuestarias: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Cuentas de ingresos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Cuentas de egresos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  <w:r w:rsidRPr="000F6B3C">
        <w:rPr>
          <w:szCs w:val="18"/>
        </w:rPr>
        <w:t>Se informará,</w:t>
      </w:r>
      <w:r w:rsidRPr="000F6B3C">
        <w:rPr>
          <w:szCs w:val="18"/>
          <w:lang w:val="es-MX"/>
        </w:rPr>
        <w:t xml:space="preserve"> de manera agrupada, en las notas a los Estados Financieros las cuentas de orden contables y cuentas de orden presupuestario: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1. Los valores en custodia de instrumentos prestados a formadores de mercado e instrumentos de crédito recibidos en garantía de los formadores de mercado u otros.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 Por tipo de emisión de instrumento: monto, tasa y vencimiento.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3. Los contratos firmados de construcciones por tipo de contrato.</w:t>
      </w:r>
    </w:p>
    <w:p w:rsidR="00147276" w:rsidRDefault="00147276" w:rsidP="00147276">
      <w:pPr>
        <w:pStyle w:val="Texto"/>
        <w:spacing w:after="0" w:line="240" w:lineRule="exact"/>
        <w:rPr>
          <w:szCs w:val="18"/>
        </w:rPr>
      </w:pPr>
    </w:p>
    <w:p w:rsidR="0012585F" w:rsidRPr="000F6B3C" w:rsidRDefault="0012585F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c) NOTAS DE GESTIÓN ADMINISTRATIVA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0B062C" w:rsidRPr="000F6B3C" w:rsidRDefault="00147276" w:rsidP="000B062C">
      <w:pPr>
        <w:pStyle w:val="Texto"/>
        <w:spacing w:after="0" w:line="240" w:lineRule="exact"/>
        <w:rPr>
          <w:b/>
          <w:szCs w:val="18"/>
        </w:rPr>
      </w:pPr>
      <w:r w:rsidRPr="000F6B3C">
        <w:rPr>
          <w:b/>
          <w:szCs w:val="18"/>
          <w:lang w:val="es-MX"/>
        </w:rPr>
        <w:t>1.</w:t>
      </w:r>
      <w:r w:rsidRPr="000F6B3C">
        <w:rPr>
          <w:b/>
          <w:szCs w:val="18"/>
          <w:lang w:val="es-MX"/>
        </w:rPr>
        <w:tab/>
      </w:r>
      <w:r w:rsidR="000B062C" w:rsidRPr="000F6B3C">
        <w:rPr>
          <w:b/>
          <w:szCs w:val="18"/>
          <w:lang w:val="es-MX"/>
        </w:rPr>
        <w:t>Introducción</w:t>
      </w: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Los Estados Financieros del Instituto de Catastro del Estado de Tlaxcala, proveen de información financiera a los principales usuarios de la misma, al Congreso y a los ciudadanos.</w:t>
      </w: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El objetivo del presente documento es proporcionar información relevante de los aspectos económicos-financieros que influyeron en las deci</w:t>
      </w:r>
      <w:r>
        <w:rPr>
          <w:szCs w:val="18"/>
        </w:rPr>
        <w:t>siones d</w:t>
      </w:r>
      <w:r w:rsidR="005468B5">
        <w:rPr>
          <w:szCs w:val="18"/>
        </w:rPr>
        <w:t>el ejercicio fiscal 2020</w:t>
      </w:r>
      <w:r w:rsidRPr="000F6B3C">
        <w:rPr>
          <w:szCs w:val="18"/>
        </w:rPr>
        <w:t xml:space="preserve"> y que fueron considerados en la elaboración de los estados financieros para la mayor comprensión de los mismos y sus particularidades.</w:t>
      </w:r>
    </w:p>
    <w:p w:rsidR="00856D32" w:rsidRDefault="00856D32" w:rsidP="000B062C">
      <w:pPr>
        <w:pStyle w:val="Texto"/>
        <w:spacing w:after="0" w:line="240" w:lineRule="exact"/>
        <w:rPr>
          <w:szCs w:val="18"/>
        </w:rPr>
      </w:pPr>
    </w:p>
    <w:p w:rsidR="000B062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 xml:space="preserve">Para el Instituto de Catastro del Estado de Tlaxcala, </w:t>
      </w:r>
      <w:r w:rsidR="00D112CC">
        <w:rPr>
          <w:szCs w:val="18"/>
        </w:rPr>
        <w:t>está dando</w:t>
      </w:r>
      <w:r w:rsidRPr="000F6B3C">
        <w:rPr>
          <w:szCs w:val="18"/>
        </w:rPr>
        <w:t xml:space="preserve"> cumplimiento a la Ley General</w:t>
      </w:r>
      <w:r w:rsidR="00D112CC">
        <w:rPr>
          <w:szCs w:val="18"/>
        </w:rPr>
        <w:t xml:space="preserve"> de Contabilidad Gubernamental.</w:t>
      </w:r>
    </w:p>
    <w:p w:rsidR="00D112CC" w:rsidRDefault="00D112CC" w:rsidP="000B062C">
      <w:pPr>
        <w:pStyle w:val="Texto"/>
        <w:spacing w:after="0" w:line="240" w:lineRule="exact"/>
        <w:rPr>
          <w:szCs w:val="18"/>
        </w:rPr>
      </w:pPr>
    </w:p>
    <w:p w:rsidR="00D112CC" w:rsidRDefault="00D112CC" w:rsidP="000B062C">
      <w:pPr>
        <w:pStyle w:val="Texto"/>
        <w:spacing w:after="0" w:line="240" w:lineRule="exact"/>
        <w:rPr>
          <w:szCs w:val="18"/>
        </w:rPr>
      </w:pPr>
    </w:p>
    <w:p w:rsidR="009477DA" w:rsidRPr="000F6B3C" w:rsidRDefault="009477DA" w:rsidP="000B062C">
      <w:pPr>
        <w:pStyle w:val="Texto"/>
        <w:spacing w:after="0" w:line="240" w:lineRule="exact"/>
        <w:rPr>
          <w:szCs w:val="18"/>
        </w:rPr>
      </w:pPr>
    </w:p>
    <w:p w:rsidR="000B062C" w:rsidRPr="000F6B3C" w:rsidRDefault="000B062C" w:rsidP="000B062C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2.</w:t>
      </w:r>
      <w:r w:rsidRPr="000F6B3C">
        <w:rPr>
          <w:b/>
          <w:szCs w:val="18"/>
          <w:lang w:val="es-MX"/>
        </w:rPr>
        <w:tab/>
        <w:t>Panorama Económico y Financiero</w:t>
      </w:r>
    </w:p>
    <w:p w:rsidR="0012585F" w:rsidRPr="005468B5" w:rsidRDefault="000B062C" w:rsidP="005468B5">
      <w:pPr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>El Instituto de Catas</w:t>
      </w:r>
      <w:r w:rsidR="00B424AC" w:rsidRPr="005468B5">
        <w:rPr>
          <w:rFonts w:ascii="Arial" w:eastAsia="Times New Roman" w:hAnsi="Arial" w:cs="Arial"/>
          <w:sz w:val="18"/>
          <w:szCs w:val="18"/>
          <w:lang w:val="es-ES" w:eastAsia="es-ES"/>
        </w:rPr>
        <w:t>tro del Estado de Tlaxcala cue</w:t>
      </w:r>
      <w:r w:rsidR="00F630FF" w:rsidRPr="005468B5">
        <w:rPr>
          <w:rFonts w:ascii="Arial" w:eastAsia="Times New Roman" w:hAnsi="Arial" w:cs="Arial"/>
          <w:sz w:val="18"/>
          <w:szCs w:val="18"/>
          <w:lang w:val="es-ES" w:eastAsia="es-ES"/>
        </w:rPr>
        <w:t>nta</w:t>
      </w: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con un presupuesto autorizado y publicado en el periódico oficial del Gobierno del Estado de Tlaxcala, de</w:t>
      </w:r>
      <w:r w:rsidR="00EA12F8"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$</w:t>
      </w:r>
      <w:r w:rsid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6,194,012.00 </w:t>
      </w:r>
      <w:r w:rsidR="00BC7FE0"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D112CC" w:rsidRPr="005468B5">
        <w:rPr>
          <w:rFonts w:ascii="Arial" w:eastAsia="Times New Roman" w:hAnsi="Arial" w:cs="Arial"/>
          <w:sz w:val="18"/>
          <w:szCs w:val="18"/>
          <w:lang w:val="es-ES" w:eastAsia="es-ES"/>
        </w:rPr>
        <w:t>publicado e</w:t>
      </w:r>
      <w:r w:rsidR="005468B5" w:rsidRPr="005468B5">
        <w:rPr>
          <w:rFonts w:ascii="Arial" w:eastAsia="Times New Roman" w:hAnsi="Arial" w:cs="Arial"/>
          <w:sz w:val="18"/>
          <w:szCs w:val="18"/>
          <w:lang w:val="es-ES" w:eastAsia="es-ES"/>
        </w:rPr>
        <w:t>l 24</w:t>
      </w:r>
      <w:r w:rsidR="00D112CC"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de </w:t>
      </w:r>
      <w:r w:rsidR="005468B5"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diciembre </w:t>
      </w:r>
      <w:r w:rsidR="00D112CC" w:rsidRPr="005468B5">
        <w:rPr>
          <w:rFonts w:ascii="Arial" w:eastAsia="Times New Roman" w:hAnsi="Arial" w:cs="Arial"/>
          <w:sz w:val="18"/>
          <w:szCs w:val="18"/>
          <w:lang w:val="es-ES" w:eastAsia="es-ES"/>
        </w:rPr>
        <w:t>de 2019 en el peri</w:t>
      </w:r>
      <w:r w:rsidR="005468B5" w:rsidRPr="005468B5">
        <w:rPr>
          <w:rFonts w:ascii="Arial" w:eastAsia="Times New Roman" w:hAnsi="Arial" w:cs="Arial"/>
          <w:sz w:val="18"/>
          <w:szCs w:val="18"/>
          <w:lang w:val="es-ES" w:eastAsia="es-ES"/>
        </w:rPr>
        <w:t>ódico oficial el Decreto No. 19</w:t>
      </w:r>
      <w:r w:rsidR="002677CC">
        <w:rPr>
          <w:rFonts w:ascii="Arial" w:eastAsia="Times New Roman" w:hAnsi="Arial" w:cs="Arial"/>
          <w:sz w:val="18"/>
          <w:szCs w:val="18"/>
          <w:lang w:val="es-ES" w:eastAsia="es-ES"/>
        </w:rPr>
        <w:t>0  y un</w:t>
      </w:r>
      <w:r w:rsidR="0012585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presupuesto modificado</w:t>
      </w:r>
      <w:r w:rsidR="0013516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BF0F5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al 31 de diciembre </w:t>
      </w:r>
      <w:r w:rsidR="00135160">
        <w:rPr>
          <w:rFonts w:ascii="Arial" w:eastAsia="Times New Roman" w:hAnsi="Arial" w:cs="Arial"/>
          <w:sz w:val="18"/>
          <w:szCs w:val="18"/>
          <w:lang w:val="es-ES" w:eastAsia="es-ES"/>
        </w:rPr>
        <w:t>de</w:t>
      </w:r>
      <w:r w:rsidR="0012585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$</w:t>
      </w:r>
      <w:r w:rsidR="00BA0835">
        <w:rPr>
          <w:rFonts w:ascii="Arial" w:eastAsia="Times New Roman" w:hAnsi="Arial" w:cs="Arial"/>
          <w:sz w:val="18"/>
          <w:szCs w:val="18"/>
          <w:lang w:val="es-ES" w:eastAsia="es-ES"/>
        </w:rPr>
        <w:t>6,188,116.00</w:t>
      </w:r>
      <w:r w:rsidR="0012585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por aplicación de </w:t>
      </w:r>
      <w:r w:rsidR="0012585F" w:rsidRPr="0012585F">
        <w:rPr>
          <w:rFonts w:ascii="Arial" w:eastAsia="Times New Roman" w:hAnsi="Arial" w:cs="Arial"/>
          <w:sz w:val="18"/>
          <w:szCs w:val="18"/>
          <w:lang w:val="es-ES" w:eastAsia="es-ES"/>
        </w:rPr>
        <w:t>Reducción del 5% al Presupuesto Anual Autorizado 2020, dando así cumplimiento al ACUERDO QUE ESTABLECE LOS LINEAMIENTOS Y POLÍTICAS GENERALES DEL EJERCICIO DEL PRESUPUESTO, LAS MEDIDAS DE MEJORA Y MODERNIZACIÓN, ASÍ COMO DE AUSTERIDAD DEL GASTO PÚBLICO DE LA GESTIÓN ADMINISTRATIVA, PUBLICADO el 14 de FEBRERO  DE 2020, ARTÍCULOS 1 Y 2, FRACCIÓN III, misma que asciende a la cantidad de $309,700.00 (TRESCIENTOS NUEVE MIL SETECIENTOS PESOS 00/100 M.N)</w:t>
      </w:r>
      <w:r w:rsidR="00BA083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y ampliación autorizada </w:t>
      </w:r>
      <w:r w:rsidR="00A15EA9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al final del ejercicio </w:t>
      </w:r>
      <w:r w:rsidR="00BA0835">
        <w:rPr>
          <w:rFonts w:ascii="Arial" w:eastAsia="Times New Roman" w:hAnsi="Arial" w:cs="Arial"/>
          <w:sz w:val="18"/>
          <w:szCs w:val="18"/>
          <w:lang w:val="es-ES" w:eastAsia="es-ES"/>
        </w:rPr>
        <w:t>por la Secretaría de Planeación y Finanzas por el importe de $303,804.00</w:t>
      </w:r>
      <w:r w:rsidR="00BF0F5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(trescientos tres mil ochoci</w:t>
      </w:r>
      <w:r w:rsidR="00A15EA9">
        <w:rPr>
          <w:rFonts w:ascii="Arial" w:eastAsia="Times New Roman" w:hAnsi="Arial" w:cs="Arial"/>
          <w:sz w:val="18"/>
          <w:szCs w:val="18"/>
          <w:lang w:val="es-ES" w:eastAsia="es-ES"/>
        </w:rPr>
        <w:t>entos cuatro pesos 00/100 M.N.), para atender la necesidad generada por un desastre informático (área SITE).</w:t>
      </w:r>
    </w:p>
    <w:p w:rsidR="00D112CC" w:rsidRPr="00A3276E" w:rsidRDefault="00D112CC" w:rsidP="00C84D5F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3.</w:t>
      </w:r>
      <w:r w:rsidRPr="000F6B3C">
        <w:rPr>
          <w:b/>
          <w:szCs w:val="18"/>
          <w:lang w:val="es-MX"/>
        </w:rPr>
        <w:tab/>
        <w:t>Autorización e Historia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El Instituto de Catastro fu</w:t>
      </w:r>
      <w:r w:rsidR="00165D15">
        <w:t>e creado el 13</w:t>
      </w:r>
      <w:r w:rsidR="00EA12F8">
        <w:t xml:space="preserve"> de enero de 2005</w:t>
      </w:r>
      <w:r w:rsidRPr="000F6B3C">
        <w:t>, tal y como lo establece el Decreto que crea el Instituto de Catastro del Estado de Tlaxcala, publicado en el Periódico Oficial del Gobierno del Estado de Tlaxcala.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ha presentado cambios en su estructura.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4.</w:t>
      </w:r>
      <w:r w:rsidRPr="000F6B3C">
        <w:rPr>
          <w:b/>
          <w:szCs w:val="18"/>
          <w:lang w:val="es-MX"/>
        </w:rPr>
        <w:tab/>
        <w:t>Organización y Objeto Social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Objeto social: Coadyuvar al fortalecimiento de las haciendas públicas estatales, municipales a través de la modernización del catastro de la entidad.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Principal actividad: Mantener actualizado el inventario de los bienes Inmuebles del Estado.</w:t>
      </w:r>
    </w:p>
    <w:p w:rsidR="00B424AC" w:rsidRDefault="005468B5" w:rsidP="00147276">
      <w:pPr>
        <w:pStyle w:val="INCISO"/>
        <w:spacing w:after="0" w:line="240" w:lineRule="exact"/>
      </w:pPr>
      <w:r>
        <w:t>c)</w:t>
      </w:r>
      <w:r>
        <w:tab/>
        <w:t>Ejercicio fiscal: 2020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Régimen jurídico: Organismo público desc</w:t>
      </w:r>
      <w:r w:rsidR="00D112CC">
        <w:t>entralizado</w:t>
      </w:r>
      <w:r w:rsidRPr="000F6B3C">
        <w:t>.</w:t>
      </w:r>
    </w:p>
    <w:p w:rsidR="00D112CC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Consideraciones fiscales del ente: El Instituto de Ca</w:t>
      </w:r>
      <w:r w:rsidR="006A03B8">
        <w:t xml:space="preserve">tastro </w:t>
      </w:r>
      <w:r w:rsidR="00D112CC">
        <w:t xml:space="preserve">sólo está obligado a cumplir con el </w:t>
      </w:r>
      <w:r w:rsidR="00D45351">
        <w:t>impuesto sobre nómina</w:t>
      </w:r>
      <w:r w:rsidR="00D112CC">
        <w:t>, sin embargo el pago está a cargo de la Secretaría de Planeación y Finanzas.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f)</w:t>
      </w:r>
      <w:r w:rsidRPr="000F6B3C">
        <w:tab/>
        <w:t xml:space="preserve">Estructura organizacional básica: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1 Director General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4 Jefes de departamento (Administrativo, valuación, topografía y gestión y coordinación).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2 Jefes de Oficina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 xml:space="preserve">4 </w:t>
      </w:r>
      <w:r w:rsidR="0032061F">
        <w:t>A</w:t>
      </w:r>
      <w:r w:rsidRPr="000F6B3C">
        <w:t>nalistas</w:t>
      </w:r>
      <w:r w:rsidR="005468B5">
        <w:t xml:space="preserve"> (3 vigentes y 1 vacante).  </w:t>
      </w:r>
    </w:p>
    <w:p w:rsidR="00147276" w:rsidRPr="000F6B3C" w:rsidRDefault="0032061F" w:rsidP="00147276">
      <w:pPr>
        <w:pStyle w:val="INCISO"/>
        <w:spacing w:after="0" w:line="240" w:lineRule="exact"/>
      </w:pPr>
      <w:r>
        <w:t>1 A</w:t>
      </w:r>
      <w:r w:rsidR="00147276" w:rsidRPr="000F6B3C">
        <w:t>uxiliar de mantenimiento</w:t>
      </w:r>
    </w:p>
    <w:p w:rsidR="00147276" w:rsidRDefault="00147276" w:rsidP="00147276">
      <w:pPr>
        <w:pStyle w:val="INCISO"/>
        <w:spacing w:after="0" w:line="240" w:lineRule="exact"/>
      </w:pPr>
      <w:r>
        <w:t>1 Auxiliar administrativo</w:t>
      </w:r>
    </w:p>
    <w:p w:rsidR="00147276" w:rsidRDefault="00147276" w:rsidP="00147276">
      <w:pPr>
        <w:pStyle w:val="INCISO"/>
        <w:spacing w:after="0" w:line="240" w:lineRule="exact"/>
      </w:pPr>
      <w:r>
        <w:t>1 Auxiliar de archivo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g)   El Instituto de Catastro no tiene ni forma parte de Fideicomisos, mandatos y análogos de los cuales es fideicomitente o fiduciario, por lo que no hay información a revelar.</w:t>
      </w:r>
    </w:p>
    <w:p w:rsidR="00C962F5" w:rsidRPr="000F6B3C" w:rsidRDefault="00C962F5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5.</w:t>
      </w:r>
      <w:r w:rsidRPr="000F6B3C">
        <w:rPr>
          <w:b/>
          <w:szCs w:val="18"/>
          <w:lang w:val="es-MX"/>
        </w:rPr>
        <w:tab/>
        <w:t>Bases de Preparación de los Estados Financieros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lastRenderedPageBreak/>
        <w:t>a)</w:t>
      </w:r>
      <w:r w:rsidRPr="000F6B3C">
        <w:tab/>
        <w:t>Los Estado</w:t>
      </w:r>
      <w:r w:rsidR="000E7712">
        <w:t>s</w:t>
      </w:r>
      <w:r w:rsidRPr="000F6B3C">
        <w:t xml:space="preserve"> Financieros se han elaborado en base a la normatividad emitida por el CONAC y las disposiciones legales aplicables.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   El reconocimiento y valuación de los diferentes rubros de la información financiera, ha sido en base a costo histórico.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Se han observado los Postulados básicos emitidos por el CONAC para la elaboración y presentación de la información financiera.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 xml:space="preserve">No se aplica Normatividad supletoria. </w:t>
      </w:r>
    </w:p>
    <w:p w:rsidR="00147276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El Instituto de Catastro ha venido implementando la base devengado de acuerdo a la Ley General de Contabilidad Gubernamental.</w:t>
      </w:r>
    </w:p>
    <w:p w:rsidR="00135160" w:rsidRPr="000F6B3C" w:rsidRDefault="00135160" w:rsidP="00147276">
      <w:pPr>
        <w:pStyle w:val="INCISO"/>
        <w:spacing w:after="0" w:line="240" w:lineRule="exact"/>
      </w:pPr>
    </w:p>
    <w:p w:rsidR="00147276" w:rsidRDefault="00147276" w:rsidP="00147276">
      <w:pPr>
        <w:pStyle w:val="Texto"/>
        <w:spacing w:after="0" w:line="240" w:lineRule="exact"/>
        <w:ind w:left="1440" w:hanging="360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6.</w:t>
      </w:r>
      <w:r w:rsidRPr="000F6B3C">
        <w:rPr>
          <w:b/>
          <w:szCs w:val="18"/>
          <w:lang w:val="es-MX"/>
        </w:rPr>
        <w:tab/>
        <w:t>Políticas de Contabilidad Significativas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 xml:space="preserve">No se ha implementado algún método de Actualización del valor de los activos, pasivos y Hacienda Pública y/o patrimonio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se realizan operaciones en el extranjero por lo que no afecta la información financiera del IDC.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acciones en el Sector Paraestatal.</w:t>
      </w:r>
    </w:p>
    <w:p w:rsidR="00147276" w:rsidRPr="000F6B3C" w:rsidRDefault="001E49B1" w:rsidP="00147276">
      <w:pPr>
        <w:pStyle w:val="INCISO"/>
        <w:spacing w:after="0" w:line="240" w:lineRule="exact"/>
      </w:pPr>
      <w:r>
        <w:t>d)</w:t>
      </w:r>
      <w:r>
        <w:tab/>
      </w:r>
      <w:r w:rsidR="004526EF">
        <w:t>Se registra el valor de bienes en contabilidad en observancia a las R</w:t>
      </w:r>
      <w:r w:rsidR="00536D38">
        <w:t>eglas Específicas del Registro y Valoración del Patrimonio</w:t>
      </w:r>
      <w:r w:rsidR="004526EF">
        <w:t>,</w:t>
      </w:r>
      <w:r w:rsidR="00536D38">
        <w:t xml:space="preserve"> emitidas por la Secretaría de Hacienda y Crédito Público; </w:t>
      </w:r>
      <w:r w:rsidR="004526EF">
        <w:t xml:space="preserve">mismos con son considerados en los resguardos que emite el Sistema de Activos Gubernamentales (SAG) administrado por la Dirección </w:t>
      </w:r>
      <w:r w:rsidR="00536D38">
        <w:t xml:space="preserve">de Recursos Materiales, </w:t>
      </w:r>
      <w:r w:rsidR="004526EF">
        <w:t>Servicios y</w:t>
      </w:r>
      <w:r w:rsidR="004526EF" w:rsidRPr="004526EF">
        <w:t xml:space="preserve"> </w:t>
      </w:r>
      <w:r w:rsidR="004526EF">
        <w:t>Adquisiciones, de la Oficialía Mayor de Gobierno.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No se manejan Beneficios a empleados, toda vez que la nómina es calculada y pagada por el Gobierno del Estado a través de la Dirección de Recursos Humanos.</w:t>
      </w:r>
    </w:p>
    <w:p w:rsidR="00147276" w:rsidRPr="000F6B3C" w:rsidRDefault="00EA12F8" w:rsidP="00147276">
      <w:pPr>
        <w:pStyle w:val="INCISO"/>
        <w:spacing w:after="0" w:line="240" w:lineRule="exact"/>
      </w:pPr>
      <w:r>
        <w:t>f)</w:t>
      </w:r>
      <w:r>
        <w:tab/>
        <w:t>No</w:t>
      </w:r>
      <w:r w:rsidR="00147276" w:rsidRPr="000F6B3C">
        <w:t xml:space="preserve"> cuenta con pasivos por concepto de Provisiones</w:t>
      </w:r>
      <w:r w:rsidR="00147276">
        <w:t xml:space="preserve"> de gasto médico</w:t>
      </w:r>
      <w:r w:rsidR="00147276" w:rsidRPr="000F6B3C">
        <w:t>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g)</w:t>
      </w:r>
      <w:r w:rsidRPr="000F6B3C">
        <w:tab/>
        <w:t>No se cuenta con Reservas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h)</w:t>
      </w:r>
      <w:r w:rsidRPr="000F6B3C">
        <w:tab/>
        <w:t xml:space="preserve">No existieron Cambios en políticas contables ni corrección de errores.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i)</w:t>
      </w:r>
      <w:r w:rsidRPr="000F6B3C">
        <w:tab/>
        <w:t xml:space="preserve">No se registraron reclasificaciones </w:t>
      </w:r>
      <w:r>
        <w:t>durante el ejercicio fi</w:t>
      </w:r>
      <w:r w:rsidR="005468B5">
        <w:t>scal 2020</w:t>
      </w:r>
    </w:p>
    <w:p w:rsidR="00147276" w:rsidRDefault="00147276" w:rsidP="00147276">
      <w:pPr>
        <w:pStyle w:val="INCISO"/>
        <w:spacing w:after="0" w:line="240" w:lineRule="exact"/>
      </w:pPr>
      <w:r w:rsidRPr="000F6B3C">
        <w:t>j)</w:t>
      </w:r>
      <w:r w:rsidRPr="000F6B3C">
        <w:tab/>
        <w:t>No fue necesario depuración y cancelación de saldos.</w:t>
      </w:r>
    </w:p>
    <w:p w:rsidR="00C80645" w:rsidRPr="000F6B3C" w:rsidRDefault="005468B5" w:rsidP="005468B5">
      <w:pPr>
        <w:pStyle w:val="INCISO"/>
        <w:spacing w:after="0" w:line="240" w:lineRule="exact"/>
      </w:pPr>
      <w:r>
        <w:t xml:space="preserve">k)    Derivado de que los ingresos que percibe el Instituto de Catastro por parte de la Secretaría de Planeación y Finanzas es vía transferencias, por tanto a partir de la cuenta pública del 01 de enero del presente ejercicio fiscal, los ingresos son registrados en la cuenta 4221 “Transferencias” y no en la 4211 como anteriormente se realizaba, todo esto en base a las indicaciones emitidas por la Dirección de Contabilidad Gubernamental. Generando de esta manera que los ingresos sean clasificados en el rubro: </w:t>
      </w:r>
      <w:r w:rsidRPr="005468B5">
        <w:rPr>
          <w:b/>
        </w:rPr>
        <w:t>Ingresos de los Entes Públicos de los Poderes Legislativo y Judicial, de los Órganos Autónomos</w:t>
      </w:r>
      <w:r w:rsidR="00217732">
        <w:rPr>
          <w:b/>
        </w:rPr>
        <w:t xml:space="preserve"> </w:t>
      </w:r>
      <w:r w:rsidRPr="005468B5">
        <w:rPr>
          <w:b/>
        </w:rPr>
        <w:t>y del Sector Paraestatal o Paramunicipal, así como de las Empresas Productivas del Estado</w:t>
      </w:r>
      <w:r>
        <w:rPr>
          <w:b/>
        </w:rPr>
        <w:t xml:space="preserve"> “</w:t>
      </w:r>
      <w:r w:rsidRPr="005468B5">
        <w:rPr>
          <w:b/>
        </w:rPr>
        <w:t>TRANSFERENCIAS, ASIGNACIONES, SUBSIDIOS Y SUBVENCIONES, Y PENSIONES Y JUBILACIONES</w:t>
      </w:r>
      <w:r>
        <w:rPr>
          <w:b/>
        </w:rPr>
        <w:t>”.</w:t>
      </w:r>
    </w:p>
    <w:p w:rsidR="00147276" w:rsidRDefault="00147276" w:rsidP="00147276">
      <w:pPr>
        <w:pStyle w:val="INCISO"/>
        <w:spacing w:after="0" w:line="240" w:lineRule="exact"/>
        <w:ind w:left="0" w:firstLine="0"/>
      </w:pPr>
    </w:p>
    <w:p w:rsidR="00135160" w:rsidRPr="000F6B3C" w:rsidRDefault="00135160" w:rsidP="00147276">
      <w:pPr>
        <w:pStyle w:val="INCISO"/>
        <w:spacing w:after="0" w:line="240" w:lineRule="exact"/>
        <w:ind w:left="0" w:firstLine="0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7.</w:t>
      </w:r>
      <w:r w:rsidRPr="000F6B3C">
        <w:rPr>
          <w:b/>
          <w:szCs w:val="18"/>
          <w:lang w:val="es-MX"/>
        </w:rPr>
        <w:tab/>
        <w:t>Posición en Moneda Extranjera y Protección por Riesgo Cambiario</w:t>
      </w:r>
    </w:p>
    <w:p w:rsidR="00856D32" w:rsidRDefault="00856D32" w:rsidP="00147276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Las operaciones que realiza el Instituto de Catastro, son en Moneda Nacional, por lo que no hay información a revelar con respecto a Moneda Extranjera.</w:t>
      </w:r>
    </w:p>
    <w:p w:rsidR="00135160" w:rsidRDefault="00135160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856D32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 xml:space="preserve"> 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8. Reporte Analítico del Activo</w:t>
      </w:r>
    </w:p>
    <w:p w:rsidR="00147276" w:rsidRPr="000F6B3C" w:rsidRDefault="00147276" w:rsidP="00147276">
      <w:pPr>
        <w:pStyle w:val="Texto"/>
        <w:spacing w:after="0" w:line="240" w:lineRule="exact"/>
        <w:ind w:left="288"/>
        <w:rPr>
          <w:szCs w:val="18"/>
        </w:rPr>
      </w:pPr>
      <w:r w:rsidRPr="000F6B3C">
        <w:rPr>
          <w:szCs w:val="18"/>
        </w:rPr>
        <w:t>Se informa lo siguiente: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No se ha aplicado un método de depreciación ni amortización en los diferentes tipos de activos.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aplica cambios en el porcentaje de depreciación o valor residual de los activos.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realizan gastos capitalizados en el ejercicio, tanto financieros como de investigación y desarrollo.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lastRenderedPageBreak/>
        <w:t>d)</w:t>
      </w:r>
      <w:r w:rsidRPr="000F6B3C">
        <w:tab/>
        <w:t>No se registran inversiones financieras.</w:t>
      </w:r>
    </w:p>
    <w:p w:rsidR="005468B5" w:rsidRDefault="00147276" w:rsidP="00147276">
      <w:pPr>
        <w:pStyle w:val="INCISO"/>
        <w:spacing w:after="0" w:line="240" w:lineRule="exact"/>
      </w:pPr>
      <w:r>
        <w:t>e)</w:t>
      </w:r>
      <w:r>
        <w:tab/>
      </w:r>
      <w:r w:rsidR="005468B5">
        <w:t>No se</w:t>
      </w:r>
      <w:r w:rsidR="007C49B7">
        <w:t xml:space="preserve"> adquirieron </w:t>
      </w:r>
      <w:r w:rsidR="00922615">
        <w:t>bienes muebles</w:t>
      </w:r>
      <w:r w:rsidR="005468B5">
        <w:t>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f)</w:t>
      </w:r>
      <w:r w:rsidRPr="000F6B3C">
        <w:tab/>
        <w:t>No se tiene bienes en garantía, señalados en embargos, litigios, títulos de inversiones entregados en garantías, baja significativa del valor de inversiones financieras, etc.</w:t>
      </w:r>
    </w:p>
    <w:p w:rsidR="00147276" w:rsidRPr="000F6B3C" w:rsidRDefault="004219A4" w:rsidP="00147276">
      <w:pPr>
        <w:pStyle w:val="INCISO"/>
        <w:spacing w:after="0" w:line="240" w:lineRule="exact"/>
      </w:pPr>
      <w:r>
        <w:t>g)</w:t>
      </w:r>
      <w:r>
        <w:tab/>
        <w:t xml:space="preserve">No se realizaron </w:t>
      </w:r>
      <w:r w:rsidR="00147276" w:rsidRPr="000F6B3C">
        <w:t>el Desmantelamiento de Activos, procedimientos, implicaciones, efectos contables</w:t>
      </w:r>
    </w:p>
    <w:p w:rsidR="006F3103" w:rsidRDefault="00147276" w:rsidP="006F3103">
      <w:pPr>
        <w:pStyle w:val="Texto"/>
        <w:spacing w:after="0" w:line="240" w:lineRule="exact"/>
        <w:ind w:firstLine="706"/>
        <w:rPr>
          <w:szCs w:val="18"/>
          <w:lang w:val="es-MX"/>
        </w:rPr>
      </w:pPr>
      <w:r w:rsidRPr="000F6B3C">
        <w:rPr>
          <w:szCs w:val="18"/>
        </w:rPr>
        <w:t xml:space="preserve">h)   El IDC cuenta con activos como </w:t>
      </w:r>
      <w:r w:rsidRPr="000F6B3C">
        <w:rPr>
          <w:szCs w:val="18"/>
          <w:lang w:val="es-MX"/>
        </w:rPr>
        <w:t>Efectivo y Equivalentes, mismos que serán utilizados de manera eficiente para la operación del Instituto.</w:t>
      </w:r>
    </w:p>
    <w:p w:rsidR="000E7712" w:rsidRDefault="000E7712" w:rsidP="006F3103">
      <w:pPr>
        <w:pStyle w:val="Texto"/>
        <w:spacing w:after="0" w:line="240" w:lineRule="exact"/>
        <w:ind w:firstLine="706"/>
        <w:rPr>
          <w:szCs w:val="18"/>
          <w:lang w:val="es-MX"/>
        </w:rPr>
      </w:pPr>
    </w:p>
    <w:p w:rsidR="000E7712" w:rsidRPr="000F6B3C" w:rsidRDefault="000E7712" w:rsidP="006F3103">
      <w:pPr>
        <w:pStyle w:val="Texto"/>
        <w:spacing w:after="0" w:line="240" w:lineRule="exact"/>
        <w:ind w:firstLine="706"/>
        <w:rPr>
          <w:szCs w:val="18"/>
          <w:lang w:val="es-MX"/>
        </w:rPr>
      </w:pPr>
    </w:p>
    <w:p w:rsidR="00147276" w:rsidRPr="000F6B3C" w:rsidRDefault="00147276" w:rsidP="006F2D02">
      <w:pPr>
        <w:pStyle w:val="Texto"/>
        <w:spacing w:after="0" w:line="240" w:lineRule="exact"/>
        <w:ind w:firstLine="0"/>
        <w:rPr>
          <w:szCs w:val="18"/>
        </w:rPr>
      </w:pPr>
      <w:r w:rsidRPr="000F6B3C">
        <w:rPr>
          <w:szCs w:val="18"/>
        </w:rPr>
        <w:t>Adicionalmente, se deben incluir las explicaciones de las principales variaciones en el activo, en cuadros comparativos como sigue:</w:t>
      </w:r>
    </w:p>
    <w:p w:rsidR="006E5DB1" w:rsidRDefault="00147276" w:rsidP="00640FA3">
      <w:pPr>
        <w:pStyle w:val="INCISO"/>
        <w:spacing w:after="0" w:line="240" w:lineRule="exact"/>
      </w:pPr>
      <w:r w:rsidRPr="000F6B3C">
        <w:t>a)</w:t>
      </w:r>
      <w:r w:rsidRPr="000F6B3C">
        <w:tab/>
        <w:t>No se regi</w:t>
      </w:r>
      <w:r w:rsidR="00640FA3">
        <w:t>straron Inversiones en valores.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empresas de participación mayoritaria.</w:t>
      </w:r>
    </w:p>
    <w:p w:rsidR="00147276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No se tienen inversiones en empresas de participación minoritaria.</w:t>
      </w:r>
    </w:p>
    <w:p w:rsidR="00135160" w:rsidRDefault="00135160" w:rsidP="00147276">
      <w:pPr>
        <w:pStyle w:val="INCISO"/>
        <w:spacing w:after="0" w:line="240" w:lineRule="exact"/>
      </w:pPr>
    </w:p>
    <w:p w:rsidR="00246F85" w:rsidRPr="000F6B3C" w:rsidRDefault="00246F85" w:rsidP="00147276">
      <w:pPr>
        <w:pStyle w:val="INCISO"/>
        <w:spacing w:after="0" w:line="240" w:lineRule="exact"/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9.</w:t>
      </w:r>
      <w:r w:rsidRPr="000F6B3C">
        <w:rPr>
          <w:b/>
          <w:szCs w:val="18"/>
          <w:lang w:val="es-MX"/>
        </w:rPr>
        <w:tab/>
        <w:t>Fideicomisos, Mandatos y Análogos</w:t>
      </w:r>
    </w:p>
    <w:p w:rsidR="00147276" w:rsidRDefault="0053035D" w:rsidP="002B7947">
      <w:pPr>
        <w:pStyle w:val="INCISO"/>
        <w:spacing w:after="0" w:line="240" w:lineRule="auto"/>
      </w:pPr>
      <w:r>
        <w:t xml:space="preserve">No se cuentan con Fideicomisos, Mandatos y Análogos. </w:t>
      </w:r>
    </w:p>
    <w:p w:rsidR="00135160" w:rsidRDefault="00135160" w:rsidP="002B7947">
      <w:pPr>
        <w:pStyle w:val="INCISO"/>
        <w:spacing w:after="0" w:line="240" w:lineRule="auto"/>
      </w:pPr>
    </w:p>
    <w:p w:rsidR="002B7947" w:rsidRPr="000F6B3C" w:rsidRDefault="002B7947" w:rsidP="002B7947">
      <w:pPr>
        <w:pStyle w:val="INCISO"/>
        <w:spacing w:after="0" w:line="240" w:lineRule="auto"/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10.</w:t>
      </w:r>
      <w:r w:rsidRPr="000F6B3C">
        <w:rPr>
          <w:b/>
          <w:szCs w:val="18"/>
          <w:lang w:val="es-MX"/>
        </w:rPr>
        <w:tab/>
        <w:t>Reporte de la Recaudación</w:t>
      </w:r>
    </w:p>
    <w:p w:rsidR="00147276" w:rsidRDefault="0053035D" w:rsidP="002B7947">
      <w:pPr>
        <w:pStyle w:val="INCISO"/>
        <w:spacing w:after="0" w:line="240" w:lineRule="auto"/>
      </w:pPr>
      <w:r>
        <w:t>El Instituto de Catastro no registra recaudación.</w:t>
      </w:r>
    </w:p>
    <w:p w:rsidR="00135160" w:rsidRDefault="00135160" w:rsidP="002B7947">
      <w:pPr>
        <w:pStyle w:val="INCISO"/>
        <w:spacing w:after="0" w:line="240" w:lineRule="auto"/>
      </w:pPr>
    </w:p>
    <w:p w:rsidR="002B7947" w:rsidRPr="000F6B3C" w:rsidRDefault="002B7947" w:rsidP="002B7947">
      <w:pPr>
        <w:pStyle w:val="INCISO"/>
        <w:spacing w:after="0" w:line="240" w:lineRule="auto"/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11.</w:t>
      </w:r>
      <w:r w:rsidRPr="000F6B3C">
        <w:rPr>
          <w:b/>
          <w:szCs w:val="18"/>
          <w:lang w:val="es-MX"/>
        </w:rPr>
        <w:tab/>
        <w:t>Información sobre la Deuda y el Reporte Analítico de la Deuda</w:t>
      </w:r>
    </w:p>
    <w:p w:rsidR="00147276" w:rsidRDefault="0053035D" w:rsidP="002B7947">
      <w:pPr>
        <w:pStyle w:val="INCISO"/>
        <w:spacing w:after="0" w:line="240" w:lineRule="auto"/>
        <w:rPr>
          <w:lang w:val="es-MX"/>
        </w:rPr>
      </w:pPr>
      <w:r>
        <w:rPr>
          <w:lang w:val="es-MX"/>
        </w:rPr>
        <w:t>No se cuenta con Deuda.</w:t>
      </w:r>
    </w:p>
    <w:p w:rsidR="002B7947" w:rsidRDefault="002B7947" w:rsidP="002B7947">
      <w:pPr>
        <w:pStyle w:val="INCISO"/>
        <w:spacing w:after="0" w:line="240" w:lineRule="auto"/>
        <w:rPr>
          <w:lang w:val="es-MX"/>
        </w:rPr>
      </w:pPr>
    </w:p>
    <w:p w:rsidR="00135160" w:rsidRDefault="00135160" w:rsidP="002B7947">
      <w:pPr>
        <w:pStyle w:val="INCISO"/>
        <w:spacing w:after="0" w:line="240" w:lineRule="auto"/>
        <w:rPr>
          <w:lang w:val="es-MX"/>
        </w:rPr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12. Calificaciones otorgadas</w:t>
      </w:r>
    </w:p>
    <w:p w:rsidR="00147276" w:rsidRDefault="0053035D" w:rsidP="002B7947">
      <w:pPr>
        <w:pStyle w:val="Texto"/>
        <w:spacing w:after="0" w:line="240" w:lineRule="auto"/>
        <w:rPr>
          <w:szCs w:val="18"/>
        </w:rPr>
      </w:pPr>
      <w:r>
        <w:rPr>
          <w:szCs w:val="18"/>
        </w:rPr>
        <w:t xml:space="preserve">        </w:t>
      </w:r>
      <w:r w:rsidR="00147276" w:rsidRPr="000F6B3C">
        <w:rPr>
          <w:szCs w:val="18"/>
        </w:rPr>
        <w:t>El Instituto de Catastro no ha sido sujeto a una calificación crediticia.</w:t>
      </w:r>
    </w:p>
    <w:p w:rsidR="00135160" w:rsidRDefault="00135160" w:rsidP="002B7947">
      <w:pPr>
        <w:pStyle w:val="Texto"/>
        <w:spacing w:after="0" w:line="240" w:lineRule="auto"/>
        <w:rPr>
          <w:szCs w:val="18"/>
        </w:rPr>
      </w:pPr>
    </w:p>
    <w:p w:rsidR="00135160" w:rsidRPr="000F6B3C" w:rsidRDefault="00135160" w:rsidP="002B7947">
      <w:pPr>
        <w:pStyle w:val="Texto"/>
        <w:spacing w:after="0" w:line="240" w:lineRule="auto"/>
        <w:rPr>
          <w:szCs w:val="18"/>
        </w:rPr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13.</w:t>
      </w:r>
      <w:r w:rsidRPr="000F6B3C">
        <w:rPr>
          <w:b/>
          <w:szCs w:val="18"/>
          <w:lang w:val="es-MX"/>
        </w:rPr>
        <w:tab/>
        <w:t>Proceso de Mejora</w:t>
      </w:r>
    </w:p>
    <w:p w:rsidR="00147276" w:rsidRPr="000F6B3C" w:rsidRDefault="00147276" w:rsidP="002B7947">
      <w:pPr>
        <w:pStyle w:val="Texto"/>
        <w:spacing w:after="0" w:line="240" w:lineRule="auto"/>
        <w:rPr>
          <w:szCs w:val="18"/>
        </w:rPr>
      </w:pPr>
      <w:r w:rsidRPr="000F6B3C">
        <w:rPr>
          <w:szCs w:val="18"/>
        </w:rPr>
        <w:t>Se informa de:</w:t>
      </w:r>
    </w:p>
    <w:p w:rsidR="00147276" w:rsidRPr="000F6B3C" w:rsidRDefault="00147276" w:rsidP="002B7947">
      <w:pPr>
        <w:pStyle w:val="INCISO"/>
        <w:spacing w:after="0" w:line="240" w:lineRule="auto"/>
      </w:pPr>
      <w:r w:rsidRPr="000F6B3C">
        <w:t>a)</w:t>
      </w:r>
      <w:r w:rsidRPr="000F6B3C">
        <w:tab/>
        <w:t>Principales Políticas de control interno son las que establece el Reglamento interior del IDC</w:t>
      </w:r>
    </w:p>
    <w:p w:rsidR="00147276" w:rsidRDefault="0053035D" w:rsidP="002B7947">
      <w:pPr>
        <w:pStyle w:val="INCISO"/>
        <w:spacing w:after="0" w:line="240" w:lineRule="auto"/>
      </w:pPr>
      <w:r>
        <w:t>b)</w:t>
      </w:r>
      <w:r>
        <w:tab/>
        <w:t>Indicadores presupuestales que revela las m</w:t>
      </w:r>
      <w:r w:rsidR="00147276" w:rsidRPr="000F6B3C">
        <w:t>edidas de desempeño financiero,</w:t>
      </w:r>
      <w:r>
        <w:t xml:space="preserve"> e indicadores programáticos que revela el cumplimiento de</w:t>
      </w:r>
      <w:r w:rsidR="00147276" w:rsidRPr="000F6B3C">
        <w:t xml:space="preserve"> metas y alcance.</w:t>
      </w:r>
    </w:p>
    <w:p w:rsidR="00135160" w:rsidRDefault="00135160" w:rsidP="002B7947">
      <w:pPr>
        <w:pStyle w:val="INCISO"/>
        <w:spacing w:after="0" w:line="240" w:lineRule="auto"/>
      </w:pPr>
    </w:p>
    <w:p w:rsidR="002B7947" w:rsidRPr="000F6B3C" w:rsidRDefault="002B7947" w:rsidP="002B7947">
      <w:pPr>
        <w:pStyle w:val="INCISO"/>
        <w:spacing w:after="0" w:line="240" w:lineRule="auto"/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14.</w:t>
      </w:r>
      <w:r w:rsidRPr="000F6B3C">
        <w:rPr>
          <w:b/>
          <w:szCs w:val="18"/>
          <w:lang w:val="es-MX"/>
        </w:rPr>
        <w:tab/>
        <w:t>Información por Segmentos</w:t>
      </w:r>
    </w:p>
    <w:p w:rsidR="00147276" w:rsidRDefault="001941AF" w:rsidP="002B7947">
      <w:pPr>
        <w:pStyle w:val="Texto"/>
        <w:spacing w:after="0" w:line="240" w:lineRule="auto"/>
        <w:rPr>
          <w:szCs w:val="18"/>
          <w:lang w:val="es-MX"/>
        </w:rPr>
      </w:pPr>
      <w:r>
        <w:rPr>
          <w:szCs w:val="18"/>
          <w:lang w:val="es-MX"/>
        </w:rPr>
        <w:t xml:space="preserve">Cuando </w:t>
      </w:r>
      <w:r w:rsidR="00147276" w:rsidRPr="000F6B3C">
        <w:rPr>
          <w:szCs w:val="18"/>
          <w:lang w:val="es-MX"/>
        </w:rPr>
        <w:t>es necesario revelar la información financiera de manera segmentada.</w:t>
      </w:r>
    </w:p>
    <w:p w:rsidR="00135160" w:rsidRDefault="00135160" w:rsidP="002B7947">
      <w:pPr>
        <w:pStyle w:val="Texto"/>
        <w:spacing w:after="0" w:line="240" w:lineRule="auto"/>
        <w:rPr>
          <w:szCs w:val="18"/>
          <w:lang w:val="es-MX"/>
        </w:rPr>
      </w:pPr>
    </w:p>
    <w:p w:rsidR="002B7947" w:rsidRPr="000F6B3C" w:rsidRDefault="002B7947" w:rsidP="002B7947">
      <w:pPr>
        <w:pStyle w:val="Texto"/>
        <w:spacing w:after="0" w:line="240" w:lineRule="auto"/>
        <w:rPr>
          <w:szCs w:val="18"/>
          <w:lang w:val="es-MX"/>
        </w:rPr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15.</w:t>
      </w:r>
      <w:r w:rsidRPr="000F6B3C">
        <w:rPr>
          <w:b/>
          <w:szCs w:val="18"/>
          <w:lang w:val="es-MX"/>
        </w:rPr>
        <w:tab/>
        <w:t>Eventos Posteriores al Cierre</w:t>
      </w:r>
    </w:p>
    <w:p w:rsidR="00147276" w:rsidRDefault="00147276" w:rsidP="002B7947">
      <w:pPr>
        <w:pStyle w:val="Texto"/>
        <w:spacing w:after="0" w:line="240" w:lineRule="auto"/>
        <w:rPr>
          <w:szCs w:val="18"/>
        </w:rPr>
      </w:pPr>
      <w:r w:rsidRPr="000F6B3C">
        <w:rPr>
          <w:szCs w:val="18"/>
        </w:rPr>
        <w:t>No hay hechos a revelar del período posterior al que informa.</w:t>
      </w:r>
    </w:p>
    <w:p w:rsidR="002B7947" w:rsidRDefault="002B7947" w:rsidP="002B7947">
      <w:pPr>
        <w:pStyle w:val="Texto"/>
        <w:spacing w:after="0" w:line="240" w:lineRule="auto"/>
        <w:rPr>
          <w:szCs w:val="18"/>
        </w:rPr>
      </w:pPr>
    </w:p>
    <w:p w:rsidR="00135160" w:rsidRPr="000F6B3C" w:rsidRDefault="00135160" w:rsidP="002B7947">
      <w:pPr>
        <w:pStyle w:val="Texto"/>
        <w:spacing w:after="0" w:line="240" w:lineRule="auto"/>
        <w:rPr>
          <w:szCs w:val="18"/>
        </w:rPr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16.</w:t>
      </w:r>
      <w:r w:rsidRPr="000F6B3C">
        <w:rPr>
          <w:b/>
          <w:szCs w:val="18"/>
          <w:lang w:val="es-MX"/>
        </w:rPr>
        <w:tab/>
        <w:t>Partes Relacionadas</w:t>
      </w:r>
    </w:p>
    <w:p w:rsidR="00147276" w:rsidRDefault="0053035D" w:rsidP="002B7947">
      <w:pPr>
        <w:pStyle w:val="Texto"/>
        <w:spacing w:after="0" w:line="240" w:lineRule="auto"/>
        <w:ind w:firstLine="708"/>
        <w:rPr>
          <w:szCs w:val="18"/>
        </w:rPr>
      </w:pPr>
      <w:r>
        <w:rPr>
          <w:szCs w:val="18"/>
        </w:rPr>
        <w:t>El Instituto de Catastro no tiene operaciones con Partes Relacionadas</w:t>
      </w:r>
      <w:r w:rsidR="00147276" w:rsidRPr="000F6B3C">
        <w:rPr>
          <w:szCs w:val="18"/>
        </w:rPr>
        <w:t>.</w:t>
      </w:r>
    </w:p>
    <w:p w:rsidR="00135160" w:rsidRDefault="00135160" w:rsidP="002B7947">
      <w:pPr>
        <w:pStyle w:val="Texto"/>
        <w:spacing w:after="0" w:line="240" w:lineRule="auto"/>
        <w:ind w:firstLine="708"/>
        <w:rPr>
          <w:szCs w:val="18"/>
        </w:rPr>
      </w:pPr>
    </w:p>
    <w:p w:rsidR="00135160" w:rsidRDefault="00135160" w:rsidP="002B7947">
      <w:pPr>
        <w:pStyle w:val="Texto"/>
        <w:spacing w:after="0" w:line="240" w:lineRule="auto"/>
        <w:ind w:firstLine="708"/>
        <w:rPr>
          <w:szCs w:val="18"/>
        </w:rPr>
      </w:pPr>
    </w:p>
    <w:p w:rsidR="002B7947" w:rsidRPr="000F6B3C" w:rsidRDefault="002B7947" w:rsidP="002B7947">
      <w:pPr>
        <w:pStyle w:val="Texto"/>
        <w:spacing w:after="0" w:line="240" w:lineRule="auto"/>
        <w:ind w:firstLine="708"/>
        <w:rPr>
          <w:szCs w:val="18"/>
        </w:rPr>
      </w:pPr>
    </w:p>
    <w:p w:rsidR="00147276" w:rsidRPr="000F6B3C" w:rsidRDefault="00147276" w:rsidP="002B7947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17.</w:t>
      </w:r>
      <w:r w:rsidRPr="000F6B3C">
        <w:rPr>
          <w:b/>
          <w:szCs w:val="18"/>
          <w:lang w:val="es-MX"/>
        </w:rPr>
        <w:tab/>
        <w:t>Responsabilidad Sobre la Presentación Razonable de la Información Contable</w:t>
      </w:r>
    </w:p>
    <w:p w:rsidR="00147276" w:rsidRDefault="00147276" w:rsidP="002B7947">
      <w:pPr>
        <w:pStyle w:val="Texto"/>
        <w:spacing w:line="240" w:lineRule="auto"/>
        <w:rPr>
          <w:szCs w:val="18"/>
        </w:rPr>
      </w:pPr>
      <w:r w:rsidRPr="000F6B3C">
        <w:rPr>
          <w:szCs w:val="18"/>
        </w:rPr>
        <w:t>La Información Contable está firmada en cada página de la misma e incluye al final la siguiente leyenda: “Bajo protesta de decir verdad declaramos que los Estados Financieros y sus notas, son razonablemente correctos y son responsabilidad del emisor”. Lo anterior, no será aplicable para la información contable consolidada.</w:t>
      </w:r>
    </w:p>
    <w:p w:rsidR="0012585F" w:rsidRDefault="0012585F" w:rsidP="002B7947">
      <w:pPr>
        <w:pStyle w:val="Texto"/>
        <w:spacing w:line="240" w:lineRule="auto"/>
        <w:rPr>
          <w:szCs w:val="18"/>
        </w:rPr>
      </w:pPr>
    </w:p>
    <w:p w:rsidR="0012585F" w:rsidRDefault="0012585F" w:rsidP="002B7947">
      <w:pPr>
        <w:pStyle w:val="Texto"/>
        <w:spacing w:line="240" w:lineRule="auto"/>
        <w:rPr>
          <w:szCs w:val="18"/>
        </w:rPr>
      </w:pPr>
    </w:p>
    <w:p w:rsidR="0012585F" w:rsidRDefault="0012585F" w:rsidP="002B7947">
      <w:pPr>
        <w:pStyle w:val="Texto"/>
        <w:spacing w:line="240" w:lineRule="auto"/>
        <w:rPr>
          <w:szCs w:val="18"/>
        </w:rPr>
      </w:pPr>
    </w:p>
    <w:p w:rsidR="0012585F" w:rsidRDefault="0012585F" w:rsidP="002B7947">
      <w:pPr>
        <w:pStyle w:val="Texto"/>
        <w:spacing w:line="240" w:lineRule="auto"/>
        <w:rPr>
          <w:szCs w:val="18"/>
        </w:rPr>
      </w:pPr>
    </w:p>
    <w:p w:rsidR="0012585F" w:rsidRDefault="0012585F" w:rsidP="002B7947">
      <w:pPr>
        <w:pStyle w:val="Texto"/>
        <w:spacing w:line="240" w:lineRule="auto"/>
        <w:rPr>
          <w:szCs w:val="18"/>
        </w:rPr>
      </w:pPr>
    </w:p>
    <w:p w:rsidR="0012585F" w:rsidRDefault="0012585F" w:rsidP="002B7947">
      <w:pPr>
        <w:pStyle w:val="Texto"/>
        <w:spacing w:line="240" w:lineRule="auto"/>
        <w:rPr>
          <w:szCs w:val="18"/>
        </w:rPr>
      </w:pPr>
    </w:p>
    <w:p w:rsidR="0012585F" w:rsidRDefault="0012585F" w:rsidP="002B7947">
      <w:pPr>
        <w:pStyle w:val="Texto"/>
        <w:spacing w:line="240" w:lineRule="auto"/>
        <w:rPr>
          <w:szCs w:val="18"/>
        </w:rPr>
      </w:pPr>
    </w:p>
    <w:p w:rsidR="0012585F" w:rsidRDefault="0012585F" w:rsidP="002B7947">
      <w:pPr>
        <w:pStyle w:val="Texto"/>
        <w:spacing w:line="240" w:lineRule="auto"/>
        <w:rPr>
          <w:szCs w:val="18"/>
        </w:rPr>
      </w:pPr>
    </w:p>
    <w:p w:rsidR="0012585F" w:rsidRDefault="0012585F" w:rsidP="002D6C5C">
      <w:pPr>
        <w:pStyle w:val="Texto"/>
        <w:tabs>
          <w:tab w:val="left" w:pos="10206"/>
        </w:tabs>
        <w:spacing w:line="240" w:lineRule="auto"/>
        <w:rPr>
          <w:szCs w:val="18"/>
        </w:rPr>
      </w:pPr>
    </w:p>
    <w:p w:rsidR="0012585F" w:rsidRDefault="0012585F" w:rsidP="002B7947">
      <w:pPr>
        <w:pStyle w:val="Texto"/>
        <w:spacing w:line="240" w:lineRule="auto"/>
        <w:rPr>
          <w:szCs w:val="18"/>
        </w:rPr>
      </w:pPr>
    </w:p>
    <w:p w:rsidR="0012585F" w:rsidRDefault="0012585F" w:rsidP="002B7947">
      <w:pPr>
        <w:pStyle w:val="Texto"/>
        <w:spacing w:line="240" w:lineRule="auto"/>
        <w:rPr>
          <w:szCs w:val="18"/>
        </w:rPr>
      </w:pPr>
    </w:p>
    <w:p w:rsidR="0012585F" w:rsidRDefault="0012585F" w:rsidP="002B7947">
      <w:pPr>
        <w:pStyle w:val="Texto"/>
        <w:spacing w:line="240" w:lineRule="auto"/>
        <w:rPr>
          <w:szCs w:val="18"/>
        </w:rPr>
      </w:pPr>
    </w:p>
    <w:p w:rsidR="00CC6753" w:rsidRDefault="00591BB3" w:rsidP="002B7947">
      <w:pPr>
        <w:pStyle w:val="Texto"/>
        <w:tabs>
          <w:tab w:val="left" w:pos="12474"/>
        </w:tabs>
        <w:spacing w:line="240" w:lineRule="auto"/>
        <w:rPr>
          <w:szCs w:val="18"/>
        </w:rPr>
      </w:pPr>
      <w:r>
        <w:rPr>
          <w:noProof/>
        </w:rPr>
        <w:object w:dxaOrig="1440" w:dyaOrig="1440">
          <v:shape id="_x0000_s1048" type="#_x0000_t75" style="position:absolute;left:0;text-align:left;margin-left:-5.6pt;margin-top:16.75pt;width:724.3pt;height:61.6pt;z-index:251666432">
            <v:imagedata r:id="rId22" o:title=""/>
            <w10:wrap type="topAndBottom"/>
          </v:shape>
          <o:OLEObject Type="Embed" ProgID="Excel.Sheet.12" ShapeID="_x0000_s1048" DrawAspect="Content" ObjectID="_1671867012" r:id="rId23"/>
        </w:object>
      </w:r>
    </w:p>
    <w:sectPr w:rsidR="00CC6753" w:rsidSect="000C332A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BB3" w:rsidRDefault="00591BB3" w:rsidP="00EA5418">
      <w:pPr>
        <w:spacing w:after="0" w:line="240" w:lineRule="auto"/>
      </w:pPr>
      <w:r>
        <w:separator/>
      </w:r>
    </w:p>
  </w:endnote>
  <w:endnote w:type="continuationSeparator" w:id="0">
    <w:p w:rsidR="00591BB3" w:rsidRDefault="00591BB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4BF" w:rsidRPr="0013011C" w:rsidRDefault="00591BB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HK0S18aAgAALQQAAA4AAAAAAAAAAAAAAAAALgIAAGRycy9lMm9Eb2MueG1sUEsBAi0A&#10;FAAGAAgAAAAhANiyodHfAAAACwEAAA8AAAAAAAAAAAAAAAAAdAQAAGRycy9kb3ducmV2LnhtbFBL&#10;BQYAAAAABAAEAPMAAACABQAAAAA=&#10;" strokecolor="#632523" strokeweight="1.5pt">
          <o:lock v:ext="edit" shapetype="f"/>
        </v:line>
      </w:pict>
    </w:r>
    <w:r w:rsidR="00F874BF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874BF" w:rsidRPr="0013011C">
          <w:rPr>
            <w:rFonts w:ascii="Soberana Sans Light" w:hAnsi="Soberana Sans Light"/>
          </w:rPr>
          <w:fldChar w:fldCharType="begin"/>
        </w:r>
        <w:r w:rsidR="00F874BF" w:rsidRPr="0013011C">
          <w:rPr>
            <w:rFonts w:ascii="Soberana Sans Light" w:hAnsi="Soberana Sans Light"/>
          </w:rPr>
          <w:instrText>PAGE   \* MERGEFORMAT</w:instrText>
        </w:r>
        <w:r w:rsidR="00F874BF" w:rsidRPr="0013011C">
          <w:rPr>
            <w:rFonts w:ascii="Soberana Sans Light" w:hAnsi="Soberana Sans Light"/>
          </w:rPr>
          <w:fldChar w:fldCharType="separate"/>
        </w:r>
        <w:r w:rsidR="008A7DAF" w:rsidRPr="008A7DAF">
          <w:rPr>
            <w:rFonts w:ascii="Soberana Sans Light" w:hAnsi="Soberana Sans Light"/>
            <w:noProof/>
            <w:lang w:val="es-ES"/>
          </w:rPr>
          <w:t>8</w:t>
        </w:r>
        <w:r w:rsidR="00F874BF" w:rsidRPr="0013011C">
          <w:rPr>
            <w:rFonts w:ascii="Soberana Sans Light" w:hAnsi="Soberana Sans Light"/>
          </w:rPr>
          <w:fldChar w:fldCharType="end"/>
        </w:r>
      </w:sdtContent>
    </w:sdt>
  </w:p>
  <w:p w:rsidR="00F874BF" w:rsidRDefault="00F874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4BF" w:rsidRPr="008E3652" w:rsidRDefault="00591BB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nc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F874BF" w:rsidRPr="008E3652">
          <w:rPr>
            <w:rFonts w:ascii="Soberana Sans Light" w:hAnsi="Soberana Sans Light"/>
          </w:rPr>
          <w:t xml:space="preserve">Contable / </w:t>
        </w:r>
        <w:r w:rsidR="00F874BF" w:rsidRPr="008E3652">
          <w:rPr>
            <w:rFonts w:ascii="Soberana Sans Light" w:hAnsi="Soberana Sans Light"/>
          </w:rPr>
          <w:fldChar w:fldCharType="begin"/>
        </w:r>
        <w:r w:rsidR="00F874BF" w:rsidRPr="008E3652">
          <w:rPr>
            <w:rFonts w:ascii="Soberana Sans Light" w:hAnsi="Soberana Sans Light"/>
          </w:rPr>
          <w:instrText>PAGE   \* MERGEFORMAT</w:instrText>
        </w:r>
        <w:r w:rsidR="00F874BF" w:rsidRPr="008E3652">
          <w:rPr>
            <w:rFonts w:ascii="Soberana Sans Light" w:hAnsi="Soberana Sans Light"/>
          </w:rPr>
          <w:fldChar w:fldCharType="separate"/>
        </w:r>
        <w:r w:rsidR="008A7DAF" w:rsidRPr="008A7DAF">
          <w:rPr>
            <w:rFonts w:ascii="Soberana Sans Light" w:hAnsi="Soberana Sans Light"/>
            <w:noProof/>
            <w:lang w:val="es-ES"/>
          </w:rPr>
          <w:t>7</w:t>
        </w:r>
        <w:r w:rsidR="00F874B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BB3" w:rsidRDefault="00591BB3" w:rsidP="00EA5418">
      <w:pPr>
        <w:spacing w:after="0" w:line="240" w:lineRule="auto"/>
      </w:pPr>
      <w:r>
        <w:separator/>
      </w:r>
    </w:p>
  </w:footnote>
  <w:footnote w:type="continuationSeparator" w:id="0">
    <w:p w:rsidR="00591BB3" w:rsidRDefault="00591BB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4BF" w:rsidRDefault="00591BB3">
    <w:pPr>
      <w:pStyle w:val="Encabezado"/>
    </w:pPr>
    <w:r>
      <w:rPr>
        <w:noProof/>
        <w:lang w:eastAsia="es-MX"/>
      </w:rPr>
      <w:pict>
        <v:group id="6 Grupo" o:spid="_x0000_s2053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<v:textbox style="mso-next-textbox:#Cuadro de texto 5">
              <w:txbxContent>
                <w:p w:rsidR="00F874BF" w:rsidRDefault="00F874BF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F874BF" w:rsidRDefault="00F874B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F874BF" w:rsidRPr="00275FC6" w:rsidRDefault="00F874BF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F874BF" w:rsidRDefault="00F874B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2020</w:t>
                    </w:r>
                  </w:p>
                  <w:p w:rsidR="00F874BF" w:rsidRDefault="00F874B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F874BF" w:rsidRPr="00275FC6" w:rsidRDefault="00F874B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4BF" w:rsidRPr="0013011C" w:rsidRDefault="00F874BF" w:rsidP="003C1E77">
    <w:pPr>
      <w:pStyle w:val="Encabezado"/>
      <w:tabs>
        <w:tab w:val="center" w:pos="6840"/>
        <w:tab w:val="left" w:pos="8594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591BB3">
      <w:rPr>
        <w:rFonts w:ascii="Soberana Sans Light" w:hAnsi="Soberana Sans Light"/>
        <w:noProof/>
        <w:lang w:eastAsia="es-MX"/>
      </w:rPr>
      <w:pict>
        <v:line id="1 Conector recto" o:spid="_x0000_s205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sT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AlzSsTGgIAACwEAAAOAAAAAAAAAAAAAAAAAC4CAABkcnMvZTJvRG9jLnhtbFBLAQIt&#10;ABQABgAIAAAAIQDTr0DF4AAAAAsBAAAPAAAAAAAAAAAAAAAAAHQEAABkcnMvZG93bnJldi54bWxQ&#10;SwUGAAAAAAQABADzAAAAgQUAAAAA&#10;" strokecolor="#632523" strokeweight="1.5pt">
          <o:lock v:ext="edit" shapetype="f"/>
        </v:line>
      </w:pict>
    </w:r>
    <w:r>
      <w:rPr>
        <w:rFonts w:ascii="Soberana Sans Light" w:hAnsi="Soberana Sans Light"/>
      </w:rPr>
      <w:t>SECTOR PARAESTATAL</w:t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6232802"/>
    <w:multiLevelType w:val="hybridMultilevel"/>
    <w:tmpl w:val="DDD246D6"/>
    <w:lvl w:ilvl="0" w:tplc="080A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 w15:restartNumberingAfterBreak="0">
    <w:nsid w:val="09867AE3"/>
    <w:multiLevelType w:val="hybridMultilevel"/>
    <w:tmpl w:val="4FC2295E"/>
    <w:lvl w:ilvl="0" w:tplc="4690738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FAB5770"/>
    <w:multiLevelType w:val="hybridMultilevel"/>
    <w:tmpl w:val="03B80984"/>
    <w:lvl w:ilvl="0" w:tplc="FE42CA5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49015C2"/>
    <w:multiLevelType w:val="hybridMultilevel"/>
    <w:tmpl w:val="5DCCBFAE"/>
    <w:lvl w:ilvl="0" w:tplc="135ABC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33B3932"/>
    <w:multiLevelType w:val="hybridMultilevel"/>
    <w:tmpl w:val="701690F8"/>
    <w:lvl w:ilvl="0" w:tplc="1AAC83EC">
      <w:start w:val="1"/>
      <w:numFmt w:val="decimal"/>
      <w:lvlText w:val="%1."/>
      <w:lvlJc w:val="left"/>
      <w:pPr>
        <w:ind w:left="648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60D02A3"/>
    <w:multiLevelType w:val="hybridMultilevel"/>
    <w:tmpl w:val="3A785CB8"/>
    <w:lvl w:ilvl="0" w:tplc="850211D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59BC5D28"/>
    <w:multiLevelType w:val="hybridMultilevel"/>
    <w:tmpl w:val="0A5009DE"/>
    <w:lvl w:ilvl="0" w:tplc="B51A582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6B5E362E"/>
    <w:multiLevelType w:val="hybridMultilevel"/>
    <w:tmpl w:val="6DC0C944"/>
    <w:lvl w:ilvl="0" w:tplc="4AE6B89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784835DA"/>
    <w:multiLevelType w:val="hybridMultilevel"/>
    <w:tmpl w:val="8C10E58A"/>
    <w:lvl w:ilvl="0" w:tplc="F1AA929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7B9E237F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2"/>
  </w:num>
  <w:num w:numId="6">
    <w:abstractNumId w:val="2"/>
  </w:num>
  <w:num w:numId="7">
    <w:abstractNumId w:val="11"/>
  </w:num>
  <w:num w:numId="8">
    <w:abstractNumId w:val="3"/>
  </w:num>
  <w:num w:numId="9">
    <w:abstractNumId w:val="7"/>
  </w:num>
  <w:num w:numId="10">
    <w:abstractNumId w:val="6"/>
  </w:num>
  <w:num w:numId="11">
    <w:abstractNumId w:val="13"/>
  </w:num>
  <w:num w:numId="12">
    <w:abstractNumId w:val="1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1107"/>
    <w:rsid w:val="000038E6"/>
    <w:rsid w:val="00004482"/>
    <w:rsid w:val="00006DBD"/>
    <w:rsid w:val="00016DF6"/>
    <w:rsid w:val="000227FF"/>
    <w:rsid w:val="0002384B"/>
    <w:rsid w:val="0002395C"/>
    <w:rsid w:val="00023FB5"/>
    <w:rsid w:val="00040466"/>
    <w:rsid w:val="000416C6"/>
    <w:rsid w:val="00041BE6"/>
    <w:rsid w:val="00041E1C"/>
    <w:rsid w:val="00043356"/>
    <w:rsid w:val="00045A10"/>
    <w:rsid w:val="000460A4"/>
    <w:rsid w:val="0005535F"/>
    <w:rsid w:val="00056800"/>
    <w:rsid w:val="000623FB"/>
    <w:rsid w:val="00062D05"/>
    <w:rsid w:val="000649EF"/>
    <w:rsid w:val="00071922"/>
    <w:rsid w:val="00073ED9"/>
    <w:rsid w:val="000743AE"/>
    <w:rsid w:val="00080A8B"/>
    <w:rsid w:val="00083778"/>
    <w:rsid w:val="00083F2E"/>
    <w:rsid w:val="00090084"/>
    <w:rsid w:val="00091C89"/>
    <w:rsid w:val="0009208A"/>
    <w:rsid w:val="0009691F"/>
    <w:rsid w:val="00097E77"/>
    <w:rsid w:val="00097FBC"/>
    <w:rsid w:val="000A26F3"/>
    <w:rsid w:val="000B062C"/>
    <w:rsid w:val="000B360D"/>
    <w:rsid w:val="000C332A"/>
    <w:rsid w:val="000C6D25"/>
    <w:rsid w:val="000E0311"/>
    <w:rsid w:val="000E162F"/>
    <w:rsid w:val="000E7712"/>
    <w:rsid w:val="000F34FD"/>
    <w:rsid w:val="00100085"/>
    <w:rsid w:val="00100260"/>
    <w:rsid w:val="001068C7"/>
    <w:rsid w:val="0010737A"/>
    <w:rsid w:val="00117017"/>
    <w:rsid w:val="00120AA1"/>
    <w:rsid w:val="0012585F"/>
    <w:rsid w:val="00127913"/>
    <w:rsid w:val="0013011C"/>
    <w:rsid w:val="00131E6A"/>
    <w:rsid w:val="00135160"/>
    <w:rsid w:val="00147276"/>
    <w:rsid w:val="00152B27"/>
    <w:rsid w:val="00162ECB"/>
    <w:rsid w:val="0016354F"/>
    <w:rsid w:val="001645F7"/>
    <w:rsid w:val="001654F4"/>
    <w:rsid w:val="00165BB4"/>
    <w:rsid w:val="00165D15"/>
    <w:rsid w:val="00170378"/>
    <w:rsid w:val="001719ED"/>
    <w:rsid w:val="0018113B"/>
    <w:rsid w:val="0018300F"/>
    <w:rsid w:val="00183B43"/>
    <w:rsid w:val="00184B19"/>
    <w:rsid w:val="00185FFF"/>
    <w:rsid w:val="001863DF"/>
    <w:rsid w:val="001941AF"/>
    <w:rsid w:val="001B1163"/>
    <w:rsid w:val="001B1B72"/>
    <w:rsid w:val="001B50DD"/>
    <w:rsid w:val="001B668F"/>
    <w:rsid w:val="001B756D"/>
    <w:rsid w:val="001C6FD8"/>
    <w:rsid w:val="001D08B9"/>
    <w:rsid w:val="001D65E9"/>
    <w:rsid w:val="001E0C33"/>
    <w:rsid w:val="001E336A"/>
    <w:rsid w:val="001E49B1"/>
    <w:rsid w:val="001E55A8"/>
    <w:rsid w:val="001E6B5F"/>
    <w:rsid w:val="001E7072"/>
    <w:rsid w:val="001E7AD4"/>
    <w:rsid w:val="001F2842"/>
    <w:rsid w:val="001F294F"/>
    <w:rsid w:val="001F53DA"/>
    <w:rsid w:val="0020337B"/>
    <w:rsid w:val="00204C86"/>
    <w:rsid w:val="00207C91"/>
    <w:rsid w:val="00216810"/>
    <w:rsid w:val="00217732"/>
    <w:rsid w:val="00232BF3"/>
    <w:rsid w:val="00235443"/>
    <w:rsid w:val="00235C01"/>
    <w:rsid w:val="0024344F"/>
    <w:rsid w:val="00246F85"/>
    <w:rsid w:val="00252B38"/>
    <w:rsid w:val="002564E7"/>
    <w:rsid w:val="00257C47"/>
    <w:rsid w:val="00264426"/>
    <w:rsid w:val="00264876"/>
    <w:rsid w:val="00264BD3"/>
    <w:rsid w:val="002677CC"/>
    <w:rsid w:val="0028203C"/>
    <w:rsid w:val="00287CAC"/>
    <w:rsid w:val="00295745"/>
    <w:rsid w:val="002965E5"/>
    <w:rsid w:val="002A4338"/>
    <w:rsid w:val="002A5AB5"/>
    <w:rsid w:val="002A627D"/>
    <w:rsid w:val="002A70B3"/>
    <w:rsid w:val="002B19C7"/>
    <w:rsid w:val="002B2843"/>
    <w:rsid w:val="002B47C2"/>
    <w:rsid w:val="002B704C"/>
    <w:rsid w:val="002B7271"/>
    <w:rsid w:val="002B7947"/>
    <w:rsid w:val="002C06BF"/>
    <w:rsid w:val="002C0886"/>
    <w:rsid w:val="002C49B6"/>
    <w:rsid w:val="002D000E"/>
    <w:rsid w:val="002D6C5C"/>
    <w:rsid w:val="002D7FBE"/>
    <w:rsid w:val="002E1A2A"/>
    <w:rsid w:val="002E68AB"/>
    <w:rsid w:val="002F0052"/>
    <w:rsid w:val="002F1C38"/>
    <w:rsid w:val="0030706A"/>
    <w:rsid w:val="00310F34"/>
    <w:rsid w:val="00313D7B"/>
    <w:rsid w:val="00320467"/>
    <w:rsid w:val="0032061F"/>
    <w:rsid w:val="00320E4B"/>
    <w:rsid w:val="00321A19"/>
    <w:rsid w:val="00323FE9"/>
    <w:rsid w:val="00331410"/>
    <w:rsid w:val="003353C0"/>
    <w:rsid w:val="00340CAF"/>
    <w:rsid w:val="00343ED1"/>
    <w:rsid w:val="003513BE"/>
    <w:rsid w:val="003526BF"/>
    <w:rsid w:val="00361C18"/>
    <w:rsid w:val="00372E75"/>
    <w:rsid w:val="00372F40"/>
    <w:rsid w:val="003745BC"/>
    <w:rsid w:val="00376E3B"/>
    <w:rsid w:val="0038018C"/>
    <w:rsid w:val="00384036"/>
    <w:rsid w:val="00385231"/>
    <w:rsid w:val="0039043D"/>
    <w:rsid w:val="00396C2B"/>
    <w:rsid w:val="003973C4"/>
    <w:rsid w:val="003A0303"/>
    <w:rsid w:val="003A2603"/>
    <w:rsid w:val="003A2F8C"/>
    <w:rsid w:val="003A4D19"/>
    <w:rsid w:val="003B2773"/>
    <w:rsid w:val="003B738F"/>
    <w:rsid w:val="003C1E77"/>
    <w:rsid w:val="003C2047"/>
    <w:rsid w:val="003C47D7"/>
    <w:rsid w:val="003C55CF"/>
    <w:rsid w:val="003C715D"/>
    <w:rsid w:val="003D1BBD"/>
    <w:rsid w:val="003D21B9"/>
    <w:rsid w:val="003D50E0"/>
    <w:rsid w:val="003D5DBF"/>
    <w:rsid w:val="003E3426"/>
    <w:rsid w:val="003E7FD0"/>
    <w:rsid w:val="003F0EA4"/>
    <w:rsid w:val="003F4952"/>
    <w:rsid w:val="00400DEE"/>
    <w:rsid w:val="004210B9"/>
    <w:rsid w:val="004219A4"/>
    <w:rsid w:val="00426D93"/>
    <w:rsid w:val="004311BE"/>
    <w:rsid w:val="00433E07"/>
    <w:rsid w:val="00435851"/>
    <w:rsid w:val="00441451"/>
    <w:rsid w:val="0044253C"/>
    <w:rsid w:val="00447FFA"/>
    <w:rsid w:val="004526EF"/>
    <w:rsid w:val="004578C7"/>
    <w:rsid w:val="00457D9B"/>
    <w:rsid w:val="004714CF"/>
    <w:rsid w:val="00472566"/>
    <w:rsid w:val="004732B7"/>
    <w:rsid w:val="00477B2B"/>
    <w:rsid w:val="00480C25"/>
    <w:rsid w:val="00484C0D"/>
    <w:rsid w:val="0049332A"/>
    <w:rsid w:val="00497D8B"/>
    <w:rsid w:val="004A05EF"/>
    <w:rsid w:val="004B1BCE"/>
    <w:rsid w:val="004B2B1A"/>
    <w:rsid w:val="004B4868"/>
    <w:rsid w:val="004C0C6A"/>
    <w:rsid w:val="004D41B8"/>
    <w:rsid w:val="004D61D0"/>
    <w:rsid w:val="004E2BA7"/>
    <w:rsid w:val="004E5A54"/>
    <w:rsid w:val="004E61D0"/>
    <w:rsid w:val="004F03ED"/>
    <w:rsid w:val="004F51C9"/>
    <w:rsid w:val="004F5641"/>
    <w:rsid w:val="005052BA"/>
    <w:rsid w:val="0051049E"/>
    <w:rsid w:val="00512FB4"/>
    <w:rsid w:val="00516432"/>
    <w:rsid w:val="005171E2"/>
    <w:rsid w:val="00520D68"/>
    <w:rsid w:val="00522632"/>
    <w:rsid w:val="00522EF3"/>
    <w:rsid w:val="0053035D"/>
    <w:rsid w:val="00530FCD"/>
    <w:rsid w:val="005368B2"/>
    <w:rsid w:val="00536D38"/>
    <w:rsid w:val="00540418"/>
    <w:rsid w:val="005423D8"/>
    <w:rsid w:val="00543A40"/>
    <w:rsid w:val="00545CFE"/>
    <w:rsid w:val="005468B5"/>
    <w:rsid w:val="0055694A"/>
    <w:rsid w:val="00561A2A"/>
    <w:rsid w:val="005675AB"/>
    <w:rsid w:val="00567C26"/>
    <w:rsid w:val="00573514"/>
    <w:rsid w:val="00574266"/>
    <w:rsid w:val="00574EBC"/>
    <w:rsid w:val="005860F2"/>
    <w:rsid w:val="00591BB3"/>
    <w:rsid w:val="00593DCB"/>
    <w:rsid w:val="0059467F"/>
    <w:rsid w:val="00596851"/>
    <w:rsid w:val="005979BF"/>
    <w:rsid w:val="005A5702"/>
    <w:rsid w:val="005B136D"/>
    <w:rsid w:val="005B1E02"/>
    <w:rsid w:val="005B479E"/>
    <w:rsid w:val="005C0FE5"/>
    <w:rsid w:val="005C2176"/>
    <w:rsid w:val="005C54ED"/>
    <w:rsid w:val="005D05C9"/>
    <w:rsid w:val="005D3D25"/>
    <w:rsid w:val="005D6782"/>
    <w:rsid w:val="005E7B8D"/>
    <w:rsid w:val="005F1232"/>
    <w:rsid w:val="005F2CB2"/>
    <w:rsid w:val="005F329E"/>
    <w:rsid w:val="005F49B8"/>
    <w:rsid w:val="005F6932"/>
    <w:rsid w:val="005F77E1"/>
    <w:rsid w:val="006017E6"/>
    <w:rsid w:val="00605773"/>
    <w:rsid w:val="006148DE"/>
    <w:rsid w:val="00614F85"/>
    <w:rsid w:val="00614F8B"/>
    <w:rsid w:val="00617DAA"/>
    <w:rsid w:val="00621476"/>
    <w:rsid w:val="00640C94"/>
    <w:rsid w:val="00640FA3"/>
    <w:rsid w:val="0064116C"/>
    <w:rsid w:val="006419CD"/>
    <w:rsid w:val="006511D3"/>
    <w:rsid w:val="006571BB"/>
    <w:rsid w:val="00662A7E"/>
    <w:rsid w:val="006644CC"/>
    <w:rsid w:val="0066514F"/>
    <w:rsid w:val="00670998"/>
    <w:rsid w:val="00676DA5"/>
    <w:rsid w:val="0068210F"/>
    <w:rsid w:val="00682D98"/>
    <w:rsid w:val="00682E19"/>
    <w:rsid w:val="006832F7"/>
    <w:rsid w:val="00684861"/>
    <w:rsid w:val="00686A42"/>
    <w:rsid w:val="00692C68"/>
    <w:rsid w:val="0069595D"/>
    <w:rsid w:val="006A03B8"/>
    <w:rsid w:val="006A1EBD"/>
    <w:rsid w:val="006B1FE7"/>
    <w:rsid w:val="006B2FCB"/>
    <w:rsid w:val="006B31C0"/>
    <w:rsid w:val="006B5B5F"/>
    <w:rsid w:val="006B615E"/>
    <w:rsid w:val="006C1AA7"/>
    <w:rsid w:val="006C5145"/>
    <w:rsid w:val="006C7665"/>
    <w:rsid w:val="006D0393"/>
    <w:rsid w:val="006E0AB1"/>
    <w:rsid w:val="006E4018"/>
    <w:rsid w:val="006E5DB1"/>
    <w:rsid w:val="006E77DD"/>
    <w:rsid w:val="006E7FBC"/>
    <w:rsid w:val="006F1AA8"/>
    <w:rsid w:val="006F1E53"/>
    <w:rsid w:val="006F2D02"/>
    <w:rsid w:val="006F2FEA"/>
    <w:rsid w:val="006F3103"/>
    <w:rsid w:val="00700256"/>
    <w:rsid w:val="007057E1"/>
    <w:rsid w:val="00705F4B"/>
    <w:rsid w:val="007142C9"/>
    <w:rsid w:val="007257DA"/>
    <w:rsid w:val="00726C1A"/>
    <w:rsid w:val="007272A1"/>
    <w:rsid w:val="007321F9"/>
    <w:rsid w:val="00732B25"/>
    <w:rsid w:val="00735F20"/>
    <w:rsid w:val="00744C2A"/>
    <w:rsid w:val="00750724"/>
    <w:rsid w:val="00757E0D"/>
    <w:rsid w:val="00763057"/>
    <w:rsid w:val="00777F0F"/>
    <w:rsid w:val="007811D9"/>
    <w:rsid w:val="00787E89"/>
    <w:rsid w:val="00790B66"/>
    <w:rsid w:val="0079582C"/>
    <w:rsid w:val="007A1C14"/>
    <w:rsid w:val="007A45D2"/>
    <w:rsid w:val="007A5654"/>
    <w:rsid w:val="007A5986"/>
    <w:rsid w:val="007B1102"/>
    <w:rsid w:val="007B6D81"/>
    <w:rsid w:val="007C49B7"/>
    <w:rsid w:val="007D6E9A"/>
    <w:rsid w:val="007E2D3D"/>
    <w:rsid w:val="007E46DD"/>
    <w:rsid w:val="007E4B22"/>
    <w:rsid w:val="007F7737"/>
    <w:rsid w:val="00801BEA"/>
    <w:rsid w:val="0080393B"/>
    <w:rsid w:val="00811DAC"/>
    <w:rsid w:val="008158F5"/>
    <w:rsid w:val="00817C34"/>
    <w:rsid w:val="00830FFE"/>
    <w:rsid w:val="008311AB"/>
    <w:rsid w:val="00840A6C"/>
    <w:rsid w:val="00844DD2"/>
    <w:rsid w:val="00845ADF"/>
    <w:rsid w:val="0085317F"/>
    <w:rsid w:val="00855D0C"/>
    <w:rsid w:val="00856D32"/>
    <w:rsid w:val="00865E43"/>
    <w:rsid w:val="00883B8D"/>
    <w:rsid w:val="00883E51"/>
    <w:rsid w:val="00887A46"/>
    <w:rsid w:val="0089054E"/>
    <w:rsid w:val="00890785"/>
    <w:rsid w:val="008954AD"/>
    <w:rsid w:val="0089590F"/>
    <w:rsid w:val="008A4EE3"/>
    <w:rsid w:val="008A5CED"/>
    <w:rsid w:val="008A6E4D"/>
    <w:rsid w:val="008A793D"/>
    <w:rsid w:val="008A7DAF"/>
    <w:rsid w:val="008B0017"/>
    <w:rsid w:val="008B1044"/>
    <w:rsid w:val="008B238F"/>
    <w:rsid w:val="008C5BFB"/>
    <w:rsid w:val="008D14E2"/>
    <w:rsid w:val="008D4DA0"/>
    <w:rsid w:val="008E129E"/>
    <w:rsid w:val="008E3652"/>
    <w:rsid w:val="008F5851"/>
    <w:rsid w:val="008F6D58"/>
    <w:rsid w:val="008F6EB5"/>
    <w:rsid w:val="00906C20"/>
    <w:rsid w:val="00907AB2"/>
    <w:rsid w:val="00913577"/>
    <w:rsid w:val="00916047"/>
    <w:rsid w:val="00921CC3"/>
    <w:rsid w:val="00922615"/>
    <w:rsid w:val="00923942"/>
    <w:rsid w:val="009260C8"/>
    <w:rsid w:val="0093222B"/>
    <w:rsid w:val="0093492C"/>
    <w:rsid w:val="00937B1E"/>
    <w:rsid w:val="009400BC"/>
    <w:rsid w:val="009458F4"/>
    <w:rsid w:val="00945B10"/>
    <w:rsid w:val="00946734"/>
    <w:rsid w:val="009477DA"/>
    <w:rsid w:val="00957043"/>
    <w:rsid w:val="00963C3C"/>
    <w:rsid w:val="00971577"/>
    <w:rsid w:val="009745C4"/>
    <w:rsid w:val="00976647"/>
    <w:rsid w:val="00981BF2"/>
    <w:rsid w:val="009A240C"/>
    <w:rsid w:val="009B150C"/>
    <w:rsid w:val="009C5F09"/>
    <w:rsid w:val="009D455B"/>
    <w:rsid w:val="009D5D4C"/>
    <w:rsid w:val="009D7639"/>
    <w:rsid w:val="009F0B3D"/>
    <w:rsid w:val="009F0D30"/>
    <w:rsid w:val="009F166F"/>
    <w:rsid w:val="009F23C4"/>
    <w:rsid w:val="009F4700"/>
    <w:rsid w:val="00A011C4"/>
    <w:rsid w:val="00A016C8"/>
    <w:rsid w:val="00A13435"/>
    <w:rsid w:val="00A13F97"/>
    <w:rsid w:val="00A14109"/>
    <w:rsid w:val="00A14C8B"/>
    <w:rsid w:val="00A15EA9"/>
    <w:rsid w:val="00A15F01"/>
    <w:rsid w:val="00A2172C"/>
    <w:rsid w:val="00A2347B"/>
    <w:rsid w:val="00A279AB"/>
    <w:rsid w:val="00A3276E"/>
    <w:rsid w:val="00A36182"/>
    <w:rsid w:val="00A363B6"/>
    <w:rsid w:val="00A36403"/>
    <w:rsid w:val="00A428FA"/>
    <w:rsid w:val="00A46BF5"/>
    <w:rsid w:val="00A51B25"/>
    <w:rsid w:val="00A54A6D"/>
    <w:rsid w:val="00A6226C"/>
    <w:rsid w:val="00A70CB9"/>
    <w:rsid w:val="00A72B79"/>
    <w:rsid w:val="00A76D25"/>
    <w:rsid w:val="00A810F0"/>
    <w:rsid w:val="00A817F4"/>
    <w:rsid w:val="00A82FDE"/>
    <w:rsid w:val="00A84877"/>
    <w:rsid w:val="00A849F2"/>
    <w:rsid w:val="00A90792"/>
    <w:rsid w:val="00A96112"/>
    <w:rsid w:val="00A97D79"/>
    <w:rsid w:val="00AA02C8"/>
    <w:rsid w:val="00AA0C3B"/>
    <w:rsid w:val="00AB11EA"/>
    <w:rsid w:val="00AC339A"/>
    <w:rsid w:val="00AE1B3E"/>
    <w:rsid w:val="00AE7DEF"/>
    <w:rsid w:val="00AF12C1"/>
    <w:rsid w:val="00AF3185"/>
    <w:rsid w:val="00B03176"/>
    <w:rsid w:val="00B054E9"/>
    <w:rsid w:val="00B06A8C"/>
    <w:rsid w:val="00B10F55"/>
    <w:rsid w:val="00B146E2"/>
    <w:rsid w:val="00B22E2B"/>
    <w:rsid w:val="00B25AC3"/>
    <w:rsid w:val="00B31519"/>
    <w:rsid w:val="00B31F23"/>
    <w:rsid w:val="00B33932"/>
    <w:rsid w:val="00B41592"/>
    <w:rsid w:val="00B424AC"/>
    <w:rsid w:val="00B42C38"/>
    <w:rsid w:val="00B54CCA"/>
    <w:rsid w:val="00B63D24"/>
    <w:rsid w:val="00B6648D"/>
    <w:rsid w:val="00B76009"/>
    <w:rsid w:val="00B849EE"/>
    <w:rsid w:val="00B84D02"/>
    <w:rsid w:val="00B86D1E"/>
    <w:rsid w:val="00B90138"/>
    <w:rsid w:val="00B952BF"/>
    <w:rsid w:val="00BA02D9"/>
    <w:rsid w:val="00BA0835"/>
    <w:rsid w:val="00BA2940"/>
    <w:rsid w:val="00BA7251"/>
    <w:rsid w:val="00BB0088"/>
    <w:rsid w:val="00BB3CAC"/>
    <w:rsid w:val="00BC53A7"/>
    <w:rsid w:val="00BC7FE0"/>
    <w:rsid w:val="00BD06DC"/>
    <w:rsid w:val="00BD1193"/>
    <w:rsid w:val="00BE10F1"/>
    <w:rsid w:val="00BE4B24"/>
    <w:rsid w:val="00BF0F57"/>
    <w:rsid w:val="00BF12F0"/>
    <w:rsid w:val="00C15F98"/>
    <w:rsid w:val="00C16E53"/>
    <w:rsid w:val="00C17E04"/>
    <w:rsid w:val="00C261C8"/>
    <w:rsid w:val="00C306E4"/>
    <w:rsid w:val="00C33B82"/>
    <w:rsid w:val="00C35E58"/>
    <w:rsid w:val="00C431B4"/>
    <w:rsid w:val="00C438C7"/>
    <w:rsid w:val="00C57531"/>
    <w:rsid w:val="00C60564"/>
    <w:rsid w:val="00C62167"/>
    <w:rsid w:val="00C65551"/>
    <w:rsid w:val="00C65D50"/>
    <w:rsid w:val="00C80645"/>
    <w:rsid w:val="00C815E8"/>
    <w:rsid w:val="00C84D5F"/>
    <w:rsid w:val="00C86C59"/>
    <w:rsid w:val="00C878E1"/>
    <w:rsid w:val="00C91524"/>
    <w:rsid w:val="00C91C5A"/>
    <w:rsid w:val="00C962F5"/>
    <w:rsid w:val="00CA2AF6"/>
    <w:rsid w:val="00CA6478"/>
    <w:rsid w:val="00CB11C4"/>
    <w:rsid w:val="00CC3367"/>
    <w:rsid w:val="00CC4330"/>
    <w:rsid w:val="00CC6753"/>
    <w:rsid w:val="00CC7D09"/>
    <w:rsid w:val="00CD0F6E"/>
    <w:rsid w:val="00CD6D9A"/>
    <w:rsid w:val="00CE4951"/>
    <w:rsid w:val="00CE4A22"/>
    <w:rsid w:val="00CE506E"/>
    <w:rsid w:val="00CF1DBD"/>
    <w:rsid w:val="00CF46CD"/>
    <w:rsid w:val="00D00E92"/>
    <w:rsid w:val="00D0271F"/>
    <w:rsid w:val="00D055EC"/>
    <w:rsid w:val="00D065BD"/>
    <w:rsid w:val="00D112CC"/>
    <w:rsid w:val="00D26485"/>
    <w:rsid w:val="00D34F71"/>
    <w:rsid w:val="00D35FE3"/>
    <w:rsid w:val="00D44728"/>
    <w:rsid w:val="00D45351"/>
    <w:rsid w:val="00D5112E"/>
    <w:rsid w:val="00D562FF"/>
    <w:rsid w:val="00D603E1"/>
    <w:rsid w:val="00D62E4C"/>
    <w:rsid w:val="00D70D26"/>
    <w:rsid w:val="00D7394C"/>
    <w:rsid w:val="00D741F9"/>
    <w:rsid w:val="00D76CD4"/>
    <w:rsid w:val="00D775F5"/>
    <w:rsid w:val="00DA00C6"/>
    <w:rsid w:val="00DA02EA"/>
    <w:rsid w:val="00DA16FE"/>
    <w:rsid w:val="00DB05DB"/>
    <w:rsid w:val="00DB3B1E"/>
    <w:rsid w:val="00DB6806"/>
    <w:rsid w:val="00DC2B37"/>
    <w:rsid w:val="00DC57E2"/>
    <w:rsid w:val="00DD07E2"/>
    <w:rsid w:val="00DD3179"/>
    <w:rsid w:val="00DD4AD6"/>
    <w:rsid w:val="00DD4E42"/>
    <w:rsid w:val="00DF3429"/>
    <w:rsid w:val="00DF3E28"/>
    <w:rsid w:val="00DF56C9"/>
    <w:rsid w:val="00E01A9F"/>
    <w:rsid w:val="00E15CD4"/>
    <w:rsid w:val="00E232EF"/>
    <w:rsid w:val="00E30177"/>
    <w:rsid w:val="00E30318"/>
    <w:rsid w:val="00E30FD8"/>
    <w:rsid w:val="00E32708"/>
    <w:rsid w:val="00E3285D"/>
    <w:rsid w:val="00E37B0C"/>
    <w:rsid w:val="00E43900"/>
    <w:rsid w:val="00E4745C"/>
    <w:rsid w:val="00E56AAC"/>
    <w:rsid w:val="00E6584A"/>
    <w:rsid w:val="00E763C9"/>
    <w:rsid w:val="00E8526F"/>
    <w:rsid w:val="00EA12F8"/>
    <w:rsid w:val="00EA5418"/>
    <w:rsid w:val="00EA6CC8"/>
    <w:rsid w:val="00EB2F80"/>
    <w:rsid w:val="00EB7152"/>
    <w:rsid w:val="00EC7775"/>
    <w:rsid w:val="00ED3CD9"/>
    <w:rsid w:val="00EE3696"/>
    <w:rsid w:val="00EE3CF4"/>
    <w:rsid w:val="00EE46FB"/>
    <w:rsid w:val="00EE4F90"/>
    <w:rsid w:val="00EE66C3"/>
    <w:rsid w:val="00EF29B0"/>
    <w:rsid w:val="00EF62DE"/>
    <w:rsid w:val="00EF6E42"/>
    <w:rsid w:val="00F022FE"/>
    <w:rsid w:val="00F031F7"/>
    <w:rsid w:val="00F03E9E"/>
    <w:rsid w:val="00F05AE3"/>
    <w:rsid w:val="00F139DD"/>
    <w:rsid w:val="00F1540E"/>
    <w:rsid w:val="00F17C0D"/>
    <w:rsid w:val="00F2048B"/>
    <w:rsid w:val="00F2117C"/>
    <w:rsid w:val="00F24F9A"/>
    <w:rsid w:val="00F27F57"/>
    <w:rsid w:val="00F36A57"/>
    <w:rsid w:val="00F3780C"/>
    <w:rsid w:val="00F42F50"/>
    <w:rsid w:val="00F43F8D"/>
    <w:rsid w:val="00F46300"/>
    <w:rsid w:val="00F630FF"/>
    <w:rsid w:val="00F705D7"/>
    <w:rsid w:val="00F7452E"/>
    <w:rsid w:val="00F755D0"/>
    <w:rsid w:val="00F86FE2"/>
    <w:rsid w:val="00F874BF"/>
    <w:rsid w:val="00F91D3F"/>
    <w:rsid w:val="00F953EE"/>
    <w:rsid w:val="00FA4510"/>
    <w:rsid w:val="00FA45D3"/>
    <w:rsid w:val="00FB1010"/>
    <w:rsid w:val="00FB31C7"/>
    <w:rsid w:val="00FB4353"/>
    <w:rsid w:val="00FC3175"/>
    <w:rsid w:val="00FC3594"/>
    <w:rsid w:val="00FC5A5D"/>
    <w:rsid w:val="00FD1649"/>
    <w:rsid w:val="00FD347D"/>
    <w:rsid w:val="00FD5A63"/>
    <w:rsid w:val="00FE1293"/>
    <w:rsid w:val="00FE4BF1"/>
    <w:rsid w:val="00FE7846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FF9587B3-CCE8-440B-9EFA-9CB18DF2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844DD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27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7EBF-DEEC-469B-A984-2788AFC0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3596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Administrivo</cp:lastModifiedBy>
  <cp:revision>20</cp:revision>
  <cp:lastPrinted>2021-01-11T16:36:00Z</cp:lastPrinted>
  <dcterms:created xsi:type="dcterms:W3CDTF">2020-04-06T03:09:00Z</dcterms:created>
  <dcterms:modified xsi:type="dcterms:W3CDTF">2021-01-11T16:43:00Z</dcterms:modified>
</cp:coreProperties>
</file>