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06605"/>
    <w:bookmarkEnd w:id="0"/>
    <w:p w14:paraId="798BF3BE" w14:textId="3AFA9F6B" w:rsidR="007D6E9A" w:rsidRDefault="00DE081C" w:rsidP="003D5DBF">
      <w:pPr>
        <w:jc w:val="center"/>
      </w:pPr>
      <w:r>
        <w:object w:dxaOrig="23529" w:dyaOrig="16982" w14:anchorId="3F71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36.85pt;height:454.3pt" o:ole="">
            <v:imagedata r:id="rId8" o:title=""/>
          </v:shape>
          <o:OLEObject Type="Embed" ProgID="Excel.Sheet.12" ShapeID="_x0000_i1051" DrawAspect="Content" ObjectID="_1671281577" r:id="rId9"/>
        </w:object>
      </w:r>
    </w:p>
    <w:p w14:paraId="0912AC13" w14:textId="77777777" w:rsidR="00EA5418" w:rsidRDefault="00EA5418" w:rsidP="00372F40">
      <w:pPr>
        <w:jc w:val="center"/>
      </w:pPr>
    </w:p>
    <w:bookmarkStart w:id="1" w:name="_MON_1470805999"/>
    <w:bookmarkEnd w:id="1"/>
    <w:p w14:paraId="2C6005AF" w14:textId="6B2923AC" w:rsidR="00EA5418" w:rsidRDefault="00DE081C" w:rsidP="006E48D4">
      <w:pPr>
        <w:ind w:firstLine="708"/>
        <w:jc w:val="center"/>
      </w:pPr>
      <w:r>
        <w:object w:dxaOrig="25153" w:dyaOrig="18931" w14:anchorId="0FCD1CEA">
          <v:shape id="_x0000_i1060" type="#_x0000_t75" style="width:641.15pt;height:438.85pt" o:ole="">
            <v:imagedata r:id="rId10" o:title=""/>
          </v:shape>
          <o:OLEObject Type="Embed" ProgID="Excel.Sheet.12" ShapeID="_x0000_i1060" DrawAspect="Content" ObjectID="_1671281578" r:id="rId11"/>
        </w:object>
      </w:r>
    </w:p>
    <w:bookmarkStart w:id="2" w:name="_MON_1470806992"/>
    <w:bookmarkEnd w:id="2"/>
    <w:p w14:paraId="7AC6C790" w14:textId="2284B1D2" w:rsidR="00372F40" w:rsidRDefault="00DE081C" w:rsidP="003E7FD0">
      <w:pPr>
        <w:jc w:val="center"/>
      </w:pPr>
      <w:r>
        <w:object w:dxaOrig="21993" w:dyaOrig="15631" w14:anchorId="4ADAE6D1">
          <v:shape id="_x0000_i1068" type="#_x0000_t75" style="width:649.7pt;height:464.55pt" o:ole="">
            <v:imagedata r:id="rId12" o:title=""/>
          </v:shape>
          <o:OLEObject Type="Embed" ProgID="Excel.Sheet.12" ShapeID="_x0000_i1068" DrawAspect="Content" ObjectID="_1671281579" r:id="rId13"/>
        </w:object>
      </w:r>
    </w:p>
    <w:bookmarkStart w:id="3" w:name="_MON_1470807348"/>
    <w:bookmarkEnd w:id="3"/>
    <w:p w14:paraId="36E2D9F9" w14:textId="1B45216E" w:rsidR="00372F40" w:rsidRDefault="00DE081C" w:rsidP="001B3BC4">
      <w:pPr>
        <w:pStyle w:val="Ttulo1"/>
      </w:pPr>
      <w:r w:rsidRPr="001B3BC4">
        <w:object w:dxaOrig="17711" w:dyaOrig="12404" w14:anchorId="4AD5C767">
          <v:shape id="_x0000_i1075" type="#_x0000_t75" style="width:643.7pt;height:448.3pt" o:ole="">
            <v:imagedata r:id="rId14" o:title=""/>
          </v:shape>
          <o:OLEObject Type="Embed" ProgID="Excel.Sheet.12" ShapeID="_x0000_i1075" DrawAspect="Content" ObjectID="_1671281580" r:id="rId15"/>
        </w:object>
      </w:r>
    </w:p>
    <w:bookmarkStart w:id="4" w:name="_MON_1470809138"/>
    <w:bookmarkEnd w:id="4"/>
    <w:p w14:paraId="37D0E645" w14:textId="1466A85A" w:rsidR="00372F40" w:rsidRDefault="00451D63" w:rsidP="00522632">
      <w:pPr>
        <w:jc w:val="center"/>
      </w:pPr>
      <w:r>
        <w:object w:dxaOrig="17805" w:dyaOrig="12486" w14:anchorId="064F8E57">
          <v:shape id="_x0000_i1079" type="#_x0000_t75" style="width:630pt;height:426pt" o:ole="">
            <v:imagedata r:id="rId16" o:title=""/>
          </v:shape>
          <o:OLEObject Type="Embed" ProgID="Excel.Sheet.12" ShapeID="_x0000_i1079" DrawAspect="Content" ObjectID="_1671281581" r:id="rId17"/>
        </w:object>
      </w:r>
    </w:p>
    <w:p w14:paraId="641EC379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0B3DF411" w14:textId="0E513188" w:rsidR="00E32708" w:rsidRDefault="00451D63" w:rsidP="009643E9">
      <w:pPr>
        <w:tabs>
          <w:tab w:val="left" w:pos="2430"/>
          <w:tab w:val="left" w:pos="7371"/>
        </w:tabs>
        <w:jc w:val="center"/>
      </w:pPr>
      <w:r>
        <w:object w:dxaOrig="18770" w:dyaOrig="11644" w14:anchorId="351463DE">
          <v:shape id="_x0000_i1085" type="#_x0000_t75" style="width:684.85pt;height:455.15pt" o:ole="">
            <v:imagedata r:id="rId18" o:title=""/>
          </v:shape>
          <o:OLEObject Type="Embed" ProgID="Excel.Sheet.12" ShapeID="_x0000_i1085" DrawAspect="Content" ObjectID="_1671281582" r:id="rId19"/>
        </w:object>
      </w:r>
      <w:bookmarkStart w:id="6" w:name="_MON_1470810366"/>
      <w:bookmarkEnd w:id="6"/>
      <w:r w:rsidR="00195F65">
        <w:object w:dxaOrig="25922" w:dyaOrig="16711" w14:anchorId="3DD4010C">
          <v:shape id="_x0000_i1107" type="#_x0000_t75" style="width:693.45pt;height:447.45pt" o:ole="">
            <v:imagedata r:id="rId20" o:title=""/>
          </v:shape>
          <o:OLEObject Type="Embed" ProgID="Excel.Sheet.12" ShapeID="_x0000_i1107" DrawAspect="Content" ObjectID="_1671281583" r:id="rId21"/>
        </w:object>
      </w:r>
    </w:p>
    <w:p w14:paraId="62C8F45C" w14:textId="77777777" w:rsidR="00372F40" w:rsidRDefault="00372F40"/>
    <w:p w14:paraId="52535280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190D39C" w14:textId="77777777"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14:paraId="0C130315" w14:textId="77777777" w:rsidR="009B1CEC" w:rsidRPr="009B1CEC" w:rsidRDefault="009B1CEC" w:rsidP="009B1CEC">
      <w:pPr>
        <w:rPr>
          <w:rFonts w:ascii="Soberana Sans Light" w:hAnsi="Soberana Sans Light"/>
        </w:rPr>
      </w:pPr>
    </w:p>
    <w:p w14:paraId="5069F653" w14:textId="7A3E0C99"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81EC6">
        <w:rPr>
          <w:rFonts w:ascii="Soberana Sans Light" w:hAnsi="Soberana Sans Light"/>
        </w:rPr>
        <w:t>20</w:t>
      </w:r>
    </w:p>
    <w:p w14:paraId="0C1BA2C0" w14:textId="77777777" w:rsidR="00540418" w:rsidRPr="00540418" w:rsidRDefault="00540418">
      <w:pPr>
        <w:rPr>
          <w:rFonts w:ascii="Soberana Sans Light" w:hAnsi="Soberana Sans Light"/>
        </w:rPr>
      </w:pPr>
    </w:p>
    <w:p w14:paraId="1B3F5600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7D304F4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14:paraId="2572055F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244C33D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302B7B4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A4E453D" w14:textId="77777777"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14:paraId="07C30EA1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114E551" w14:textId="77777777"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9AE426B" w14:textId="77777777"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14:paraId="2D36F59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07858E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14:paraId="13F8695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BEE285D" w14:textId="77777777"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3A8F57FE" w14:textId="02B46BF6"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0B6FF9">
        <w:rPr>
          <w:rFonts w:ascii="Soberana Sans Light" w:hAnsi="Soberana Sans Light"/>
        </w:rPr>
        <w:t>4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0B6FF9">
        <w:rPr>
          <w:rFonts w:ascii="Soberana Sans Light" w:hAnsi="Soberana Sans Light"/>
        </w:rPr>
        <w:t xml:space="preserve"> y 2</w:t>
      </w:r>
      <w:r w:rsidR="000B6FF9">
        <w:rPr>
          <w:rFonts w:ascii="Soberana Sans Light" w:hAnsi="Soberana Sans Light"/>
        </w:rPr>
        <w:t xml:space="preserve"> cuenta bancaria para los programas del Instituto Mexicano de la Juventud</w:t>
      </w:r>
      <w:r w:rsidR="00CE433D">
        <w:rPr>
          <w:rFonts w:ascii="Soberana Sans Light" w:hAnsi="Soberana Sans Light"/>
        </w:rPr>
        <w:t>.</w:t>
      </w:r>
    </w:p>
    <w:p w14:paraId="282F8DCE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5FEC35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1F574F6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14:paraId="5094D4B0" w14:textId="77777777"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14:paraId="78B03D2D" w14:textId="77777777"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14:paraId="1C27CE00" w14:textId="77777777"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14:paraId="3E16AA25" w14:textId="77777777"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14:paraId="068A269C" w14:textId="77777777"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CF7E7FD" w14:textId="77777777"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D8BD363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14:paraId="08396E2F" w14:textId="77777777"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E44C629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F72D881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14:paraId="03E89CE4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14:paraId="0DD78A02" w14:textId="77777777"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20D62487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14:paraId="5244128D" w14:textId="77777777"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18889E51" w14:textId="77777777"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943" w:type="dxa"/>
        <w:tblInd w:w="1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1130"/>
      </w:tblGrid>
      <w:tr w:rsidR="00BE24F2" w:rsidRPr="00BE24F2" w14:paraId="3C71E93F" w14:textId="77777777" w:rsidTr="00BE24F2">
        <w:trPr>
          <w:trHeight w:val="25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3CE7" w14:textId="77777777" w:rsidR="00BE24F2" w:rsidRPr="00BE24F2" w:rsidRDefault="00BE24F2" w:rsidP="00BE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3B97" w14:textId="77777777" w:rsidR="00BE24F2" w:rsidRPr="00BE24F2" w:rsidRDefault="00BE24F2" w:rsidP="00BE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BE24F2" w:rsidRPr="00BE24F2" w14:paraId="64E5FAEF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41C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F84A" w14:textId="70E16DDD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D4C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427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D4C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669</w:t>
            </w:r>
          </w:p>
        </w:tc>
      </w:tr>
      <w:tr w:rsidR="00BE24F2" w:rsidRPr="00BE24F2" w14:paraId="031D49E9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AAC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DF3F" w14:textId="2316E462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D4C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378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D4C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334</w:t>
            </w:r>
          </w:p>
        </w:tc>
      </w:tr>
      <w:tr w:rsidR="00BE24F2" w:rsidRPr="00BE24F2" w14:paraId="6A932CE4" w14:textId="77777777" w:rsidTr="00BE24F2">
        <w:trPr>
          <w:trHeight w:val="25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10D7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CD7F" w14:textId="77777777" w:rsidR="00BE24F2" w:rsidRPr="00BE24F2" w:rsidRDefault="00BE24F2" w:rsidP="00BE24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1,515,291</w:t>
            </w:r>
          </w:p>
        </w:tc>
      </w:tr>
      <w:tr w:rsidR="00BE24F2" w:rsidRPr="00BE24F2" w14:paraId="51DAA5C8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2A07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2A68" w14:textId="71C045D1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0D4C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D4C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</w:t>
            </w:r>
          </w:p>
        </w:tc>
      </w:tr>
    </w:tbl>
    <w:p w14:paraId="791137A0" w14:textId="796E6ECC" w:rsidR="00A670C3" w:rsidRPr="00971D0B" w:rsidRDefault="00B67E11" w:rsidP="00067D47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4515B6C4" w14:textId="77777777" w:rsidR="009C2D9E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</w:p>
    <w:p w14:paraId="4B4E094D" w14:textId="77777777" w:rsidR="009C2D9E" w:rsidRDefault="009C2D9E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0D80AFE" w14:textId="6D1149ED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14:paraId="1B2A6BAC" w14:textId="77777777"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14:paraId="45715E35" w14:textId="77777777"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937DDFD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14:paraId="5F4BF85E" w14:textId="77777777"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14:paraId="0084169A" w14:textId="77777777"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6663CD5D" w14:textId="77777777"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14:paraId="1DCA4434" w14:textId="4C9A2F68"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30493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0D4C0B">
        <w:rPr>
          <w:rFonts w:ascii="Soberana Sans Light" w:hAnsi="Soberana Sans Light"/>
          <w:sz w:val="22"/>
          <w:szCs w:val="22"/>
          <w:lang w:val="es-MX"/>
        </w:rPr>
        <w:t xml:space="preserve">         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14:paraId="73A72E8B" w14:textId="77777777"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14:paraId="6FB1786A" w14:textId="55551942"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0D4C0B">
        <w:rPr>
          <w:rFonts w:ascii="Soberana Sans Light" w:hAnsi="Soberana Sans Light"/>
          <w:sz w:val="22"/>
          <w:szCs w:val="22"/>
          <w:lang w:val="es-MX"/>
        </w:rPr>
        <w:t xml:space="preserve"> 776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14:paraId="06656655" w14:textId="77777777"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B138D0A" w14:textId="77777777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816A162" w14:textId="77777777"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73A040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14:paraId="67B9F2DC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63A6CC18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6580" w:type="dxa"/>
        <w:tblInd w:w="2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645"/>
        <w:gridCol w:w="1645"/>
        <w:gridCol w:w="1645"/>
      </w:tblGrid>
      <w:tr w:rsidR="00773135" w:rsidRPr="000D4C0B" w14:paraId="7CDE0B17" w14:textId="77777777" w:rsidTr="00773135">
        <w:trPr>
          <w:trHeight w:val="20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EFDA" w14:textId="77777777" w:rsidR="000D4C0B" w:rsidRPr="000D4C0B" w:rsidRDefault="000D4C0B" w:rsidP="000D4C0B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0D4C0B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4022" w14:textId="77777777" w:rsidR="000D4C0B" w:rsidRPr="000D4C0B" w:rsidRDefault="000D4C0B" w:rsidP="000D4C0B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2C32" w14:textId="77777777" w:rsidR="000D4C0B" w:rsidRPr="000D4C0B" w:rsidRDefault="000D4C0B" w:rsidP="000D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5DD2" w14:textId="77777777" w:rsidR="000D4C0B" w:rsidRPr="000D4C0B" w:rsidRDefault="000D4C0B" w:rsidP="000D4C0B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0D4C0B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 xml:space="preserve">      190,000.00 </w:t>
            </w:r>
          </w:p>
        </w:tc>
      </w:tr>
      <w:tr w:rsidR="00773135" w:rsidRPr="000D4C0B" w14:paraId="4D1FCA9E" w14:textId="77777777" w:rsidTr="00773135">
        <w:trPr>
          <w:trHeight w:val="361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6E55" w14:textId="77777777" w:rsidR="000D4C0B" w:rsidRPr="000D4C0B" w:rsidRDefault="000D4C0B" w:rsidP="000D4C0B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0D4C0B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Transferencias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22F" w14:textId="77777777" w:rsidR="000D4C0B" w:rsidRPr="000D4C0B" w:rsidRDefault="000D4C0B" w:rsidP="000D4C0B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FED" w14:textId="77777777" w:rsidR="000D4C0B" w:rsidRPr="000D4C0B" w:rsidRDefault="000D4C0B" w:rsidP="000D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928B" w14:textId="00240BA2" w:rsidR="000D4C0B" w:rsidRPr="000D4C0B" w:rsidRDefault="00773135" w:rsidP="000D4C0B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8</w:t>
            </w:r>
            <w:r w:rsidR="000D4C0B" w:rsidRPr="000D4C0B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272</w:t>
            </w:r>
            <w:r w:rsidR="000D4C0B" w:rsidRPr="000D4C0B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,96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3</w:t>
            </w:r>
            <w:r w:rsidR="000D4C0B" w:rsidRPr="000D4C0B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7C3143BD" w14:textId="77777777"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900A30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7346" w:type="dxa"/>
        <w:tblInd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1607"/>
        <w:gridCol w:w="1703"/>
      </w:tblGrid>
      <w:tr w:rsidR="00024CB8" w:rsidRPr="00024CB8" w14:paraId="45301849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C0B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058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B29E" w14:textId="079171AE" w:rsidR="00024CB8" w:rsidRPr="00024CB8" w:rsidRDefault="00B5335B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192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486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5F63E69F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8DE5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12E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644" w14:textId="02B12FE1" w:rsidR="00024CB8" w:rsidRPr="00024CB8" w:rsidRDefault="00024CB8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751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436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71DBE983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4EC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3383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ECD" w14:textId="0A183DF3" w:rsidR="00024CB8" w:rsidRPr="00024CB8" w:rsidRDefault="00A626DE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2,945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269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68867FC9" w14:textId="77777777" w:rsidTr="00024CB8">
        <w:trPr>
          <w:trHeight w:val="32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4BE4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39A0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9A1F" w14:textId="3670F7EA" w:rsidR="00024CB8" w:rsidRPr="00024CB8" w:rsidRDefault="00900F4A" w:rsidP="00C1136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1,198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72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024CB8" w:rsidRPr="00024CB8" w14:paraId="40FCFF3F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2AC6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9EDB" w14:textId="31C006D2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410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28D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24CB8" w:rsidRPr="00024CB8" w14:paraId="392FC627" w14:textId="77777777" w:rsidTr="00024CB8">
        <w:trPr>
          <w:trHeight w:val="32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FBBD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20F" w14:textId="6385EB2B" w:rsidR="00024CB8" w:rsidRPr="00024CB8" w:rsidRDefault="00424C72" w:rsidP="00C1136D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788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C601D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77313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DF78" w14:textId="77777777" w:rsidR="00024CB8" w:rsidRPr="00024CB8" w:rsidRDefault="00024CB8" w:rsidP="00024CB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8D18B8C" w14:textId="77777777"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9E381B5" w14:textId="77777777"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47F3BC5E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14:paraId="6C8E4427" w14:textId="0C845971" w:rsidR="005B79DF" w:rsidRDefault="005B79DF" w:rsidP="00DC234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C601DE">
        <w:rPr>
          <w:rFonts w:ascii="Soberana Sans Light" w:hAnsi="Soberana Sans Light"/>
          <w:sz w:val="22"/>
          <w:szCs w:val="22"/>
          <w:lang w:val="es-MX"/>
        </w:rPr>
        <w:t>, p</w:t>
      </w:r>
      <w:r w:rsidR="00DC234B">
        <w:rPr>
          <w:rFonts w:ascii="Soberana Sans Light" w:hAnsi="Soberana Sans Light"/>
          <w:sz w:val="22"/>
          <w:szCs w:val="22"/>
          <w:lang w:val="es-MX"/>
        </w:rPr>
        <w:t xml:space="preserve">rocede de la </w:t>
      </w:r>
      <w:r w:rsidR="00DC234B" w:rsidRPr="00DC234B">
        <w:rPr>
          <w:rFonts w:ascii="Soberana Sans Light" w:hAnsi="Soberana Sans Light"/>
          <w:sz w:val="22"/>
          <w:szCs w:val="22"/>
          <w:lang w:val="es-MX"/>
        </w:rPr>
        <w:t>recepción de las aportaciones ordinarias</w:t>
      </w:r>
      <w:r w:rsidR="00DC234B">
        <w:rPr>
          <w:rFonts w:ascii="Soberana Sans Light" w:hAnsi="Soberana Sans Light"/>
          <w:sz w:val="22"/>
          <w:szCs w:val="22"/>
          <w:lang w:val="es-MX"/>
        </w:rPr>
        <w:t xml:space="preserve"> y</w:t>
      </w:r>
      <w:r w:rsidR="00DC234B" w:rsidRPr="00DC234B">
        <w:rPr>
          <w:rFonts w:ascii="Soberana Sans Light" w:hAnsi="Soberana Sans Light"/>
          <w:sz w:val="22"/>
          <w:szCs w:val="22"/>
          <w:lang w:val="es-MX"/>
        </w:rPr>
        <w:t xml:space="preserve"> extraordinarias 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>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14:paraId="28D97C7D" w14:textId="77777777"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14:paraId="3A8985AD" w14:textId="4B5A27F1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CBB1EA4" w14:textId="720B31E9" w:rsidR="00900F4A" w:rsidRDefault="00900F4A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286A86A" w14:textId="72F7AC38" w:rsidR="009C2D9E" w:rsidRDefault="009C2D9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DCBEF87" w14:textId="77777777" w:rsidR="009C2D9E" w:rsidRPr="00540418" w:rsidRDefault="009C2D9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48DA1583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14:paraId="7178305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2AE4173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0B5C1C29" w14:textId="77777777" w:rsidR="00540418" w:rsidRDefault="00D00F77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7B10FAF" w14:textId="77777777" w:rsidR="00A626DE" w:rsidRPr="00540418" w:rsidRDefault="00A626DE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81"/>
        <w:gridCol w:w="1812"/>
        <w:gridCol w:w="1892"/>
      </w:tblGrid>
      <w:tr w:rsidR="007E336F" w:rsidRPr="003C40D5" w14:paraId="47378264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2EE5" w14:textId="77777777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Concepto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E65A" w14:textId="739B0BE4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2020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D865" w14:textId="33BCF75C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2019</w:t>
            </w:r>
          </w:p>
        </w:tc>
      </w:tr>
      <w:tr w:rsidR="007E336F" w:rsidRPr="003C40D5" w14:paraId="73B8CD11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1F27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</w:rPr>
            </w:pPr>
            <w:r w:rsidRPr="007E336F">
              <w:rPr>
                <w:sz w:val="20"/>
                <w:lang w:val="es-MX"/>
              </w:rPr>
              <w:t>Efectivo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F96D" w14:textId="6B39A287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B7C4" w14:textId="5CEF248B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F48B613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F07A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Bancos/Tesorería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2FFD" w14:textId="42A5A2B0" w:rsidR="007E336F" w:rsidRPr="007E336F" w:rsidRDefault="00773135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rFonts w:ascii="Soberana Sans Light" w:hAnsi="Soberana Sans Light"/>
                <w:sz w:val="20"/>
                <w:lang w:val="es-MX"/>
              </w:rPr>
              <w:t>278,078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FB8B" w14:textId="4137EEF2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rFonts w:ascii="Soberana Sans Light" w:hAnsi="Soberana Sans Light"/>
                <w:sz w:val="20"/>
                <w:lang w:val="es-MX"/>
              </w:rPr>
              <w:t>552,685</w:t>
            </w:r>
          </w:p>
        </w:tc>
      </w:tr>
      <w:tr w:rsidR="007E336F" w:rsidRPr="003C40D5" w14:paraId="5065C68E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C1AE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Bancos/Dependencias y Otros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14B1" w14:textId="046D9335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9408" w14:textId="0BBDC50B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4610952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12A5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34B6" w14:textId="0C3431C4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EBD5" w14:textId="5DAE591F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70A762F2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5871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Fondos con Afectación Específica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D619" w14:textId="6767C3AB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37E6" w14:textId="353AE27D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5929F443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C96F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Depósitos de Fondos de Terceros en Garantía y/o Administración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9A56" w14:textId="7BCC42C5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CE7A" w14:textId="0866D48E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764A7FB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954B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Otros Efectivos y Equivalentes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27C0" w14:textId="070CFEF9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D1DC" w14:textId="30238369" w:rsidR="007E336F" w:rsidRPr="007E336F" w:rsidRDefault="009C2D9E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3534C0B9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37D4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proofErr w:type="gramStart"/>
            <w:r w:rsidRPr="007E336F">
              <w:rPr>
                <w:b/>
                <w:sz w:val="20"/>
                <w:lang w:val="es-MX"/>
              </w:rPr>
              <w:t>Total</w:t>
            </w:r>
            <w:proofErr w:type="gramEnd"/>
            <w:r w:rsidRPr="007E336F">
              <w:rPr>
                <w:b/>
                <w:sz w:val="20"/>
                <w:lang w:val="es-MX"/>
              </w:rPr>
              <w:t xml:space="preserve"> de Efectivo y Equivalentes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8C39" w14:textId="009CBB99" w:rsidR="007E336F" w:rsidRPr="007E336F" w:rsidRDefault="00773135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sz w:val="20"/>
                <w:lang w:val="es-MX"/>
              </w:rPr>
              <w:t>278,078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0FC6" w14:textId="2672C29C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rFonts w:ascii="Soberana Sans Light" w:hAnsi="Soberana Sans Light"/>
                <w:sz w:val="20"/>
                <w:lang w:val="es-MX"/>
              </w:rPr>
              <w:t>552,685</w:t>
            </w:r>
          </w:p>
        </w:tc>
      </w:tr>
    </w:tbl>
    <w:p w14:paraId="04EC6CBC" w14:textId="4B0F85B8" w:rsidR="007E336F" w:rsidRDefault="007E336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399304" w14:textId="77777777"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14:paraId="5AC9DC64" w14:textId="77777777"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92"/>
        <w:gridCol w:w="1517"/>
        <w:gridCol w:w="1609"/>
      </w:tblGrid>
      <w:tr w:rsidR="007E336F" w:rsidRPr="003C40D5" w14:paraId="080F0F58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6D97" w14:textId="77777777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Concepto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EDC" w14:textId="21355685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2020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B210" w14:textId="78E4502F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2019</w:t>
            </w:r>
          </w:p>
        </w:tc>
      </w:tr>
      <w:tr w:rsidR="007E336F" w:rsidRPr="003C40D5" w14:paraId="71830C1F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5C70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Resultados del Ejercicio Ahorro/Desahorro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ABD" w14:textId="372F7C38" w:rsidR="007E336F" w:rsidRPr="007E336F" w:rsidRDefault="00773135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375,052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ADA2" w14:textId="7ECDA2EF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678,830</w:t>
            </w:r>
          </w:p>
        </w:tc>
      </w:tr>
      <w:tr w:rsidR="007E336F" w:rsidRPr="003C40D5" w14:paraId="03E753FB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ED28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Movimientos de partidas (o rubros) que no afectan al efectivo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06F3" w14:textId="7EB07099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75F1" w14:textId="4C73E7CB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0</w:t>
            </w:r>
          </w:p>
        </w:tc>
      </w:tr>
      <w:tr w:rsidR="007E336F" w:rsidRPr="003C40D5" w14:paraId="7AE4F701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64DA" w14:textId="77777777" w:rsidR="007E336F" w:rsidRPr="007E336F" w:rsidRDefault="007E336F" w:rsidP="00301282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Depreciación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E087" w14:textId="57F06C5C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302" w14:textId="79FAC639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6999991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D50E" w14:textId="77777777" w:rsidR="007E336F" w:rsidRPr="007E336F" w:rsidRDefault="007E336F" w:rsidP="00301282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Amortización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3EF2" w14:textId="503ED89E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0FB" w14:textId="72789C31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04989F25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4E75" w14:textId="77777777" w:rsidR="007E336F" w:rsidRPr="007E336F" w:rsidRDefault="007E336F" w:rsidP="00301282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Incrementos en las provisiones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9EDE" w14:textId="73AB9A1C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59D" w14:textId="598DE0A7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037F3433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1060" w14:textId="77777777" w:rsidR="007E336F" w:rsidRPr="007E336F" w:rsidRDefault="007E336F" w:rsidP="00301282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2D16" w14:textId="26A736B9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625C" w14:textId="595DDABD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CB57BC0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34A9" w14:textId="77777777" w:rsidR="007E336F" w:rsidRPr="007E336F" w:rsidRDefault="007E336F" w:rsidP="00301282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Ganancia/pérdida en venta de bienes muebles, inmuebles e intangibles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10B5" w14:textId="37838972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DD5F" w14:textId="74B70FEC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2233619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4059" w14:textId="77777777" w:rsidR="007E336F" w:rsidRPr="007E336F" w:rsidRDefault="007E336F" w:rsidP="00301282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 en cuentas por cobrar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A119" w14:textId="629474BE" w:rsidR="007E336F" w:rsidRPr="007E336F" w:rsidRDefault="007E336F" w:rsidP="007E336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2535" w14:textId="7E422E91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290598A5" w14:textId="77777777" w:rsidTr="009C2D9E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40BC" w14:textId="77777777" w:rsidR="007E336F" w:rsidRPr="007E336F" w:rsidRDefault="007E336F" w:rsidP="00301282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b/>
                <w:color w:val="000000"/>
                <w:sz w:val="20"/>
              </w:rPr>
              <w:t>Flujos de Efectivo Netos de las Actividades de Operación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5C77" w14:textId="535C9D80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17EC" w14:textId="3F5DCDA3" w:rsidR="007E336F" w:rsidRPr="007E336F" w:rsidRDefault="007E336F" w:rsidP="00301282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</w:tr>
    </w:tbl>
    <w:p w14:paraId="5B5A2AD4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14:paraId="2D29F10A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D10E74C" w14:textId="77777777"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C862035" w14:textId="77777777"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5C166548" w14:textId="42650EC2" w:rsidR="005630D7" w:rsidRDefault="00630E87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object w:dxaOrig="1440" w:dyaOrig="1440" w14:anchorId="6767F0DE">
          <v:shape id="_x0000_s1030" type="#_x0000_t75" style="position:absolute;left:0;text-align:left;margin-left:288.05pt;margin-top:22.2pt;width:393.85pt;height:351.3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71281584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 w14:anchorId="1990706F">
          <v:shape id="_x0000_s1028" type="#_x0000_t75" style="position:absolute;left:0;text-align:left;margin-left:-6.45pt;margin-top:23.1pt;width:274.6pt;height:353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71281585" r:id="rId25"/>
        </w:object>
      </w:r>
    </w:p>
    <w:p w14:paraId="508E63AD" w14:textId="15433313" w:rsidR="004E4F8E" w:rsidRPr="008F28C4" w:rsidRDefault="004E4F8E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0192B633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7464678A" w14:textId="77777777"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14:paraId="4AE50EFF" w14:textId="77777777"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507D2760" w14:textId="77777777"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C5C6670" w14:textId="77777777"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FD2CB5A" w14:textId="77777777"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4D00E7E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14:paraId="7CC8C698" w14:textId="77777777"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3D77B8B8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14:paraId="34F63C4B" w14:textId="729519E2"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</w:t>
      </w:r>
      <w:r w:rsidR="001A7657">
        <w:rPr>
          <w:rFonts w:ascii="Soberana Sans Light" w:hAnsi="Soberana Sans Light"/>
          <w:sz w:val="22"/>
          <w:szCs w:val="22"/>
        </w:rPr>
        <w:t>20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14:paraId="6573CDBB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6A85986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237F344F" w14:textId="006FB50C" w:rsidR="00500138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</w:t>
      </w:r>
      <w:r w:rsidR="004A5B38">
        <w:rPr>
          <w:rFonts w:ascii="Soberana Sans Light" w:hAnsi="Soberana Sans Light"/>
          <w:sz w:val="22"/>
          <w:szCs w:val="22"/>
          <w:lang w:val="es-MX"/>
        </w:rPr>
        <w:t>20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4A5B38">
        <w:rPr>
          <w:rFonts w:ascii="Soberana Sans Light" w:hAnsi="Soberana Sans Light"/>
          <w:sz w:val="22"/>
          <w:szCs w:val="22"/>
          <w:lang w:val="es-MX"/>
        </w:rPr>
        <w:t>708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3</w:t>
      </w:r>
      <w:r w:rsidR="004A5B38">
        <w:rPr>
          <w:rFonts w:ascii="Soberana Sans Light" w:hAnsi="Soberana Sans Light"/>
          <w:sz w:val="22"/>
          <w:szCs w:val="22"/>
          <w:lang w:val="es-MX"/>
        </w:rPr>
        <w:t>83</w:t>
      </w:r>
      <w:r>
        <w:rPr>
          <w:rFonts w:ascii="Soberana Sans Light" w:hAnsi="Soberana Sans Light"/>
          <w:sz w:val="22"/>
          <w:szCs w:val="22"/>
          <w:lang w:val="es-MX"/>
        </w:rPr>
        <w:t>.56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14:paraId="58813ED0" w14:textId="7466BB8B" w:rsidR="007D556F" w:rsidRDefault="007D556F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ejercicio </w:t>
      </w:r>
      <w:r w:rsidRPr="00550596">
        <w:rPr>
          <w:rFonts w:ascii="Soberana Sans Light" w:hAnsi="Soberana Sans Light"/>
          <w:sz w:val="22"/>
          <w:szCs w:val="22"/>
          <w:lang w:val="es-MX"/>
        </w:rPr>
        <w:t>se realiza reducción del 5% al presupuesto autorizado estatal 20</w:t>
      </w:r>
      <w:r>
        <w:rPr>
          <w:rFonts w:ascii="Soberana Sans Light" w:hAnsi="Soberana Sans Light"/>
          <w:sz w:val="22"/>
          <w:szCs w:val="22"/>
          <w:lang w:val="es-MX"/>
        </w:rPr>
        <w:t>20</w:t>
      </w:r>
      <w:r w:rsidRPr="00550596">
        <w:rPr>
          <w:rFonts w:ascii="Soberana Sans Light" w:hAnsi="Soberana Sans Light"/>
          <w:sz w:val="22"/>
          <w:szCs w:val="22"/>
          <w:lang w:val="es-MX"/>
        </w:rPr>
        <w:t>, en base al art. 1</w:t>
      </w:r>
      <w:r>
        <w:rPr>
          <w:rFonts w:ascii="Soberana Sans Light" w:hAnsi="Soberana Sans Light"/>
          <w:sz w:val="22"/>
          <w:szCs w:val="22"/>
          <w:lang w:val="es-MX"/>
        </w:rPr>
        <w:t xml:space="preserve"> y 2</w:t>
      </w:r>
      <w:r w:rsidRPr="00550596">
        <w:rPr>
          <w:rFonts w:ascii="Soberana Sans Light" w:hAnsi="Soberana Sans Light"/>
          <w:sz w:val="22"/>
          <w:szCs w:val="22"/>
          <w:lang w:val="es-MX"/>
        </w:rPr>
        <w:t>, fracción III, titulo primero de los lineamientos y políticas generales del ejercicio del presupuesto, las medidas de mejora y modernización, así como de austeridad del gasto público de la gestión administrativa 20</w:t>
      </w:r>
      <w:r>
        <w:rPr>
          <w:rFonts w:ascii="Soberana Sans Light" w:hAnsi="Soberana Sans Light"/>
          <w:sz w:val="22"/>
          <w:szCs w:val="22"/>
          <w:lang w:val="es-MX"/>
        </w:rPr>
        <w:t>20.</w:t>
      </w:r>
    </w:p>
    <w:p w14:paraId="38FA2960" w14:textId="77777777"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0121520" w14:textId="77777777"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00C150E2" w14:textId="77777777"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14:paraId="1348A314" w14:textId="77777777"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14:paraId="64A4F9DA" w14:textId="77777777"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14:paraId="2811FF6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7F83BB" w14:textId="77777777"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17ED8610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E3CC139" w14:textId="77777777"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14:paraId="4BCD5E08" w14:textId="77777777"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14:paraId="209D26D5" w14:textId="77777777"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14:paraId="47E78F9F" w14:textId="26D34A55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</w:t>
      </w:r>
      <w:r w:rsidR="004A5B38">
        <w:rPr>
          <w:rFonts w:ascii="Soberana Sans Light" w:hAnsi="Soberana Sans Light"/>
          <w:sz w:val="22"/>
          <w:szCs w:val="22"/>
        </w:rPr>
        <w:t>20</w:t>
      </w:r>
    </w:p>
    <w:p w14:paraId="197DA33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14:paraId="03EBA118" w14:textId="77777777"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14:paraId="018FD1F7" w14:textId="77777777"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14:paraId="0576A5B5" w14:textId="77777777"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14:paraId="33BFD457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14:paraId="6141ECCC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14:paraId="39262AD5" w14:textId="77777777"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14:paraId="084611F0" w14:textId="77777777"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14:paraId="032ACE87" w14:textId="77777777"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C41B636" w14:textId="12D769E3" w:rsidR="00F0338A" w:rsidRDefault="00F0338A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847">
        <w:rPr>
          <w:rFonts w:ascii="Soberana Sans Light" w:hAnsi="Soberana Sans Light"/>
          <w:sz w:val="22"/>
          <w:szCs w:val="22"/>
          <w:lang w:val="es-MX"/>
        </w:rPr>
        <w:tab/>
      </w:r>
    </w:p>
    <w:p w14:paraId="6D05D61F" w14:textId="77777777" w:rsidR="004A5B38" w:rsidRPr="00F67671" w:rsidRDefault="004A5B38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FF7ECB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Bases de Preparación de los Estados Financieros</w:t>
      </w:r>
    </w:p>
    <w:p w14:paraId="05402031" w14:textId="77777777" w:rsidR="00540418" w:rsidRPr="00540418" w:rsidRDefault="00536C9D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81F9BC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14:paraId="3FA78F3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14:paraId="1A2ED34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14:paraId="116B3204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14:paraId="586A8F48" w14:textId="77777777"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14:paraId="0B07901B" w14:textId="77777777" w:rsidR="00550596" w:rsidRPr="00540418" w:rsidRDefault="0055059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301235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14:paraId="1B375026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340A93E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14:paraId="14D9C7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14:paraId="01D7F7B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14:paraId="5545E8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14:paraId="76061C66" w14:textId="77777777"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14:paraId="637C6465" w14:textId="77777777"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14:paraId="362473E6" w14:textId="77777777"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14:paraId="2F7F060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14:paraId="37176C0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14:paraId="1898EDF7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14:paraId="3DEDDBE5" w14:textId="77777777"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919BEC0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14:paraId="1BB7AE6F" w14:textId="77777777"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14:paraId="70AB9444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163DA89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14:paraId="6EC3678C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5968656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14:paraId="1506723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14:paraId="3357728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3CD09B4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14:paraId="29E0BEAB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2DFF667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14:paraId="3A0B7E0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14:paraId="65EE0032" w14:textId="77777777"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14:paraId="768A6676" w14:textId="13F446FF"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</w:r>
    </w:p>
    <w:p w14:paraId="1D544F20" w14:textId="77777777" w:rsidR="004A5B38" w:rsidRDefault="004A5B38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689B713" w14:textId="77777777"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14:paraId="5C4137A1" w14:textId="77777777"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14:paraId="4D0012A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6D756A0" w14:textId="77777777"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E22EB13" w14:textId="77777777"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14:paraId="7CA12585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D29558E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14:paraId="45C3F457" w14:textId="77777777"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09817996" w14:textId="77777777" w:rsidR="00E16DC6" w:rsidRPr="00540418" w:rsidRDefault="00E16DC6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7222A03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14:paraId="04B2899D" w14:textId="77777777"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14:paraId="5055FB5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D971D8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14:paraId="7953B7D9" w14:textId="77777777"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BC105CE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570880FB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14:paraId="7C491285" w14:textId="77777777"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14:paraId="1A586364" w14:textId="77777777" w:rsidR="00E16DC6" w:rsidRPr="00540418" w:rsidRDefault="00E16DC6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BE9BC8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14:paraId="60F29900" w14:textId="77777777"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14:paraId="55E48EE8" w14:textId="77777777" w:rsidR="00E16DC6" w:rsidRPr="00EB3C50" w:rsidRDefault="00E16DC6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4B486D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14:paraId="2F2657E3" w14:textId="77777777"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14:paraId="6D067495" w14:textId="77777777" w:rsidR="00E16DC6" w:rsidRPr="00540418" w:rsidRDefault="00E16DC6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BB35F2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14:paraId="1B565215" w14:textId="77777777"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14:paraId="5997AD38" w14:textId="77777777" w:rsidR="00E16DC6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ADD2306" w14:textId="77777777"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Responsabilidad Sobre la Presentación Razonable de la Información Contable</w:t>
      </w:r>
    </w:p>
    <w:p w14:paraId="00956351" w14:textId="77777777"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14:paraId="7E0FCE7F" w14:textId="77777777" w:rsidR="00001107" w:rsidRDefault="0053231C" w:rsidP="00D614E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5536087F">
          <v:shape id="_x0000_s1038" type="#_x0000_t75" style="position:absolute;left:0;text-align:left;margin-left:-5.55pt;margin-top:13.75pt;width:738.55pt;height:62.7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71281586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486D" w14:textId="77777777"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14:paraId="4CDD3B74" w14:textId="77777777"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CD46" w14:textId="7082D5BD" w:rsidR="00001502" w:rsidRPr="0013011C" w:rsidRDefault="0053231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451790"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6D28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286D28" w:rsidRPr="0013011C">
          <w:rPr>
            <w:rFonts w:ascii="Soberana Sans Light" w:hAnsi="Soberana Sans Light"/>
          </w:rPr>
          <w:fldChar w:fldCharType="separate"/>
        </w:r>
        <w:r w:rsidR="003017AB" w:rsidRPr="003017AB">
          <w:rPr>
            <w:rFonts w:ascii="Soberana Sans Light" w:hAnsi="Soberana Sans Light"/>
            <w:noProof/>
            <w:lang w:val="es-ES"/>
          </w:rPr>
          <w:t>2</w:t>
        </w:r>
        <w:r w:rsidR="00286D28" w:rsidRPr="0013011C">
          <w:rPr>
            <w:rFonts w:ascii="Soberana Sans Light" w:hAnsi="Soberana Sans Light"/>
          </w:rPr>
          <w:fldChar w:fldCharType="end"/>
        </w:r>
      </w:sdtContent>
    </w:sdt>
  </w:p>
  <w:p w14:paraId="1005BB97" w14:textId="77777777"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DA3B" w14:textId="797001A9" w:rsidR="00001502" w:rsidRPr="008E3652" w:rsidRDefault="005323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DA5D4EA"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286D28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286D28" w:rsidRPr="008E3652">
          <w:rPr>
            <w:rFonts w:ascii="Soberana Sans Light" w:hAnsi="Soberana Sans Light"/>
          </w:rPr>
          <w:fldChar w:fldCharType="separate"/>
        </w:r>
        <w:r w:rsidR="003017AB" w:rsidRPr="003017AB">
          <w:rPr>
            <w:rFonts w:ascii="Soberana Sans Light" w:hAnsi="Soberana Sans Light"/>
            <w:noProof/>
            <w:lang w:val="es-ES"/>
          </w:rPr>
          <w:t>1</w:t>
        </w:r>
        <w:r w:rsidR="00286D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D67E" w14:textId="77777777"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14:paraId="0F75C7E8" w14:textId="77777777"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A2E4" w14:textId="77777777" w:rsidR="00001502" w:rsidRDefault="0053231C">
    <w:pPr>
      <w:pStyle w:val="Encabezado"/>
    </w:pPr>
    <w:r>
      <w:rPr>
        <w:noProof/>
        <w:lang w:eastAsia="es-MX"/>
      </w:rPr>
      <w:pict w14:anchorId="7D564EB4"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65F33E5" w14:textId="77777777"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D5698C8" w14:textId="77777777"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E2FFA29" w14:textId="77777777"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3917616D" w14:textId="266F0CC5"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153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1015BE0" w14:textId="77777777"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C2E92F1" w14:textId="77777777"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316445A"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8067" w14:textId="77777777" w:rsidR="00001502" w:rsidRPr="0013011C" w:rsidRDefault="005323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8491F5D"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4ED"/>
    <w:rsid w:val="00000C29"/>
    <w:rsid w:val="00001107"/>
    <w:rsid w:val="00001502"/>
    <w:rsid w:val="00010119"/>
    <w:rsid w:val="00012EE9"/>
    <w:rsid w:val="00022E21"/>
    <w:rsid w:val="0002304D"/>
    <w:rsid w:val="00024CB8"/>
    <w:rsid w:val="00032817"/>
    <w:rsid w:val="0003525A"/>
    <w:rsid w:val="00040466"/>
    <w:rsid w:val="00041371"/>
    <w:rsid w:val="00045A10"/>
    <w:rsid w:val="0005187B"/>
    <w:rsid w:val="00060242"/>
    <w:rsid w:val="00062E40"/>
    <w:rsid w:val="00067BCC"/>
    <w:rsid w:val="00067D47"/>
    <w:rsid w:val="00074CFF"/>
    <w:rsid w:val="0008167B"/>
    <w:rsid w:val="0008265F"/>
    <w:rsid w:val="00084450"/>
    <w:rsid w:val="000959C0"/>
    <w:rsid w:val="000A09A1"/>
    <w:rsid w:val="000B2EB5"/>
    <w:rsid w:val="000B6FF9"/>
    <w:rsid w:val="000B7F6D"/>
    <w:rsid w:val="000C221F"/>
    <w:rsid w:val="000C26F7"/>
    <w:rsid w:val="000C537C"/>
    <w:rsid w:val="000C5795"/>
    <w:rsid w:val="000C6D32"/>
    <w:rsid w:val="000C7239"/>
    <w:rsid w:val="000D4C0B"/>
    <w:rsid w:val="000D7911"/>
    <w:rsid w:val="000E254C"/>
    <w:rsid w:val="000E28CF"/>
    <w:rsid w:val="000E66E5"/>
    <w:rsid w:val="001149F9"/>
    <w:rsid w:val="001163C7"/>
    <w:rsid w:val="001273BD"/>
    <w:rsid w:val="0013011C"/>
    <w:rsid w:val="00133923"/>
    <w:rsid w:val="00153FB6"/>
    <w:rsid w:val="00160D40"/>
    <w:rsid w:val="00165BB4"/>
    <w:rsid w:val="0016720B"/>
    <w:rsid w:val="00171CD3"/>
    <w:rsid w:val="001824DD"/>
    <w:rsid w:val="00194C97"/>
    <w:rsid w:val="00195F65"/>
    <w:rsid w:val="001965E5"/>
    <w:rsid w:val="00196657"/>
    <w:rsid w:val="001A1655"/>
    <w:rsid w:val="001A7657"/>
    <w:rsid w:val="001B1B72"/>
    <w:rsid w:val="001B3BC4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1F50B1"/>
    <w:rsid w:val="00203DB9"/>
    <w:rsid w:val="00204C86"/>
    <w:rsid w:val="0022316C"/>
    <w:rsid w:val="0024186E"/>
    <w:rsid w:val="00242F2B"/>
    <w:rsid w:val="00250CED"/>
    <w:rsid w:val="00261ED5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86D28"/>
    <w:rsid w:val="002A02AD"/>
    <w:rsid w:val="002A053A"/>
    <w:rsid w:val="002A2C60"/>
    <w:rsid w:val="002A4EBC"/>
    <w:rsid w:val="002A70B3"/>
    <w:rsid w:val="002B0FD9"/>
    <w:rsid w:val="002C600E"/>
    <w:rsid w:val="002D2FA0"/>
    <w:rsid w:val="002D4F44"/>
    <w:rsid w:val="002D5DFE"/>
    <w:rsid w:val="002F04FF"/>
    <w:rsid w:val="002F25AC"/>
    <w:rsid w:val="00300F15"/>
    <w:rsid w:val="003017AB"/>
    <w:rsid w:val="00304936"/>
    <w:rsid w:val="00313684"/>
    <w:rsid w:val="00334E13"/>
    <w:rsid w:val="00344586"/>
    <w:rsid w:val="003462FC"/>
    <w:rsid w:val="003473D4"/>
    <w:rsid w:val="00351B7F"/>
    <w:rsid w:val="00360969"/>
    <w:rsid w:val="00363FE5"/>
    <w:rsid w:val="00364479"/>
    <w:rsid w:val="00365448"/>
    <w:rsid w:val="003661A4"/>
    <w:rsid w:val="003664FE"/>
    <w:rsid w:val="00367FEC"/>
    <w:rsid w:val="00371C8D"/>
    <w:rsid w:val="00372F40"/>
    <w:rsid w:val="00373D42"/>
    <w:rsid w:val="003846AC"/>
    <w:rsid w:val="00386039"/>
    <w:rsid w:val="00391492"/>
    <w:rsid w:val="00396C2B"/>
    <w:rsid w:val="003A0303"/>
    <w:rsid w:val="003B047B"/>
    <w:rsid w:val="003B2B61"/>
    <w:rsid w:val="003B6816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3F6E5A"/>
    <w:rsid w:val="004006B0"/>
    <w:rsid w:val="00411136"/>
    <w:rsid w:val="00412AF1"/>
    <w:rsid w:val="0041672F"/>
    <w:rsid w:val="00417866"/>
    <w:rsid w:val="00417D8B"/>
    <w:rsid w:val="00424C72"/>
    <w:rsid w:val="00430282"/>
    <w:rsid w:val="00430E2E"/>
    <w:rsid w:val="00430F89"/>
    <w:rsid w:val="004311BE"/>
    <w:rsid w:val="00431A5B"/>
    <w:rsid w:val="0043302E"/>
    <w:rsid w:val="00434B2A"/>
    <w:rsid w:val="00437487"/>
    <w:rsid w:val="00441858"/>
    <w:rsid w:val="0044253C"/>
    <w:rsid w:val="00446B3B"/>
    <w:rsid w:val="00450B89"/>
    <w:rsid w:val="00451D63"/>
    <w:rsid w:val="004544AA"/>
    <w:rsid w:val="00456AD8"/>
    <w:rsid w:val="00456FB9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A5B38"/>
    <w:rsid w:val="004A6AE6"/>
    <w:rsid w:val="004B0B8C"/>
    <w:rsid w:val="004C3323"/>
    <w:rsid w:val="004C49B9"/>
    <w:rsid w:val="004C5CE5"/>
    <w:rsid w:val="004D1DA9"/>
    <w:rsid w:val="004D37DF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4F6106"/>
    <w:rsid w:val="00500138"/>
    <w:rsid w:val="00522632"/>
    <w:rsid w:val="00522EF3"/>
    <w:rsid w:val="00527663"/>
    <w:rsid w:val="00531450"/>
    <w:rsid w:val="0053231C"/>
    <w:rsid w:val="00536C9D"/>
    <w:rsid w:val="00540418"/>
    <w:rsid w:val="00542BC1"/>
    <w:rsid w:val="005431CC"/>
    <w:rsid w:val="005444A1"/>
    <w:rsid w:val="00550596"/>
    <w:rsid w:val="00553D2D"/>
    <w:rsid w:val="005630D7"/>
    <w:rsid w:val="005647C1"/>
    <w:rsid w:val="00574266"/>
    <w:rsid w:val="00583900"/>
    <w:rsid w:val="00585D16"/>
    <w:rsid w:val="00587ACD"/>
    <w:rsid w:val="00593776"/>
    <w:rsid w:val="00594FAA"/>
    <w:rsid w:val="005956A8"/>
    <w:rsid w:val="005A0FA2"/>
    <w:rsid w:val="005A52DC"/>
    <w:rsid w:val="005A631B"/>
    <w:rsid w:val="005A76EC"/>
    <w:rsid w:val="005B09F0"/>
    <w:rsid w:val="005B3EB2"/>
    <w:rsid w:val="005B5C54"/>
    <w:rsid w:val="005B7953"/>
    <w:rsid w:val="005B79DF"/>
    <w:rsid w:val="005C5443"/>
    <w:rsid w:val="005C67C8"/>
    <w:rsid w:val="005C7522"/>
    <w:rsid w:val="005D028D"/>
    <w:rsid w:val="005D0EE4"/>
    <w:rsid w:val="005D1D9F"/>
    <w:rsid w:val="005D3D25"/>
    <w:rsid w:val="005D4F07"/>
    <w:rsid w:val="005E0032"/>
    <w:rsid w:val="005E3435"/>
    <w:rsid w:val="005E6FC0"/>
    <w:rsid w:val="005F1214"/>
    <w:rsid w:val="005F55FD"/>
    <w:rsid w:val="006152C9"/>
    <w:rsid w:val="00625757"/>
    <w:rsid w:val="00630E8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6F24"/>
    <w:rsid w:val="006E4256"/>
    <w:rsid w:val="006E48D4"/>
    <w:rsid w:val="006E5831"/>
    <w:rsid w:val="006E77DD"/>
    <w:rsid w:val="006E7F1A"/>
    <w:rsid w:val="006F08DE"/>
    <w:rsid w:val="006F4438"/>
    <w:rsid w:val="006F47CF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73135"/>
    <w:rsid w:val="0077628A"/>
    <w:rsid w:val="007841FE"/>
    <w:rsid w:val="00785063"/>
    <w:rsid w:val="0079582C"/>
    <w:rsid w:val="007A09E1"/>
    <w:rsid w:val="007A57E8"/>
    <w:rsid w:val="007B18B8"/>
    <w:rsid w:val="007B553E"/>
    <w:rsid w:val="007D2329"/>
    <w:rsid w:val="007D4A13"/>
    <w:rsid w:val="007D556F"/>
    <w:rsid w:val="007D6E9A"/>
    <w:rsid w:val="007E336F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89"/>
    <w:rsid w:val="008766FF"/>
    <w:rsid w:val="008777DA"/>
    <w:rsid w:val="00880EA3"/>
    <w:rsid w:val="00884D81"/>
    <w:rsid w:val="0089054E"/>
    <w:rsid w:val="008A6AA9"/>
    <w:rsid w:val="008A6E4D"/>
    <w:rsid w:val="008A793D"/>
    <w:rsid w:val="008B0017"/>
    <w:rsid w:val="008B29CB"/>
    <w:rsid w:val="008B4390"/>
    <w:rsid w:val="008B7386"/>
    <w:rsid w:val="008C0F48"/>
    <w:rsid w:val="008C2BC3"/>
    <w:rsid w:val="008C55F3"/>
    <w:rsid w:val="008D196B"/>
    <w:rsid w:val="008D29D1"/>
    <w:rsid w:val="008D3406"/>
    <w:rsid w:val="008D4C47"/>
    <w:rsid w:val="008D65D9"/>
    <w:rsid w:val="008D70AE"/>
    <w:rsid w:val="008E3652"/>
    <w:rsid w:val="008E6064"/>
    <w:rsid w:val="008F28C4"/>
    <w:rsid w:val="008F6D58"/>
    <w:rsid w:val="00900F4A"/>
    <w:rsid w:val="00901159"/>
    <w:rsid w:val="00902D7D"/>
    <w:rsid w:val="00907F5D"/>
    <w:rsid w:val="0093492C"/>
    <w:rsid w:val="00943071"/>
    <w:rsid w:val="009520EF"/>
    <w:rsid w:val="009525A6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50ED"/>
    <w:rsid w:val="0099234D"/>
    <w:rsid w:val="009B1CEC"/>
    <w:rsid w:val="009B37DC"/>
    <w:rsid w:val="009B5F3D"/>
    <w:rsid w:val="009C170A"/>
    <w:rsid w:val="009C2319"/>
    <w:rsid w:val="009C2D9E"/>
    <w:rsid w:val="009D3FE3"/>
    <w:rsid w:val="009D5A55"/>
    <w:rsid w:val="009D5D4C"/>
    <w:rsid w:val="009E2A07"/>
    <w:rsid w:val="009E3BC5"/>
    <w:rsid w:val="009F23C4"/>
    <w:rsid w:val="009F3027"/>
    <w:rsid w:val="00A008C2"/>
    <w:rsid w:val="00A0166C"/>
    <w:rsid w:val="00A029A0"/>
    <w:rsid w:val="00A10C24"/>
    <w:rsid w:val="00A12E72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26DE"/>
    <w:rsid w:val="00A66C7A"/>
    <w:rsid w:val="00A670C3"/>
    <w:rsid w:val="00A7276B"/>
    <w:rsid w:val="00A80B8A"/>
    <w:rsid w:val="00A85409"/>
    <w:rsid w:val="00A94784"/>
    <w:rsid w:val="00AA304F"/>
    <w:rsid w:val="00AA376B"/>
    <w:rsid w:val="00AA37AE"/>
    <w:rsid w:val="00AA490E"/>
    <w:rsid w:val="00AB0EA9"/>
    <w:rsid w:val="00AB1941"/>
    <w:rsid w:val="00AC01E1"/>
    <w:rsid w:val="00AC1C34"/>
    <w:rsid w:val="00AD30C2"/>
    <w:rsid w:val="00AF07E1"/>
    <w:rsid w:val="00AF1B7D"/>
    <w:rsid w:val="00AF2F24"/>
    <w:rsid w:val="00AF39B2"/>
    <w:rsid w:val="00B015D6"/>
    <w:rsid w:val="00B06B87"/>
    <w:rsid w:val="00B146E2"/>
    <w:rsid w:val="00B2012C"/>
    <w:rsid w:val="00B216C2"/>
    <w:rsid w:val="00B25B62"/>
    <w:rsid w:val="00B3228D"/>
    <w:rsid w:val="00B361AB"/>
    <w:rsid w:val="00B36A1D"/>
    <w:rsid w:val="00B42A0A"/>
    <w:rsid w:val="00B46211"/>
    <w:rsid w:val="00B52DD3"/>
    <w:rsid w:val="00B5335B"/>
    <w:rsid w:val="00B60194"/>
    <w:rsid w:val="00B67E11"/>
    <w:rsid w:val="00B71A70"/>
    <w:rsid w:val="00B7260F"/>
    <w:rsid w:val="00B72F32"/>
    <w:rsid w:val="00B73FAD"/>
    <w:rsid w:val="00B76571"/>
    <w:rsid w:val="00B849EE"/>
    <w:rsid w:val="00B84D02"/>
    <w:rsid w:val="00B86D0F"/>
    <w:rsid w:val="00B96579"/>
    <w:rsid w:val="00BA2940"/>
    <w:rsid w:val="00BC5A0D"/>
    <w:rsid w:val="00BC728C"/>
    <w:rsid w:val="00BD3717"/>
    <w:rsid w:val="00BD40BA"/>
    <w:rsid w:val="00BD6091"/>
    <w:rsid w:val="00BD7616"/>
    <w:rsid w:val="00BE18F1"/>
    <w:rsid w:val="00BE24F2"/>
    <w:rsid w:val="00BE6094"/>
    <w:rsid w:val="00BE7979"/>
    <w:rsid w:val="00BF54EF"/>
    <w:rsid w:val="00C06255"/>
    <w:rsid w:val="00C11125"/>
    <w:rsid w:val="00C1136D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06F1"/>
    <w:rsid w:val="00C5294A"/>
    <w:rsid w:val="00C5670D"/>
    <w:rsid w:val="00C601DE"/>
    <w:rsid w:val="00C6391B"/>
    <w:rsid w:val="00C663C4"/>
    <w:rsid w:val="00C70847"/>
    <w:rsid w:val="00C70CC8"/>
    <w:rsid w:val="00C741B7"/>
    <w:rsid w:val="00C815C7"/>
    <w:rsid w:val="00C85449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976"/>
    <w:rsid w:val="00D359F3"/>
    <w:rsid w:val="00D3652A"/>
    <w:rsid w:val="00D44728"/>
    <w:rsid w:val="00D458CE"/>
    <w:rsid w:val="00D47595"/>
    <w:rsid w:val="00D50846"/>
    <w:rsid w:val="00D562FF"/>
    <w:rsid w:val="00D614E5"/>
    <w:rsid w:val="00D6679E"/>
    <w:rsid w:val="00D70012"/>
    <w:rsid w:val="00D743C3"/>
    <w:rsid w:val="00D777E7"/>
    <w:rsid w:val="00D81EC6"/>
    <w:rsid w:val="00D9171B"/>
    <w:rsid w:val="00D91A60"/>
    <w:rsid w:val="00DA022A"/>
    <w:rsid w:val="00DC234B"/>
    <w:rsid w:val="00DE0536"/>
    <w:rsid w:val="00DE081C"/>
    <w:rsid w:val="00DE5164"/>
    <w:rsid w:val="00DF19AE"/>
    <w:rsid w:val="00DF2183"/>
    <w:rsid w:val="00DF56C9"/>
    <w:rsid w:val="00DF60EC"/>
    <w:rsid w:val="00E14F9D"/>
    <w:rsid w:val="00E16DC6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5ABE"/>
    <w:rsid w:val="00E46826"/>
    <w:rsid w:val="00E46BE6"/>
    <w:rsid w:val="00E52828"/>
    <w:rsid w:val="00E53FDB"/>
    <w:rsid w:val="00E613AF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257B"/>
    <w:rsid w:val="00EB3C50"/>
    <w:rsid w:val="00EB63DF"/>
    <w:rsid w:val="00EB64AA"/>
    <w:rsid w:val="00EC3383"/>
    <w:rsid w:val="00ED08E8"/>
    <w:rsid w:val="00ED324C"/>
    <w:rsid w:val="00EE0DA3"/>
    <w:rsid w:val="00EE3B6C"/>
    <w:rsid w:val="00EE46FB"/>
    <w:rsid w:val="00EE5D8E"/>
    <w:rsid w:val="00EF0272"/>
    <w:rsid w:val="00EF1EE2"/>
    <w:rsid w:val="00F0338A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3649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0B27D65F"/>
  <w15:docId w15:val="{7AD47CEC-D47F-4223-AB98-0D9354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,independiente Car Car Car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98F2-A6A4-4837-B951-073547BD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6980</TotalTime>
  <Pages>15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 20</cp:lastModifiedBy>
  <cp:revision>214</cp:revision>
  <cp:lastPrinted>2020-10-07T17:49:00Z</cp:lastPrinted>
  <dcterms:created xsi:type="dcterms:W3CDTF">2014-08-29T13:13:00Z</dcterms:created>
  <dcterms:modified xsi:type="dcterms:W3CDTF">2021-01-04T22:04:00Z</dcterms:modified>
</cp:coreProperties>
</file>