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6C46B"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Además, la Universidad cultiva dentro de un marco de libertad y respeto todas las corrientes del pensamiento filosófico, científico así como los hechos históricos y las doctrinas sociales con la rigurosa objetividad que corresponde a sus fines académicos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La Universidad Autónoma de Tlaxcala es la institución pública de educación superior más importante del estado, generadora de conocimientos a partir del Modelo Humanista Integrador basado en Competencias en el marco de la autorrealización, que forma y desarrolla profesionales e investigadores, competitivos y comprometidos con la justicia social, el respeto y la pluralidad, para contribuir al desarrollo perdurable de la entidad y del país, con pleno apego a la transparencia y rendición de cuentas.</w:t>
      </w:r>
    </w:p>
    <w:p w:rsidR="00C850D7" w:rsidRDefault="00C850D7" w:rsidP="00C850D7">
      <w:pPr>
        <w:widowControl/>
        <w:shd w:val="clear" w:color="auto" w:fill="FFFFFF"/>
        <w:spacing w:after="225"/>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Ser reconocida al año 2025, por su Modelo Educativo, como una de las instituciones más importantes de educación superior en el ámbito nacional e internacional, garantizando la calidad, equidad e inclusión en sus ejes de docencia, investigación, extensión y difusión de la cultura y autorrealización. Y en sus programas de gestión y gobierno, posicionamiento e internacionalización, seguimiento y evaluación, y responsabilidad social, en el marco del desarrollo tecnológico e innovación educativa</w:t>
      </w:r>
    </w:p>
    <w:p w:rsidR="00C850D7" w:rsidRDefault="00C850D7"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outlineLvl w:val="1"/>
        <w:rPr>
          <w:rFonts w:ascii="Arial" w:hAnsi="Arial" w:cs="Arial"/>
          <w:b/>
          <w:lang w:val="es-MX"/>
        </w:rPr>
      </w:pPr>
      <w:r>
        <w:rPr>
          <w:noProof/>
          <w:lang w:val="es-MX" w:eastAsia="es-MX"/>
        </w:rPr>
        <w:lastRenderedPageBreak/>
        <mc:AlternateContent>
          <mc:Choice Requires="wpg">
            <w:drawing>
              <wp:anchor distT="0" distB="0" distL="114300" distR="114300" simplePos="0" relativeHeight="251687936" behindDoc="0" locked="0" layoutInCell="1" allowOverlap="1" wp14:anchorId="610202D7" wp14:editId="2533D34A">
                <wp:simplePos x="0" y="0"/>
                <wp:positionH relativeFrom="column">
                  <wp:posOffset>1906270</wp:posOffset>
                </wp:positionH>
                <wp:positionV relativeFrom="paragraph">
                  <wp:posOffset>-248920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A0E81">
                                  <w:rPr>
                                    <w:rFonts w:ascii="Soberana Titular" w:hAnsi="Soberana Titular" w:cs="Arial"/>
                                    <w:color w:val="808080" w:themeColor="background1" w:themeShade="80"/>
                                    <w:sz w:val="42"/>
                                    <w:szCs w:val="42"/>
                                  </w:rPr>
                                  <w:t>20</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0202D7" id="6 Grupo" o:spid="_x0000_s1026" style="position:absolute;margin-left:150.1pt;margin-top:-19.6pt;width:325.95pt;height:39.2pt;z-index:2516879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A0E81">
                            <w:rPr>
                              <w:rFonts w:ascii="Soberana Titular" w:hAnsi="Soberana Titular" w:cs="Arial"/>
                              <w:color w:val="808080" w:themeColor="background1" w:themeShade="80"/>
                              <w:sz w:val="42"/>
                              <w:szCs w:val="42"/>
                            </w:rPr>
                            <w:t>20</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bookmarkStart w:id="0" w:name="_GoBack"/>
      <w:bookmarkEnd w:id="0"/>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A6" w:rsidRDefault="001575A6" w:rsidP="003279D8">
      <w:r>
        <w:separator/>
      </w:r>
    </w:p>
  </w:endnote>
  <w:endnote w:type="continuationSeparator" w:id="0">
    <w:p w:rsidR="001575A6" w:rsidRDefault="001575A6"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52A55"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A0E81" w:rsidRPr="00FA0E81">
          <w:rPr>
            <w:rFonts w:ascii="Soberana Sans Light" w:hAnsi="Soberana Sans Light"/>
            <w:noProof/>
            <w:lang w:val="es-ES"/>
          </w:rPr>
          <w:t>1</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A6" w:rsidRDefault="001575A6" w:rsidP="003279D8">
      <w:r>
        <w:separator/>
      </w:r>
    </w:p>
  </w:footnote>
  <w:footnote w:type="continuationSeparator" w:id="0">
    <w:p w:rsidR="001575A6" w:rsidRDefault="001575A6" w:rsidP="00327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E7138"/>
    <w:rsid w:val="00130421"/>
    <w:rsid w:val="001575A6"/>
    <w:rsid w:val="00186460"/>
    <w:rsid w:val="00203272"/>
    <w:rsid w:val="0023762E"/>
    <w:rsid w:val="002C1DE7"/>
    <w:rsid w:val="003054FE"/>
    <w:rsid w:val="003279D8"/>
    <w:rsid w:val="00331C0A"/>
    <w:rsid w:val="00496421"/>
    <w:rsid w:val="00504AEF"/>
    <w:rsid w:val="006508C1"/>
    <w:rsid w:val="006515C8"/>
    <w:rsid w:val="006B2DC2"/>
    <w:rsid w:val="006F0FB9"/>
    <w:rsid w:val="00733D77"/>
    <w:rsid w:val="00794BF3"/>
    <w:rsid w:val="007D536F"/>
    <w:rsid w:val="00863911"/>
    <w:rsid w:val="00895923"/>
    <w:rsid w:val="009241FF"/>
    <w:rsid w:val="00A93AAB"/>
    <w:rsid w:val="00A96468"/>
    <w:rsid w:val="00AB6821"/>
    <w:rsid w:val="00C850D7"/>
    <w:rsid w:val="00D448DB"/>
    <w:rsid w:val="00D86BC6"/>
    <w:rsid w:val="00DD0D2E"/>
    <w:rsid w:val="00E13EED"/>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AFF7"/>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LAURA</cp:lastModifiedBy>
  <cp:revision>24</cp:revision>
  <cp:lastPrinted>2017-01-10T18:57:00Z</cp:lastPrinted>
  <dcterms:created xsi:type="dcterms:W3CDTF">2014-08-29T15:24:00Z</dcterms:created>
  <dcterms:modified xsi:type="dcterms:W3CDTF">2020-04-14T23:41:00Z</dcterms:modified>
</cp:coreProperties>
</file>