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32" w:rsidRPr="00083632" w:rsidRDefault="00F85ED3" w:rsidP="00083632">
      <w:pPr>
        <w:rPr>
          <w:rFonts w:ascii="Arial" w:hAnsi="Arial" w:cs="Arial"/>
          <w:sz w:val="18"/>
        </w:rPr>
      </w:pPr>
      <w:r>
        <w:rPr>
          <w:rFonts w:ascii="Soberana Sans Light" w:hAnsi="Soberana Sans Light"/>
        </w:rPr>
        <w:t>.</w:t>
      </w:r>
      <w:bookmarkStart w:id="0" w:name="_MON_1647330945"/>
      <w:bookmarkStart w:id="1" w:name="_MON_1647331014"/>
      <w:bookmarkStart w:id="2" w:name="_MON_1639824264"/>
      <w:bookmarkStart w:id="3" w:name="_MON_1647791662"/>
      <w:bookmarkStart w:id="4" w:name="_MON_1623672046"/>
      <w:bookmarkEnd w:id="0"/>
      <w:bookmarkEnd w:id="1"/>
      <w:bookmarkEnd w:id="2"/>
      <w:bookmarkEnd w:id="3"/>
      <w:bookmarkEnd w:id="4"/>
      <w:bookmarkStart w:id="5" w:name="_MON_1470839218"/>
      <w:bookmarkEnd w:id="5"/>
      <w:r w:rsidR="00AB6082" w:rsidRPr="00D9466A">
        <w:rPr>
          <w:rFonts w:ascii="Soberana Sans Light" w:hAnsi="Soberana Sans Light"/>
        </w:rPr>
        <w:object w:dxaOrig="17706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7pt;height:394.45pt" o:ole="">
            <v:imagedata r:id="rId9" o:title=""/>
          </v:shape>
          <o:OLEObject Type="Embed" ProgID="Excel.Sheet.12" ShapeID="_x0000_i1025" DrawAspect="Content" ObjectID="_1663685829" r:id="rId10"/>
        </w:object>
      </w:r>
      <w:r w:rsidR="00083632"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5117F4" w:rsidRDefault="005703CE" w:rsidP="0044253C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Texto" o:spid="_x0000_s1029" type="#_x0000_t202" style="position:absolute;left:0;text-align:left;margin-left:95.55pt;margin-top:5.85pt;width:221.95pt;height:80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 style="mso-next-textbox:#1 CuadroTexto">
              <w:txbxContent>
                <w:p w:rsidR="00083632" w:rsidRPr="00BB1147" w:rsidRDefault="00083632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083632" w:rsidRPr="00CB28A2" w:rsidRDefault="00E46398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PROF. VICTORINO VERGARA CASTILLO</w:t>
                  </w:r>
                  <w:r w:rsidR="006F2584"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083632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noProof/>
        </w:rPr>
        <w:pict>
          <v:shape id="2 CuadroTexto" o:spid="_x0000_s1030" type="#_x0000_t202" style="position:absolute;left:0;text-align:left;margin-left:373.15pt;margin-top:6.6pt;width:273.9pt;height:80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 style="mso-next-textbox:#2 CuadroTexto">
              <w:txbxContent>
                <w:p w:rsidR="00173DCA" w:rsidRDefault="00173DCA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083632" w:rsidRDefault="009415DF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</w:t>
                  </w:r>
                  <w:r w:rsidR="00173DCA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</w:t>
                  </w:r>
                  <w:r w:rsidR="0008363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</w:t>
                  </w:r>
                </w:p>
                <w:p w:rsidR="00173DCA" w:rsidRPr="003E6848" w:rsidRDefault="001A037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C.P. </w:t>
                  </w:r>
                  <w:r w:rsidR="000D32F1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DAGOBERTO NICOLAS HERNANDEZ NAVA</w:t>
                  </w:r>
                </w:p>
                <w:p w:rsidR="00173DCA" w:rsidRPr="003E6848" w:rsidRDefault="000D32F1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083632" w:rsidRDefault="00083632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bookmarkStart w:id="6" w:name="_MON_1647331064"/>
    <w:bookmarkStart w:id="7" w:name="_MON_1470839431"/>
    <w:bookmarkStart w:id="8" w:name="_MON_1647791712"/>
    <w:bookmarkStart w:id="9" w:name="_MON_1647791721"/>
    <w:bookmarkStart w:id="10" w:name="_MON_1647331032"/>
    <w:bookmarkEnd w:id="6"/>
    <w:bookmarkEnd w:id="7"/>
    <w:bookmarkEnd w:id="8"/>
    <w:bookmarkEnd w:id="9"/>
    <w:bookmarkEnd w:id="10"/>
    <w:bookmarkStart w:id="11" w:name="_MON_1647331051"/>
    <w:bookmarkEnd w:id="11"/>
    <w:p w:rsidR="00A63658" w:rsidRDefault="00411AA8" w:rsidP="00A63658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706" w:dyaOrig="9252">
          <v:shape id="_x0000_i1026" type="#_x0000_t75" style="width:688.7pt;height:351.85pt" o:ole="">
            <v:imagedata r:id="rId11" o:title=""/>
          </v:shape>
          <o:OLEObject Type="Embed" ProgID="Excel.Sheet.12" ShapeID="_x0000_i1026" DrawAspect="Content" ObjectID="_1663685830" r:id="rId12"/>
        </w:object>
      </w:r>
      <w:r w:rsidR="00A63658" w:rsidRPr="00A63658">
        <w:rPr>
          <w:rFonts w:ascii="Arial" w:hAnsi="Arial" w:cs="Arial"/>
          <w:sz w:val="18"/>
        </w:rPr>
        <w:t xml:space="preserve"> </w:t>
      </w:r>
    </w:p>
    <w:p w:rsidR="00A63658" w:rsidRPr="00083632" w:rsidRDefault="00A63658" w:rsidP="00A63658">
      <w:pPr>
        <w:rPr>
          <w:rFonts w:ascii="Arial" w:hAnsi="Arial" w:cs="Arial"/>
          <w:sz w:val="18"/>
        </w:rPr>
      </w:pPr>
      <w:r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A63658" w:rsidRDefault="005703CE" w:rsidP="00A63658">
      <w:pPr>
        <w:jc w:val="center"/>
        <w:rPr>
          <w:rFonts w:ascii="Soberana Sans Light" w:hAnsi="Soberana Sans Light"/>
        </w:rPr>
      </w:pPr>
      <w:bookmarkStart w:id="12" w:name="_GoBack"/>
      <w:bookmarkEnd w:id="12"/>
      <w:r>
        <w:rPr>
          <w:noProof/>
        </w:rPr>
        <w:pict>
          <v:shape id="_x0000_s1032" type="#_x0000_t202" style="position:absolute;left:0;text-align:left;margin-left:373.15pt;margin-top:11.8pt;width:273.9pt;height:80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173DCA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A63658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</w:t>
                  </w:r>
                  <w:r w:rsidR="00A63658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C.P. DAGOBERTO NICOLAS HERNANDEZ NAVA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A63658" w:rsidRDefault="00A63658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95.55pt;margin-top:15.6pt;width:221.95pt;height:80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A63658" w:rsidRPr="00BB1147" w:rsidRDefault="00A63658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E46398" w:rsidRPr="00CB28A2" w:rsidRDefault="00E46398" w:rsidP="00E4639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PROF. VICTORINO VERGARA CASTILLO</w:t>
                  </w: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E46398" w:rsidRDefault="00E46398" w:rsidP="00E4639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  <w:p w:rsidR="00A63658" w:rsidRDefault="00A63658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p w:rsidR="00A14B74" w:rsidRDefault="00A14B74" w:rsidP="00A63658">
      <w:pPr>
        <w:jc w:val="both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tbl>
      <w:tblPr>
        <w:tblW w:w="7680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280"/>
        <w:gridCol w:w="2260"/>
      </w:tblGrid>
      <w:tr w:rsidR="00311FCA" w:rsidRPr="00311FCA" w:rsidTr="00311FCA">
        <w:trPr>
          <w:trHeight w:val="300"/>
          <w:jc w:val="center"/>
        </w:trPr>
        <w:tc>
          <w:tcPr>
            <w:tcW w:w="76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333300" w:fill="632523"/>
            <w:noWrap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2020</w:t>
            </w:r>
          </w:p>
        </w:tc>
      </w:tr>
      <w:tr w:rsidR="00311FCA" w:rsidRPr="00311FCA" w:rsidTr="00311FCA">
        <w:trPr>
          <w:trHeight w:val="300"/>
          <w:jc w:val="center"/>
        </w:trPr>
        <w:tc>
          <w:tcPr>
            <w:tcW w:w="76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333300" w:fill="632523"/>
            <w:noWrap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COLEGIO DE BACHILLERES DEL ESTADO DE TLAXCALA</w:t>
            </w:r>
          </w:p>
        </w:tc>
      </w:tr>
      <w:tr w:rsidR="00311FCA" w:rsidRPr="00311FCA" w:rsidTr="00311FCA">
        <w:trPr>
          <w:trHeight w:val="315"/>
          <w:jc w:val="center"/>
        </w:trPr>
        <w:tc>
          <w:tcPr>
            <w:tcW w:w="7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333300" w:fill="632523"/>
            <w:noWrap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311FCA" w:rsidRPr="00311FCA" w:rsidTr="00311FCA">
        <w:trPr>
          <w:trHeight w:val="240"/>
          <w:jc w:val="center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311FCA" w:rsidRPr="00311FCA" w:rsidTr="00311FCA">
        <w:trPr>
          <w:trHeight w:val="300"/>
          <w:jc w:val="center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311FCA" w:rsidRPr="00311FCA" w:rsidTr="00311FCA">
        <w:trPr>
          <w:trHeight w:val="30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RADICACION FEDERAL 2019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228-6</w:t>
            </w:r>
          </w:p>
        </w:tc>
      </w:tr>
      <w:tr w:rsidR="00311FCA" w:rsidRPr="00311FCA" w:rsidTr="00311FCA">
        <w:trPr>
          <w:trHeight w:val="48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RADICACION FEDERAL COBAT 2019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936-4</w:t>
            </w:r>
          </w:p>
        </w:tc>
      </w:tr>
      <w:tr w:rsidR="00311FCA" w:rsidRPr="00311FCA" w:rsidTr="00311FCA">
        <w:trPr>
          <w:trHeight w:val="48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DE APORTACIONES MULTIPLES FAM 2019 COBAT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508-6</w:t>
            </w:r>
          </w:p>
        </w:tc>
      </w:tr>
      <w:tr w:rsidR="00311FCA" w:rsidRPr="00311FCA" w:rsidTr="00311FCA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RADICACION FEDERAL 2020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189-8</w:t>
            </w:r>
          </w:p>
        </w:tc>
      </w:tr>
      <w:tr w:rsidR="00311FCA" w:rsidRPr="00311FCA" w:rsidTr="00311FCA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 FEDERAL TBC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769-3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372F40" w:rsidRPr="00CA2D37" w:rsidRDefault="009B7C1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C162A" w:rsidRPr="00300B2F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 xml:space="preserve">El </w:t>
      </w:r>
      <w:r w:rsidRPr="00300B2F">
        <w:rPr>
          <w:rFonts w:ascii="Arial" w:hAnsi="Arial" w:cs="Arial"/>
          <w:b/>
          <w:sz w:val="18"/>
          <w:szCs w:val="18"/>
        </w:rPr>
        <w:t>Colegio de Bachilleres del Estado de Tlaxcala</w:t>
      </w:r>
      <w:r w:rsidRPr="00300B2F">
        <w:rPr>
          <w:rFonts w:ascii="Arial" w:hAnsi="Arial" w:cs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:rsid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El Colegio de Bachilleres del Estado de Tlaxcala se r</w:t>
      </w:r>
      <w:r w:rsidR="00D76238">
        <w:rPr>
          <w:rFonts w:ascii="Arial" w:hAnsi="Arial" w:cs="Arial"/>
          <w:sz w:val="18"/>
          <w:szCs w:val="18"/>
        </w:rPr>
        <w:t>i</w:t>
      </w:r>
      <w:r w:rsidRPr="00300B2F">
        <w:rPr>
          <w:rFonts w:ascii="Arial" w:hAnsi="Arial" w:cs="Arial"/>
          <w:sz w:val="18"/>
          <w:szCs w:val="18"/>
        </w:rPr>
        <w:t>g</w:t>
      </w:r>
      <w:r w:rsidR="00D76238">
        <w:rPr>
          <w:rFonts w:ascii="Arial" w:hAnsi="Arial" w:cs="Arial"/>
          <w:sz w:val="18"/>
          <w:szCs w:val="18"/>
        </w:rPr>
        <w:t>e</w:t>
      </w:r>
      <w:r w:rsidRPr="00300B2F">
        <w:rPr>
          <w:rFonts w:ascii="Arial" w:hAnsi="Arial" w:cs="Arial"/>
          <w:sz w:val="18"/>
          <w:szCs w:val="18"/>
        </w:rPr>
        <w:t xml:space="preserve"> por lo dispuesto en la Ley Federal de Educación, la Constitución Política del Estado de Tlaxcala, las normas que de éstas  emanen y por los planes de organizaci</w:t>
      </w:r>
      <w:r>
        <w:rPr>
          <w:rFonts w:ascii="Arial" w:hAnsi="Arial" w:cs="Arial"/>
          <w:sz w:val="18"/>
          <w:szCs w:val="18"/>
        </w:rPr>
        <w:t xml:space="preserve">ón académica que se determinen, </w:t>
      </w:r>
      <w:r w:rsidRPr="00300B2F">
        <w:rPr>
          <w:rFonts w:ascii="Arial" w:hAnsi="Arial" w:cs="Arial"/>
          <w:sz w:val="18"/>
          <w:szCs w:val="18"/>
        </w:rPr>
        <w:t>está integrado por 24 planteles, el domicilio de las Oficinas Centrales se localizan en calle Miguel N. Lira No. 3 Tlaxcala, Tlaxcala.</w:t>
      </w:r>
    </w:p>
    <w:p w:rsidR="007C162A" w:rsidRP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Origen de los recursos.</w:t>
      </w:r>
    </w:p>
    <w:p w:rsidR="007C162A" w:rsidRDefault="007C162A" w:rsidP="007C162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Mediante el </w:t>
      </w:r>
      <w:r w:rsidRPr="00300B2F">
        <w:rPr>
          <w:rFonts w:ascii="Arial" w:hAnsi="Arial" w:cs="Arial"/>
          <w:b/>
          <w:sz w:val="18"/>
          <w:szCs w:val="18"/>
        </w:rPr>
        <w:t xml:space="preserve">CONVENIO DE COORDINACIÓN DE FINANCIAMIENTO DEL COLEGIO DE BACHILLERES DEL ESTADO DE TLAXCALA Y LA </w:t>
      </w:r>
      <w:r>
        <w:rPr>
          <w:rFonts w:ascii="Arial" w:hAnsi="Arial" w:cs="Arial"/>
          <w:b/>
          <w:sz w:val="18"/>
          <w:szCs w:val="18"/>
        </w:rPr>
        <w:t>SECRETARÍA DE EDUCACIÓN PÚBLICA: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“La Secretaría” y el “Gobierno” se comprometen  una vez efectuada la deducción de los Ingresos derivados de las Cuotas por cooperación que aporte el alumnado y de los Ingresos Propios de servicios escolares, del Presupuesto Anual de Gastos, a compartir los gastos de operación</w:t>
      </w:r>
      <w:r w:rsidR="00FF2214">
        <w:rPr>
          <w:rFonts w:ascii="Arial" w:hAnsi="Arial" w:cs="Arial"/>
          <w:sz w:val="18"/>
          <w:szCs w:val="18"/>
        </w:rPr>
        <w:t xml:space="preserve"> (Capitulo 1000, Capitulo 2000 y Capitulo 3000), de la </w:t>
      </w:r>
      <w:r w:rsidRPr="00300B2F">
        <w:rPr>
          <w:rFonts w:ascii="Arial" w:hAnsi="Arial" w:cs="Arial"/>
          <w:sz w:val="18"/>
          <w:szCs w:val="18"/>
        </w:rPr>
        <w:t xml:space="preserve"> siguiente</w:t>
      </w:r>
      <w:r w:rsidR="00FF2214">
        <w:rPr>
          <w:rFonts w:ascii="Arial" w:hAnsi="Arial" w:cs="Arial"/>
          <w:sz w:val="18"/>
          <w:szCs w:val="18"/>
        </w:rPr>
        <w:t xml:space="preserve"> forma</w:t>
      </w:r>
      <w:r w:rsidRPr="00300B2F">
        <w:rPr>
          <w:rFonts w:ascii="Arial" w:hAnsi="Arial" w:cs="Arial"/>
          <w:sz w:val="18"/>
          <w:szCs w:val="18"/>
        </w:rPr>
        <w:t>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A).- Un 50% de los gastos de operación por la   “Secretaría” a través del Consejo Nacional de Fomento Educativo,</w:t>
      </w:r>
    </w:p>
    <w:p w:rsidR="007C162A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B).- Un 50% de los gastos de operación por el “Gobierno” a través de los mecanismos de Recaudación que estime conveniente.</w:t>
      </w:r>
    </w:p>
    <w:p w:rsidR="00FF2214" w:rsidRPr="00300B2F" w:rsidRDefault="00FF2214" w:rsidP="007C162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Adicionalmente se obtienen ingresos propios por cuotas de recuperación para</w:t>
      </w:r>
      <w:r w:rsidR="009E2832">
        <w:rPr>
          <w:rFonts w:ascii="Arial" w:hAnsi="Arial" w:cs="Arial"/>
          <w:sz w:val="18"/>
          <w:szCs w:val="18"/>
        </w:rPr>
        <w:t xml:space="preserve"> ser ejercido</w:t>
      </w:r>
      <w:r>
        <w:rPr>
          <w:rFonts w:ascii="Arial" w:hAnsi="Arial" w:cs="Arial"/>
          <w:sz w:val="18"/>
          <w:szCs w:val="18"/>
        </w:rPr>
        <w:t xml:space="preserve"> </w:t>
      </w:r>
      <w:r w:rsidR="009E2832">
        <w:rPr>
          <w:rFonts w:ascii="Arial" w:hAnsi="Arial" w:cs="Arial"/>
          <w:sz w:val="18"/>
          <w:szCs w:val="18"/>
        </w:rPr>
        <w:t>en gastos del Capítulo</w:t>
      </w:r>
      <w:r>
        <w:rPr>
          <w:rFonts w:ascii="Arial" w:hAnsi="Arial" w:cs="Arial"/>
          <w:sz w:val="18"/>
          <w:szCs w:val="18"/>
        </w:rPr>
        <w:t xml:space="preserve"> 4000 y Capitulo 5000.</w:t>
      </w:r>
    </w:p>
    <w:p w:rsidR="007C162A" w:rsidRPr="00300B2F" w:rsidRDefault="009E2832" w:rsidP="00A402C9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hace de su conocimiento que </w:t>
      </w:r>
      <w:r w:rsidR="007C162A">
        <w:rPr>
          <w:rFonts w:ascii="Arial" w:hAnsi="Arial" w:cs="Arial"/>
          <w:sz w:val="18"/>
          <w:szCs w:val="18"/>
        </w:rPr>
        <w:t>el Colegio de Bachilleres del Estado de Tlaxcala</w:t>
      </w:r>
      <w:r w:rsidR="00FF221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desde su origen y </w:t>
      </w:r>
      <w:r w:rsidR="00FF2214">
        <w:rPr>
          <w:rFonts w:ascii="Arial" w:hAnsi="Arial" w:cs="Arial"/>
          <w:sz w:val="18"/>
          <w:szCs w:val="18"/>
        </w:rPr>
        <w:t>durante el ejercicio fiscal 201</w:t>
      </w:r>
      <w:r w:rsidR="000F4F2C">
        <w:rPr>
          <w:rFonts w:ascii="Arial" w:hAnsi="Arial" w:cs="Arial"/>
          <w:sz w:val="18"/>
          <w:szCs w:val="18"/>
        </w:rPr>
        <w:t>6</w:t>
      </w:r>
      <w:r w:rsidR="00FF2214">
        <w:rPr>
          <w:rFonts w:ascii="Arial" w:hAnsi="Arial" w:cs="Arial"/>
          <w:sz w:val="18"/>
          <w:szCs w:val="18"/>
        </w:rPr>
        <w:t xml:space="preserve">, no </w:t>
      </w:r>
      <w:r>
        <w:rPr>
          <w:rFonts w:ascii="Arial" w:hAnsi="Arial" w:cs="Arial"/>
          <w:sz w:val="18"/>
          <w:szCs w:val="18"/>
        </w:rPr>
        <w:t>ha sido sujeto a</w:t>
      </w:r>
      <w:r w:rsidR="00FF2214">
        <w:rPr>
          <w:rFonts w:ascii="Arial" w:hAnsi="Arial" w:cs="Arial"/>
          <w:sz w:val="18"/>
          <w:szCs w:val="18"/>
        </w:rPr>
        <w:t xml:space="preserve"> deuda pública, además de fomentar la liquidez y certidumbre con los trabajadores, proveedores y pasivos a corto y largo plazo.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lastRenderedPageBreak/>
        <w:t xml:space="preserve">Información adicional que dispongan otras leyes </w:t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 xml:space="preserve">El </w:t>
      </w:r>
      <w:r w:rsidRPr="00F0246B">
        <w:rPr>
          <w:rFonts w:ascii="Arial" w:hAnsi="Arial" w:cs="Arial"/>
          <w:b/>
          <w:sz w:val="18"/>
          <w:szCs w:val="18"/>
        </w:rPr>
        <w:t xml:space="preserve">Colegio de Bachilleres del Estado de Tlaxcala, </w:t>
      </w:r>
      <w:r w:rsidRPr="00F0246B">
        <w:rPr>
          <w:rFonts w:ascii="Arial" w:hAnsi="Arial" w:cs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</w:rPr>
        <w:tab/>
      </w:r>
      <w:r w:rsidRPr="00F0246B">
        <w:rPr>
          <w:rFonts w:ascii="Arial" w:hAnsi="Arial" w:cs="Arial"/>
          <w:b/>
          <w:sz w:val="18"/>
          <w:szCs w:val="18"/>
          <w:u w:val="single"/>
        </w:rPr>
        <w:t>Normativa Federal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Constitución Política de los Estados Unidos Mexicanos.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Federal de Educación.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del Impuesto Sobre la Renta.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P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 xml:space="preserve">Normativa </w:t>
      </w:r>
      <w:r>
        <w:rPr>
          <w:rFonts w:ascii="Arial" w:hAnsi="Arial" w:cs="Arial"/>
          <w:b/>
          <w:sz w:val="18"/>
          <w:szCs w:val="18"/>
          <w:u w:val="single"/>
        </w:rPr>
        <w:t>Estatal</w:t>
      </w:r>
    </w:p>
    <w:p w:rsidR="00F0246B" w:rsidRDefault="00F0246B" w:rsidP="00F0246B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Constitución Política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Educación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Ingresos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Responsabilidades de los Servidores Públicos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Entidades Paraestatales.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Adquisiciones, Arrendamientos y Servicios del Estado de Tlaxcala.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>Normativ</w:t>
      </w:r>
      <w:r>
        <w:rPr>
          <w:rFonts w:ascii="Arial" w:hAnsi="Arial" w:cs="Arial"/>
          <w:b/>
          <w:sz w:val="18"/>
          <w:szCs w:val="18"/>
          <w:u w:val="single"/>
        </w:rPr>
        <w:t>idad emitida por el Consejo Nacional de Armonización Contable (CONAC)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Rubro de Ingresos.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del Gasto.</w:t>
      </w:r>
    </w:p>
    <w:p w:rsidR="00F0246B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Programática.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Tipo de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Objeto del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Fuentes de Financiamiento.</w:t>
      </w:r>
    </w:p>
    <w:p w:rsidR="00DF3152" w:rsidRPr="00F0246B" w:rsidRDefault="00DF3152" w:rsidP="00DF3152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A2D37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b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Con fundamento en lo dispuesto por el Titulo Quinto, Capítulo I, articulo 56, párrafo primero, de la Ley General de Contabilidad Gubernamental donde establece que  “</w:t>
      </w:r>
      <w:r w:rsidRPr="008B1569">
        <w:rPr>
          <w:rFonts w:ascii="Arial" w:hAnsi="Arial" w:cs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:rsidR="002D0D7E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Por lo antes expuesto el Colegio de Bachilleres del Estado de Tlaxcala señala la página web:</w:t>
      </w:r>
      <w:r w:rsidR="008C6DF5" w:rsidRPr="008C6DF5">
        <w:t xml:space="preserve"> </w:t>
      </w:r>
      <w:r w:rsidR="001153CB" w:rsidRPr="000E3C4F">
        <w:t xml:space="preserve"> </w:t>
      </w:r>
      <w:hyperlink r:id="rId13" w:history="1">
        <w:r w:rsidR="0076026F">
          <w:rPr>
            <w:rStyle w:val="Hipervnculo"/>
          </w:rPr>
          <w:t>http://cobatlaxcala.edu.mx/portal/Transparencia/CuentaPublica.html</w:t>
        </w:r>
      </w:hyperlink>
      <w:r w:rsidR="000E3C4F">
        <w:rPr>
          <w:rFonts w:ascii="Arial" w:hAnsi="Arial" w:cs="Arial"/>
          <w:sz w:val="18"/>
          <w:szCs w:val="18"/>
        </w:rPr>
        <w:t>,</w:t>
      </w:r>
      <w:r w:rsidR="008C6DF5">
        <w:rPr>
          <w:rFonts w:ascii="Arial" w:hAnsi="Arial" w:cs="Arial"/>
          <w:sz w:val="18"/>
          <w:szCs w:val="18"/>
        </w:rPr>
        <w:t xml:space="preserve"> c</w:t>
      </w:r>
      <w:r w:rsidR="008C6DF5" w:rsidRPr="008B1569">
        <w:rPr>
          <w:rFonts w:ascii="Arial" w:hAnsi="Arial" w:cs="Arial"/>
          <w:sz w:val="18"/>
          <w:szCs w:val="18"/>
        </w:rPr>
        <w:t>omo</w:t>
      </w:r>
      <w:r w:rsidRPr="008B1569">
        <w:rPr>
          <w:rFonts w:ascii="Arial" w:hAnsi="Arial" w:cs="Arial"/>
          <w:sz w:val="18"/>
          <w:szCs w:val="18"/>
        </w:rPr>
        <w:t xml:space="preserve"> liga de acceso para la publicación de la información armonizada. </w:t>
      </w:r>
    </w:p>
    <w:p w:rsidR="00D137EA" w:rsidRPr="008B1569" w:rsidRDefault="00D137EA" w:rsidP="008B1569">
      <w:pPr>
        <w:tabs>
          <w:tab w:val="left" w:pos="243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B4230A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CE" w:rsidRDefault="005703CE" w:rsidP="00EA5418">
      <w:pPr>
        <w:spacing w:after="0" w:line="240" w:lineRule="auto"/>
      </w:pPr>
      <w:r>
        <w:separator/>
      </w:r>
    </w:p>
  </w:endnote>
  <w:endnote w:type="continuationSeparator" w:id="0">
    <w:p w:rsidR="005703CE" w:rsidRDefault="005703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5703C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411AA8" w:rsidRPr="00411AA8">
          <w:rPr>
            <w:rFonts w:ascii="Soberana Sans Light" w:hAnsi="Soberana Sans Light"/>
            <w:noProof/>
            <w:lang w:val="es-ES"/>
          </w:rPr>
          <w:t>2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5703C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411AA8" w:rsidRPr="00411AA8">
          <w:rPr>
            <w:rFonts w:ascii="Soberana Sans Light" w:hAnsi="Soberana Sans Light"/>
            <w:noProof/>
            <w:lang w:val="es-ES"/>
          </w:rPr>
          <w:t>1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CE" w:rsidRDefault="005703CE" w:rsidP="00EA5418">
      <w:pPr>
        <w:spacing w:after="0" w:line="240" w:lineRule="auto"/>
      </w:pPr>
      <w:r>
        <w:separator/>
      </w:r>
    </w:p>
  </w:footnote>
  <w:footnote w:type="continuationSeparator" w:id="0">
    <w:p w:rsidR="005703CE" w:rsidRDefault="005703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5703CE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BE15C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5703C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D8"/>
    <w:rsid w:val="0002226D"/>
    <w:rsid w:val="000304B7"/>
    <w:rsid w:val="00040466"/>
    <w:rsid w:val="00040531"/>
    <w:rsid w:val="0007273E"/>
    <w:rsid w:val="00077769"/>
    <w:rsid w:val="00083632"/>
    <w:rsid w:val="00083CF8"/>
    <w:rsid w:val="000C0AF3"/>
    <w:rsid w:val="000D32F1"/>
    <w:rsid w:val="000E3C4F"/>
    <w:rsid w:val="000F4F2C"/>
    <w:rsid w:val="001153CB"/>
    <w:rsid w:val="001225E4"/>
    <w:rsid w:val="00126BCF"/>
    <w:rsid w:val="0013011C"/>
    <w:rsid w:val="00141B1C"/>
    <w:rsid w:val="00143037"/>
    <w:rsid w:val="001719F2"/>
    <w:rsid w:val="00173DCA"/>
    <w:rsid w:val="001772B3"/>
    <w:rsid w:val="0018442B"/>
    <w:rsid w:val="0019169F"/>
    <w:rsid w:val="00192520"/>
    <w:rsid w:val="001977E0"/>
    <w:rsid w:val="001A037A"/>
    <w:rsid w:val="001B1B72"/>
    <w:rsid w:val="002116C1"/>
    <w:rsid w:val="00217C7A"/>
    <w:rsid w:val="00232417"/>
    <w:rsid w:val="002333B0"/>
    <w:rsid w:val="00255AAD"/>
    <w:rsid w:val="00276C4B"/>
    <w:rsid w:val="002A70B3"/>
    <w:rsid w:val="002B1068"/>
    <w:rsid w:val="002C7D3E"/>
    <w:rsid w:val="002D0D7E"/>
    <w:rsid w:val="00307635"/>
    <w:rsid w:val="00311FCA"/>
    <w:rsid w:val="00345360"/>
    <w:rsid w:val="00372F40"/>
    <w:rsid w:val="003A6FD3"/>
    <w:rsid w:val="003B31E4"/>
    <w:rsid w:val="003B7FA4"/>
    <w:rsid w:val="003D5DBF"/>
    <w:rsid w:val="003E7FD0"/>
    <w:rsid w:val="003F0EA4"/>
    <w:rsid w:val="00402154"/>
    <w:rsid w:val="00405F37"/>
    <w:rsid w:val="00411AA8"/>
    <w:rsid w:val="00414D6B"/>
    <w:rsid w:val="0044253C"/>
    <w:rsid w:val="004515F1"/>
    <w:rsid w:val="00466E20"/>
    <w:rsid w:val="00486AE1"/>
    <w:rsid w:val="00497D8B"/>
    <w:rsid w:val="004C651C"/>
    <w:rsid w:val="004D41B8"/>
    <w:rsid w:val="004E4E33"/>
    <w:rsid w:val="004F49A5"/>
    <w:rsid w:val="00502D8E"/>
    <w:rsid w:val="005116CA"/>
    <w:rsid w:val="005117F4"/>
    <w:rsid w:val="00515776"/>
    <w:rsid w:val="00522632"/>
    <w:rsid w:val="00531310"/>
    <w:rsid w:val="00534982"/>
    <w:rsid w:val="00540418"/>
    <w:rsid w:val="00547951"/>
    <w:rsid w:val="0056710E"/>
    <w:rsid w:val="005703CE"/>
    <w:rsid w:val="00571E8F"/>
    <w:rsid w:val="005859FA"/>
    <w:rsid w:val="00587A3F"/>
    <w:rsid w:val="005D6CF5"/>
    <w:rsid w:val="005F3E04"/>
    <w:rsid w:val="006048D2"/>
    <w:rsid w:val="00611E39"/>
    <w:rsid w:val="00630489"/>
    <w:rsid w:val="00663178"/>
    <w:rsid w:val="00664C61"/>
    <w:rsid w:val="00677B48"/>
    <w:rsid w:val="006A4176"/>
    <w:rsid w:val="006B22C4"/>
    <w:rsid w:val="006B544F"/>
    <w:rsid w:val="006B6604"/>
    <w:rsid w:val="006B7B8B"/>
    <w:rsid w:val="006E77DD"/>
    <w:rsid w:val="006F254C"/>
    <w:rsid w:val="006F2584"/>
    <w:rsid w:val="00700698"/>
    <w:rsid w:val="00752525"/>
    <w:rsid w:val="00756346"/>
    <w:rsid w:val="0076026F"/>
    <w:rsid w:val="00761C43"/>
    <w:rsid w:val="007622A9"/>
    <w:rsid w:val="007758A6"/>
    <w:rsid w:val="0079582C"/>
    <w:rsid w:val="007B3E75"/>
    <w:rsid w:val="007B7266"/>
    <w:rsid w:val="007C0AB2"/>
    <w:rsid w:val="007C162A"/>
    <w:rsid w:val="007C448E"/>
    <w:rsid w:val="007C5AEF"/>
    <w:rsid w:val="007D180D"/>
    <w:rsid w:val="007D6E9A"/>
    <w:rsid w:val="007F0749"/>
    <w:rsid w:val="00814604"/>
    <w:rsid w:val="00823454"/>
    <w:rsid w:val="008514E7"/>
    <w:rsid w:val="00861395"/>
    <w:rsid w:val="00876E32"/>
    <w:rsid w:val="00880535"/>
    <w:rsid w:val="008A6E4D"/>
    <w:rsid w:val="008B0017"/>
    <w:rsid w:val="008B1569"/>
    <w:rsid w:val="008B6783"/>
    <w:rsid w:val="008C6DF5"/>
    <w:rsid w:val="008E3652"/>
    <w:rsid w:val="00905C81"/>
    <w:rsid w:val="00922538"/>
    <w:rsid w:val="0092716E"/>
    <w:rsid w:val="009331B6"/>
    <w:rsid w:val="009415DF"/>
    <w:rsid w:val="009B7C1B"/>
    <w:rsid w:val="009E2832"/>
    <w:rsid w:val="009F50EB"/>
    <w:rsid w:val="00A14B74"/>
    <w:rsid w:val="00A15EF8"/>
    <w:rsid w:val="00A402C9"/>
    <w:rsid w:val="00A63658"/>
    <w:rsid w:val="00A749E3"/>
    <w:rsid w:val="00A8769F"/>
    <w:rsid w:val="00A96BF6"/>
    <w:rsid w:val="00AB101B"/>
    <w:rsid w:val="00AB13B7"/>
    <w:rsid w:val="00AB6082"/>
    <w:rsid w:val="00AE148A"/>
    <w:rsid w:val="00B13E6D"/>
    <w:rsid w:val="00B36F2F"/>
    <w:rsid w:val="00B4230A"/>
    <w:rsid w:val="00B849EE"/>
    <w:rsid w:val="00BB1147"/>
    <w:rsid w:val="00BB1149"/>
    <w:rsid w:val="00BC6BBF"/>
    <w:rsid w:val="00BE15C1"/>
    <w:rsid w:val="00BF6E9B"/>
    <w:rsid w:val="00C53351"/>
    <w:rsid w:val="00C7638C"/>
    <w:rsid w:val="00C856FE"/>
    <w:rsid w:val="00C868F3"/>
    <w:rsid w:val="00CA0403"/>
    <w:rsid w:val="00CA2D37"/>
    <w:rsid w:val="00CB28A2"/>
    <w:rsid w:val="00CC5CB6"/>
    <w:rsid w:val="00CF0121"/>
    <w:rsid w:val="00D055EC"/>
    <w:rsid w:val="00D137EA"/>
    <w:rsid w:val="00D16574"/>
    <w:rsid w:val="00D201D1"/>
    <w:rsid w:val="00D21BE0"/>
    <w:rsid w:val="00D35D66"/>
    <w:rsid w:val="00D36BE7"/>
    <w:rsid w:val="00D51261"/>
    <w:rsid w:val="00D53472"/>
    <w:rsid w:val="00D73045"/>
    <w:rsid w:val="00D748D3"/>
    <w:rsid w:val="00D74F09"/>
    <w:rsid w:val="00D76238"/>
    <w:rsid w:val="00D84C11"/>
    <w:rsid w:val="00D91D5C"/>
    <w:rsid w:val="00D935A2"/>
    <w:rsid w:val="00D9466A"/>
    <w:rsid w:val="00DA3107"/>
    <w:rsid w:val="00DC1523"/>
    <w:rsid w:val="00DF1F07"/>
    <w:rsid w:val="00DF3152"/>
    <w:rsid w:val="00E32708"/>
    <w:rsid w:val="00E42421"/>
    <w:rsid w:val="00E46398"/>
    <w:rsid w:val="00E67B98"/>
    <w:rsid w:val="00EA5418"/>
    <w:rsid w:val="00EB0F11"/>
    <w:rsid w:val="00EB2653"/>
    <w:rsid w:val="00F0246B"/>
    <w:rsid w:val="00F4571F"/>
    <w:rsid w:val="00F670A3"/>
    <w:rsid w:val="00F70AD5"/>
    <w:rsid w:val="00F770EA"/>
    <w:rsid w:val="00F8202F"/>
    <w:rsid w:val="00F85ED3"/>
    <w:rsid w:val="00F86300"/>
    <w:rsid w:val="00F96944"/>
    <w:rsid w:val="00FA1B54"/>
    <w:rsid w:val="00FA5AFF"/>
    <w:rsid w:val="00FC1070"/>
    <w:rsid w:val="00FF2214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batlaxcala.edu.mx/portal/Transparencia/CuentaPublic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3394-3EAF-4AA1-9F67-2EE23297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6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102</cp:revision>
  <cp:lastPrinted>2020-10-08T23:08:00Z</cp:lastPrinted>
  <dcterms:created xsi:type="dcterms:W3CDTF">2014-08-29T22:30:00Z</dcterms:created>
  <dcterms:modified xsi:type="dcterms:W3CDTF">2020-10-08T23:11:00Z</dcterms:modified>
</cp:coreProperties>
</file>