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2913D0" w:rsidP="00460944">
      <w:pPr>
        <w:ind w:right="-1062"/>
        <w:jc w:val="center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75pt;height:419.25pt" o:ole="">
            <v:imagedata r:id="rId8" o:title=""/>
          </v:shape>
          <o:OLEObject Type="Embed" ProgID="Excel.Sheet.12" ShapeID="_x0000_i1025" DrawAspect="Content" ObjectID="_1703412254" r:id="rId9"/>
        </w:object>
      </w:r>
    </w:p>
    <w:bookmarkStart w:id="1" w:name="_MON_1592735719"/>
    <w:bookmarkEnd w:id="1"/>
    <w:p w:rsidR="00A06F69" w:rsidRDefault="00C452B2" w:rsidP="00460944">
      <w:pPr>
        <w:ind w:right="-1062"/>
        <w:jc w:val="center"/>
      </w:pPr>
      <w:r>
        <w:rPr>
          <w:b/>
          <w:bCs/>
          <w:lang w:val="es-ES"/>
        </w:rPr>
        <w:object w:dxaOrig="25153" w:dyaOrig="19541">
          <v:shape id="_x0000_i1026" type="#_x0000_t75" style="width:672.75pt;height:405.75pt" o:ole="">
            <v:imagedata r:id="rId10" o:title=""/>
          </v:shape>
          <o:OLEObject Type="Embed" ProgID="Excel.Sheet.12" ShapeID="_x0000_i1026" DrawAspect="Content" ObjectID="_1703412255" r:id="rId11"/>
        </w:object>
      </w:r>
    </w:p>
    <w:p w:rsidR="00D16068" w:rsidRDefault="00E36F32" w:rsidP="004C12BB">
      <w:pPr>
        <w:jc w:val="center"/>
      </w:pPr>
      <w:bookmarkStart w:id="2" w:name="_MON_1470807348"/>
      <w:bookmarkEnd w:id="2"/>
      <w:r>
        <w:rPr>
          <w:noProof/>
        </w:rPr>
        <w:lastRenderedPageBreak/>
        <w:object w:dxaOrig="1440" w:dyaOrig="1440">
          <v:shape id="_x0000_s1183" type="#_x0000_t75" style="position:absolute;left:0;text-align:left;margin-left:-.35pt;margin-top:17.8pt;width:715.55pt;height:332.25pt;z-index:251689984;mso-position-horizontal-relative:text;mso-position-vertical-relative:text">
            <v:imagedata r:id="rId12" o:title=""/>
            <w10:wrap type="square" side="right"/>
          </v:shape>
          <o:OLEObject Type="Embed" ProgID="Excel.Sheet.12" ShapeID="_x0000_s1183" DrawAspect="Content" ObjectID="_1703412259" r:id="rId13"/>
        </w:object>
      </w:r>
      <w:r w:rsidR="000B0C6D">
        <w:t xml:space="preserve">           </w:t>
      </w:r>
    </w:p>
    <w:p w:rsidR="00D16068" w:rsidRDefault="00D16068" w:rsidP="004C12BB">
      <w:pPr>
        <w:jc w:val="center"/>
      </w:pPr>
    </w:p>
    <w:p w:rsidR="00D16068" w:rsidRDefault="00D16068" w:rsidP="004C12BB">
      <w:pPr>
        <w:jc w:val="center"/>
      </w:pPr>
    </w:p>
    <w:p w:rsidR="00D16068" w:rsidRDefault="00E36F32" w:rsidP="004C12BB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10.35pt;margin-top:26.6pt;width:667.25pt;height:332.7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703412260" r:id="rId15"/>
        </w:object>
      </w:r>
    </w:p>
    <w:p w:rsidR="00D16068" w:rsidRDefault="00D16068" w:rsidP="004C12BB">
      <w:pPr>
        <w:jc w:val="center"/>
      </w:pPr>
    </w:p>
    <w:p w:rsidR="00D16068" w:rsidRDefault="00D16068" w:rsidP="004C12BB">
      <w:pPr>
        <w:jc w:val="center"/>
      </w:pPr>
    </w:p>
    <w:bookmarkStart w:id="3" w:name="_MON_1470809138"/>
    <w:bookmarkEnd w:id="3"/>
    <w:p w:rsidR="00E32708" w:rsidRDefault="00CD583A" w:rsidP="007B70BD">
      <w:pPr>
        <w:jc w:val="center"/>
      </w:pPr>
      <w:r>
        <w:object w:dxaOrig="17805" w:dyaOrig="12354">
          <v:shape id="_x0000_i1029" type="#_x0000_t75" style="width:720.75pt;height:408pt" o:ole="">
            <v:imagedata r:id="rId16" o:title=""/>
          </v:shape>
          <o:OLEObject Type="Embed" ProgID="Excel.Sheet.12" ShapeID="_x0000_i1029" DrawAspect="Content" ObjectID="_1703412256" r:id="rId17"/>
        </w:object>
      </w:r>
      <w:bookmarkStart w:id="4" w:name="_MON_1553862467"/>
      <w:bookmarkStart w:id="5" w:name="_MON_1470814596"/>
      <w:bookmarkStart w:id="6" w:name="_MON_1553862292"/>
      <w:bookmarkStart w:id="7" w:name="_MON_1553862361"/>
      <w:bookmarkEnd w:id="4"/>
      <w:bookmarkEnd w:id="5"/>
      <w:bookmarkEnd w:id="6"/>
      <w:bookmarkEnd w:id="7"/>
      <w:bookmarkStart w:id="8" w:name="_MON_1553862398"/>
      <w:bookmarkEnd w:id="8"/>
      <w:r w:rsidR="00695598">
        <w:rPr>
          <w:b/>
          <w:bCs/>
          <w:lang w:val="es-ES"/>
        </w:rPr>
        <w:object w:dxaOrig="19479" w:dyaOrig="9423">
          <v:shape id="_x0000_i1040" type="#_x0000_t75" style="width:689.25pt;height:411.75pt" o:ole="">
            <v:imagedata r:id="rId18" o:title=""/>
          </v:shape>
          <o:OLEObject Type="Embed" ProgID="Excel.Sheet.12" ShapeID="_x0000_i1040" DrawAspect="Content" ObjectID="_1703412257" r:id="rId19"/>
        </w:object>
      </w:r>
      <w:bookmarkStart w:id="9" w:name="_MON_1470810366"/>
      <w:bookmarkStart w:id="10" w:name="_GoBack"/>
      <w:bookmarkEnd w:id="9"/>
      <w:bookmarkEnd w:id="10"/>
      <w:bookmarkStart w:id="11" w:name="_MON_1553862534"/>
      <w:bookmarkEnd w:id="11"/>
      <w:r w:rsidR="005F3562">
        <w:rPr>
          <w:lang w:val="es-ES"/>
        </w:rPr>
        <w:object w:dxaOrig="24165" w:dyaOrig="17535">
          <v:shape id="_x0000_i1031" type="#_x0000_t75" style="width:698.25pt;height:430.5pt" o:ole="">
            <v:imagedata r:id="rId20" o:title=""/>
          </v:shape>
          <o:OLEObject Type="Embed" ProgID="Excel.Sheet.12" ShapeID="_x0000_i1031" DrawAspect="Content" ObjectID="_1703412258" r:id="rId21"/>
        </w:object>
      </w:r>
    </w:p>
    <w:p w:rsidR="00372F40" w:rsidRDefault="00372F40"/>
    <w:p w:rsidR="007824AA" w:rsidRDefault="007824AA" w:rsidP="007824AA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Informe de Pasivos Contingentes</w:t>
      </w:r>
    </w:p>
    <w:p w:rsidR="007824AA" w:rsidRDefault="007824AA" w:rsidP="007824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 Tribunal Electoral tiene pasivos conti</w:t>
      </w:r>
      <w:r w:rsidR="00BB6251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gentes, siendo el “Fondo de Haber del Retiro a Funcionarios” (por conclusión de cargo de Magistrado), por la cantidad de $</w:t>
      </w:r>
      <w:r w:rsidR="00033E99">
        <w:rPr>
          <w:rFonts w:ascii="Courier New" w:hAnsi="Courier New" w:cs="Courier New"/>
        </w:rPr>
        <w:t>743,472</w:t>
      </w:r>
      <w:r>
        <w:rPr>
          <w:rFonts w:ascii="Courier New" w:hAnsi="Courier New" w:cs="Courier New"/>
        </w:rPr>
        <w:t>.00 (</w:t>
      </w:r>
      <w:r w:rsidR="00033E99">
        <w:rPr>
          <w:rFonts w:ascii="Courier New" w:hAnsi="Courier New" w:cs="Courier New"/>
        </w:rPr>
        <w:t>Setecientos cuarenta y tres mil cuatrocientos setenta y dos pesos 00/100 m.n.)</w:t>
      </w:r>
      <w:r>
        <w:rPr>
          <w:rFonts w:ascii="Courier New" w:hAnsi="Courier New" w:cs="Courier New"/>
        </w:rPr>
        <w:t xml:space="preserve"> y el “Fondo de Liquidación al personal” por la cantidad de $</w:t>
      </w:r>
      <w:r w:rsidR="00033E99">
        <w:rPr>
          <w:rFonts w:ascii="Courier New" w:hAnsi="Courier New" w:cs="Courier New"/>
        </w:rPr>
        <w:t>596,480.00(</w:t>
      </w:r>
      <w:r w:rsidR="006559A0">
        <w:rPr>
          <w:rFonts w:ascii="Courier New" w:hAnsi="Courier New" w:cs="Courier New"/>
        </w:rPr>
        <w:t>quinientos noventa y seis mil</w:t>
      </w:r>
      <w:r w:rsidR="00033E99">
        <w:rPr>
          <w:rFonts w:ascii="Courier New" w:hAnsi="Courier New" w:cs="Courier New"/>
        </w:rPr>
        <w:t xml:space="preserve"> cuatrocientos ochenta pesos 00/100 m.n.)</w:t>
      </w:r>
      <w:r w:rsidR="00176A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dando un total de $</w:t>
      </w:r>
      <w:r w:rsidR="00033E99">
        <w:rPr>
          <w:rFonts w:ascii="Courier New" w:hAnsi="Courier New" w:cs="Courier New"/>
        </w:rPr>
        <w:t>1,339,953.00</w:t>
      </w:r>
      <w:r>
        <w:rPr>
          <w:rFonts w:ascii="Courier New" w:hAnsi="Courier New" w:cs="Courier New"/>
        </w:rPr>
        <w:t>(</w:t>
      </w:r>
      <w:r w:rsidR="00033E99">
        <w:rPr>
          <w:rFonts w:ascii="Courier New" w:hAnsi="Courier New" w:cs="Courier New"/>
        </w:rPr>
        <w:t>un millón trescientos treinta y nueve mil novecientos cincuenta y tres</w:t>
      </w:r>
      <w:r>
        <w:rPr>
          <w:rFonts w:ascii="Courier New" w:hAnsi="Courier New" w:cs="Courier New"/>
        </w:rPr>
        <w:t xml:space="preserve"> pesos </w:t>
      </w:r>
      <w:r w:rsidR="00033E99">
        <w:rPr>
          <w:rFonts w:ascii="Courier New" w:hAnsi="Courier New" w:cs="Courier New"/>
        </w:rPr>
        <w:t>00</w:t>
      </w:r>
      <w:r>
        <w:rPr>
          <w:rFonts w:ascii="Courier New" w:hAnsi="Courier New" w:cs="Courier New"/>
        </w:rPr>
        <w:t>/100 m.n.) por ambos fondos</w:t>
      </w:r>
      <w:r w:rsidR="0010104A">
        <w:rPr>
          <w:rFonts w:ascii="Courier New" w:hAnsi="Courier New" w:cs="Courier New"/>
        </w:rPr>
        <w:t>. Lo anterior</w:t>
      </w:r>
      <w:r>
        <w:rPr>
          <w:rFonts w:ascii="Courier New" w:hAnsi="Courier New" w:cs="Courier New"/>
        </w:rPr>
        <w:t xml:space="preserve"> con fundamento en el artículo 11 fracciones XXIII y XXV, de la Ley Orgánica del Tribunal Electoral de Tlaxcala, recurso que corresponde</w:t>
      </w:r>
      <w:r w:rsidR="00395FA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a</w:t>
      </w:r>
      <w:r w:rsidR="009E543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="009E543C">
        <w:rPr>
          <w:rFonts w:ascii="Courier New" w:hAnsi="Courier New" w:cs="Courier New"/>
        </w:rPr>
        <w:t>os</w:t>
      </w:r>
      <w:r>
        <w:rPr>
          <w:rFonts w:ascii="Courier New" w:hAnsi="Courier New" w:cs="Courier New"/>
        </w:rPr>
        <w:t xml:space="preserve"> ejercicio</w:t>
      </w:r>
      <w:r w:rsidR="00395FA9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fiscal</w:t>
      </w:r>
      <w:r w:rsidR="00395FA9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20</w:t>
      </w:r>
      <w:r w:rsidR="00176A5D">
        <w:rPr>
          <w:rFonts w:ascii="Courier New" w:hAnsi="Courier New" w:cs="Courier New"/>
        </w:rPr>
        <w:t>1</w:t>
      </w:r>
      <w:r w:rsidR="00E529A1">
        <w:rPr>
          <w:rFonts w:ascii="Courier New" w:hAnsi="Courier New" w:cs="Courier New"/>
        </w:rPr>
        <w:t>9,</w:t>
      </w:r>
      <w:r w:rsidR="00176A5D">
        <w:rPr>
          <w:rFonts w:ascii="Courier New" w:hAnsi="Courier New" w:cs="Courier New"/>
        </w:rPr>
        <w:t xml:space="preserve"> 2020</w:t>
      </w:r>
      <w:r w:rsidR="00E529A1">
        <w:rPr>
          <w:rFonts w:ascii="Courier New" w:hAnsi="Courier New" w:cs="Courier New"/>
        </w:rPr>
        <w:t xml:space="preserve"> y 2021</w:t>
      </w:r>
      <w:r>
        <w:rPr>
          <w:rFonts w:ascii="Courier New" w:hAnsi="Courier New" w:cs="Courier New"/>
        </w:rPr>
        <w:t>.</w:t>
      </w:r>
    </w:p>
    <w:p w:rsidR="00764E48" w:rsidRDefault="00764E48" w:rsidP="007824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Integración de provisiones contingentes a largo plazo</w:t>
      </w:r>
      <w:r w:rsidR="007254D0">
        <w:rPr>
          <w:rFonts w:ascii="Courier New" w:hAnsi="Courier New" w:cs="Courier New"/>
        </w:rPr>
        <w:t>.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7513"/>
      </w:tblGrid>
      <w:tr w:rsidR="00764E48" w:rsidTr="009133D8">
        <w:tc>
          <w:tcPr>
            <w:tcW w:w="2972" w:type="dxa"/>
          </w:tcPr>
          <w:p w:rsidR="00764E48" w:rsidRDefault="00764E4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Cuenta y descripción</w:t>
            </w:r>
          </w:p>
        </w:tc>
        <w:tc>
          <w:tcPr>
            <w:tcW w:w="1985" w:type="dxa"/>
          </w:tcPr>
          <w:p w:rsidR="00764E48" w:rsidRDefault="00764E4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Saldo inicial al 01 de enero de 2021</w:t>
            </w:r>
          </w:p>
        </w:tc>
        <w:tc>
          <w:tcPr>
            <w:tcW w:w="1842" w:type="dxa"/>
          </w:tcPr>
          <w:p w:rsidR="00764E48" w:rsidRDefault="00764E4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Saldo final al 31 de diciembre de 2021</w:t>
            </w:r>
          </w:p>
        </w:tc>
        <w:tc>
          <w:tcPr>
            <w:tcW w:w="7513" w:type="dxa"/>
          </w:tcPr>
          <w:p w:rsidR="00764E48" w:rsidRDefault="004B2650" w:rsidP="004B265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Descripción</w:t>
            </w:r>
          </w:p>
        </w:tc>
      </w:tr>
      <w:tr w:rsidR="00764E48" w:rsidTr="009133D8">
        <w:tc>
          <w:tcPr>
            <w:tcW w:w="2972" w:type="dxa"/>
          </w:tcPr>
          <w:p w:rsidR="00764E48" w:rsidRDefault="00764E4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2.2.6.3.1 Haber del retiro funcionarios</w:t>
            </w:r>
          </w:p>
        </w:tc>
        <w:tc>
          <w:tcPr>
            <w:tcW w:w="1985" w:type="dxa"/>
          </w:tcPr>
          <w:p w:rsidR="00764E48" w:rsidRDefault="00764E48" w:rsidP="00764E4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$ 371,686.00</w:t>
            </w:r>
          </w:p>
        </w:tc>
        <w:tc>
          <w:tcPr>
            <w:tcW w:w="1842" w:type="dxa"/>
          </w:tcPr>
          <w:p w:rsidR="00764E48" w:rsidRDefault="00764E48" w:rsidP="00764E4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743,472.00</w:t>
            </w:r>
          </w:p>
        </w:tc>
        <w:tc>
          <w:tcPr>
            <w:tcW w:w="7513" w:type="dxa"/>
          </w:tcPr>
          <w:p w:rsidR="0052632D" w:rsidRDefault="0052632D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 asigno en este ejercicio 2021 la cantidad de </w:t>
            </w:r>
            <w:r w:rsidR="00764E48">
              <w:rPr>
                <w:rFonts w:ascii="Courier New" w:hAnsi="Courier New" w:cs="Courier New"/>
              </w:rPr>
              <w:t>$371,78</w:t>
            </w:r>
            <w:r w:rsidR="00347A00">
              <w:rPr>
                <w:rFonts w:ascii="Courier New" w:hAnsi="Courier New" w:cs="Courier New"/>
              </w:rPr>
              <w:t>6</w:t>
            </w:r>
            <w:r w:rsidR="00764E48">
              <w:rPr>
                <w:rFonts w:ascii="Courier New" w:hAnsi="Courier New" w:cs="Courier New"/>
              </w:rPr>
              <w:t>.0</w:t>
            </w:r>
            <w:r>
              <w:rPr>
                <w:rFonts w:ascii="Courier New" w:hAnsi="Courier New" w:cs="Courier New"/>
              </w:rPr>
              <w:t>0 los cuales están integrados de la siguiente manera</w:t>
            </w:r>
            <w:r w:rsidR="00905ED9">
              <w:rPr>
                <w:rFonts w:ascii="Courier New" w:hAnsi="Courier New" w:cs="Courier New"/>
              </w:rPr>
              <w:t>:</w:t>
            </w:r>
          </w:p>
          <w:p w:rsidR="0052632D" w:rsidRDefault="0052632D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Rendimientos de</w:t>
            </w:r>
            <w:r w:rsidR="009133D8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inversión</w:t>
            </w:r>
            <w:r w:rsidR="009133D8">
              <w:rPr>
                <w:rFonts w:ascii="Courier New" w:hAnsi="Courier New" w:cs="Courier New"/>
              </w:rPr>
              <w:t xml:space="preserve"> </w:t>
            </w:r>
            <w:r w:rsidR="00E73E06">
              <w:rPr>
                <w:rFonts w:ascii="Courier New" w:hAnsi="Courier New" w:cs="Courier New"/>
              </w:rPr>
              <w:t>cta</w:t>
            </w:r>
            <w:r w:rsidR="009133D8">
              <w:rPr>
                <w:rFonts w:ascii="Courier New" w:hAnsi="Courier New" w:cs="Courier New"/>
              </w:rPr>
              <w:t xml:space="preserve">. </w:t>
            </w:r>
            <w:r w:rsidR="00905ED9">
              <w:rPr>
                <w:rFonts w:ascii="Courier New" w:hAnsi="Courier New" w:cs="Courier New"/>
              </w:rPr>
              <w:t>4527</w:t>
            </w:r>
            <w:r w:rsidR="009133D8">
              <w:rPr>
                <w:rFonts w:ascii="Courier New" w:hAnsi="Courier New" w:cs="Courier New"/>
              </w:rPr>
              <w:t xml:space="preserve"> año 2019</w:t>
            </w:r>
            <w:r w:rsidR="00905ED9">
              <w:rPr>
                <w:rFonts w:ascii="Courier New" w:hAnsi="Courier New" w:cs="Courier New"/>
              </w:rPr>
              <w:t xml:space="preserve"> $60</w:t>
            </w:r>
            <w:r w:rsidR="00347A00">
              <w:rPr>
                <w:rFonts w:ascii="Courier New" w:hAnsi="Courier New" w:cs="Courier New"/>
              </w:rPr>
              <w:t>8</w:t>
            </w:r>
            <w:r w:rsidR="00905ED9">
              <w:rPr>
                <w:rFonts w:ascii="Courier New" w:hAnsi="Courier New" w:cs="Courier New"/>
              </w:rPr>
              <w:t>.00</w:t>
            </w:r>
          </w:p>
          <w:p w:rsidR="0052632D" w:rsidRDefault="009133D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Rendimientos de inversión </w:t>
            </w:r>
            <w:r w:rsidR="0052632D">
              <w:rPr>
                <w:rFonts w:ascii="Courier New" w:hAnsi="Courier New" w:cs="Courier New"/>
              </w:rPr>
              <w:t>cta</w:t>
            </w:r>
            <w:r>
              <w:rPr>
                <w:rFonts w:ascii="Courier New" w:hAnsi="Courier New" w:cs="Courier New"/>
              </w:rPr>
              <w:t xml:space="preserve">. </w:t>
            </w:r>
            <w:r w:rsidR="00905ED9">
              <w:rPr>
                <w:rFonts w:ascii="Courier New" w:hAnsi="Courier New" w:cs="Courier New"/>
              </w:rPr>
              <w:t>6122</w:t>
            </w:r>
            <w:r>
              <w:rPr>
                <w:rFonts w:ascii="Courier New" w:hAnsi="Courier New" w:cs="Courier New"/>
              </w:rPr>
              <w:t xml:space="preserve"> año 2020</w:t>
            </w:r>
            <w:r w:rsidR="00905ED9">
              <w:rPr>
                <w:rFonts w:ascii="Courier New" w:hAnsi="Courier New" w:cs="Courier New"/>
              </w:rPr>
              <w:t xml:space="preserve"> $4,385.00</w:t>
            </w:r>
          </w:p>
          <w:p w:rsidR="00905ED9" w:rsidRDefault="00905ED9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Participaciones reasignadas</w:t>
            </w:r>
            <w:r w:rsidR="009133D8">
              <w:rPr>
                <w:rFonts w:ascii="Courier New" w:hAnsi="Courier New" w:cs="Courier New"/>
              </w:rPr>
              <w:t xml:space="preserve"> cta. 0618</w:t>
            </w:r>
            <w:r>
              <w:rPr>
                <w:rFonts w:ascii="Courier New" w:hAnsi="Courier New" w:cs="Courier New"/>
              </w:rPr>
              <w:t xml:space="preserve"> </w:t>
            </w:r>
            <w:r w:rsidR="009133D8">
              <w:rPr>
                <w:rFonts w:ascii="Courier New" w:hAnsi="Courier New" w:cs="Courier New"/>
              </w:rPr>
              <w:t xml:space="preserve">año 2021 </w:t>
            </w:r>
            <w:r>
              <w:rPr>
                <w:rFonts w:ascii="Courier New" w:hAnsi="Courier New" w:cs="Courier New"/>
              </w:rPr>
              <w:t>$366,793.00</w:t>
            </w:r>
          </w:p>
          <w:p w:rsidR="0052632D" w:rsidRDefault="0052632D" w:rsidP="00905ED9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764E48" w:rsidTr="009133D8">
        <w:tc>
          <w:tcPr>
            <w:tcW w:w="2972" w:type="dxa"/>
          </w:tcPr>
          <w:p w:rsidR="00764E48" w:rsidRDefault="00764E4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2.2.6.3.2 Fondo de liquidación al personal</w:t>
            </w:r>
          </w:p>
        </w:tc>
        <w:tc>
          <w:tcPr>
            <w:tcW w:w="1985" w:type="dxa"/>
          </w:tcPr>
          <w:p w:rsidR="00764E48" w:rsidRDefault="00764E48" w:rsidP="00764E4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$ 82,124.00</w:t>
            </w:r>
          </w:p>
        </w:tc>
        <w:tc>
          <w:tcPr>
            <w:tcW w:w="1842" w:type="dxa"/>
          </w:tcPr>
          <w:p w:rsidR="00764E48" w:rsidRDefault="00764E48" w:rsidP="00764E48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596,480.00</w:t>
            </w:r>
          </w:p>
        </w:tc>
        <w:tc>
          <w:tcPr>
            <w:tcW w:w="7513" w:type="dxa"/>
          </w:tcPr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Del saldo inicial se erogo la cantidad $$80,266.00, quedando con un saldo disponible de $1,858.00 (recurso ejercicio 2020)</w:t>
            </w:r>
          </w:p>
          <w:p w:rsidR="00764E48" w:rsidRDefault="004B2650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 asigno en este ejercicio 2021 la cantidad de $594,622.00</w:t>
            </w:r>
            <w:r w:rsidR="008E6978">
              <w:rPr>
                <w:rFonts w:ascii="Courier New" w:hAnsi="Courier New" w:cs="Courier New"/>
              </w:rPr>
              <w:t>, que al sumar ambos importes se tiene la disponibilidad de $596,480.00</w:t>
            </w:r>
          </w:p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</w:p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La cantidad de 594,622.00 esta integrada de la siguiente manera:</w:t>
            </w:r>
          </w:p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Rendimientos de la cuenta 4527 año 2019 $   306.00</w:t>
            </w:r>
          </w:p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Rendimientos de la cuenta 6122 año 2020 $ 4,290.00</w:t>
            </w:r>
          </w:p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Rendimientos de la cuenta 0618 año 2021 $32,757.00</w:t>
            </w:r>
          </w:p>
          <w:p w:rsidR="008E6978" w:rsidRDefault="008E6978" w:rsidP="007824AA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Participaciones reasignadas de la cuenta 0618 2021 $</w:t>
            </w:r>
            <w:r w:rsidR="001F16C6">
              <w:rPr>
                <w:rFonts w:ascii="Courier New" w:hAnsi="Courier New" w:cs="Courier New"/>
              </w:rPr>
              <w:t>557,269.00</w:t>
            </w:r>
          </w:p>
        </w:tc>
      </w:tr>
    </w:tbl>
    <w:p w:rsidR="00764E48" w:rsidRDefault="00764E48" w:rsidP="007824AA">
      <w:pPr>
        <w:jc w:val="both"/>
        <w:rPr>
          <w:rFonts w:ascii="Courier New" w:hAnsi="Courier New" w:cs="Courier New"/>
        </w:rPr>
      </w:pP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Magistrado </w:t>
            </w:r>
            <w:proofErr w:type="gramStart"/>
            <w:r w:rsidRPr="00C80DE2">
              <w:rPr>
                <w:rFonts w:ascii="Courier New" w:hAnsi="Courier New" w:cs="Courier New"/>
                <w:b/>
              </w:rPr>
              <w:t>Presidente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proofErr w:type="spellStart"/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proofErr w:type="spellEnd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176A5D" w:rsidRDefault="00176A5D" w:rsidP="006D0FEA">
      <w:pPr>
        <w:jc w:val="center"/>
        <w:rPr>
          <w:rFonts w:ascii="Courier New" w:hAnsi="Courier New" w:cs="Courier New"/>
          <w:b/>
        </w:rPr>
      </w:pPr>
    </w:p>
    <w:p w:rsidR="00EF2E8A" w:rsidRDefault="00EF2E8A" w:rsidP="006D0FEA">
      <w:pPr>
        <w:jc w:val="center"/>
        <w:rPr>
          <w:rFonts w:ascii="Courier New" w:hAnsi="Courier New" w:cs="Courier New"/>
          <w:b/>
        </w:rPr>
      </w:pPr>
    </w:p>
    <w:p w:rsidR="009133D8" w:rsidRDefault="009133D8" w:rsidP="006D0FEA">
      <w:pPr>
        <w:jc w:val="center"/>
        <w:rPr>
          <w:rFonts w:ascii="Courier New" w:hAnsi="Courier New" w:cs="Courier New"/>
          <w:b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511FF6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511FF6">
        <w:rPr>
          <w:rFonts w:ascii="Courier New" w:hAnsi="Courier New" w:cs="Courier New"/>
          <w:sz w:val="22"/>
          <w:szCs w:val="22"/>
          <w:lang w:val="es-MX"/>
        </w:rPr>
        <w:tab/>
        <w:t xml:space="preserve">El monto reflejado al mes de </w:t>
      </w:r>
      <w:r w:rsidR="00BF4B34">
        <w:rPr>
          <w:rFonts w:ascii="Courier New" w:hAnsi="Courier New" w:cs="Courier New"/>
          <w:sz w:val="22"/>
          <w:szCs w:val="22"/>
          <w:lang w:val="es-MX"/>
        </w:rPr>
        <w:t>diciembre</w:t>
      </w:r>
      <w:r w:rsidR="00B52B4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511FF6">
        <w:rPr>
          <w:rFonts w:ascii="Courier New" w:hAnsi="Courier New" w:cs="Courier New"/>
          <w:sz w:val="22"/>
          <w:szCs w:val="22"/>
          <w:lang w:val="es-MX"/>
        </w:rPr>
        <w:t>es de $</w:t>
      </w:r>
      <w:r w:rsidR="00BF4B34">
        <w:rPr>
          <w:rFonts w:ascii="Courier New" w:hAnsi="Courier New" w:cs="Courier New"/>
          <w:sz w:val="22"/>
          <w:szCs w:val="22"/>
          <w:lang w:val="es-MX"/>
        </w:rPr>
        <w:t>2,243,193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511FF6">
        <w:rPr>
          <w:rFonts w:ascii="Courier New" w:hAnsi="Courier New" w:cs="Courier New"/>
          <w:sz w:val="22"/>
          <w:szCs w:val="22"/>
          <w:lang w:val="es-MX"/>
        </w:rPr>
        <w:t xml:space="preserve"> pesos, saldo que se tiene reflejado en la cuenta de cheques a nombre del Tribunal Electoral de Tlaxcala, mismos que se </w:t>
      </w:r>
      <w:r w:rsidR="00BF4B34">
        <w:rPr>
          <w:rFonts w:ascii="Courier New" w:hAnsi="Courier New" w:cs="Courier New"/>
          <w:sz w:val="22"/>
          <w:szCs w:val="22"/>
          <w:lang w:val="es-MX"/>
        </w:rPr>
        <w:t xml:space="preserve">han sido reasignados en el pago de pasivos contingentes a largo plazo </w:t>
      </w:r>
      <w:r w:rsidR="00BF4B34" w:rsidRPr="00BF4B34">
        <w:rPr>
          <w:rFonts w:ascii="Courier New" w:hAnsi="Courier New" w:cs="Courier New"/>
          <w:sz w:val="22"/>
          <w:szCs w:val="22"/>
          <w:lang w:val="es-MX"/>
        </w:rPr>
        <w:t>$1,339,953.00</w:t>
      </w:r>
      <w:r w:rsidR="00BF4B34">
        <w:rPr>
          <w:rFonts w:ascii="Courier New" w:hAnsi="Courier New" w:cs="Courier New"/>
        </w:rPr>
        <w:t xml:space="preserve"> </w:t>
      </w:r>
      <w:r w:rsidR="00BF4B34">
        <w:rPr>
          <w:rFonts w:ascii="Courier New" w:hAnsi="Courier New" w:cs="Courier New"/>
          <w:sz w:val="22"/>
          <w:szCs w:val="22"/>
          <w:lang w:val="es-MX"/>
        </w:rPr>
        <w:t>por la cantidad de $</w:t>
      </w:r>
      <w:r w:rsidR="00BF4B34" w:rsidRPr="00BF4B34">
        <w:rPr>
          <w:rFonts w:ascii="Courier New" w:hAnsi="Courier New" w:cs="Courier New"/>
          <w:sz w:val="22"/>
          <w:szCs w:val="22"/>
          <w:lang w:val="es-MX"/>
        </w:rPr>
        <w:t>971</w:t>
      </w:r>
      <w:r w:rsidR="00BF4B34">
        <w:rPr>
          <w:rFonts w:ascii="Courier New" w:hAnsi="Courier New" w:cs="Courier New"/>
          <w:sz w:val="22"/>
          <w:szCs w:val="22"/>
          <w:lang w:val="es-MX"/>
        </w:rPr>
        <w:t>,</w:t>
      </w:r>
      <w:r w:rsidR="00BF4B34" w:rsidRPr="00BF4B34">
        <w:rPr>
          <w:rFonts w:ascii="Courier New" w:hAnsi="Courier New" w:cs="Courier New"/>
          <w:sz w:val="22"/>
          <w:szCs w:val="22"/>
          <w:lang w:val="es-MX"/>
        </w:rPr>
        <w:t>707.00</w:t>
      </w:r>
      <w:r w:rsidR="00BF4B34">
        <w:rPr>
          <w:rFonts w:ascii="Courier New" w:hAnsi="Courier New" w:cs="Courier New"/>
        </w:rPr>
        <w:t xml:space="preserve"> </w:t>
      </w:r>
      <w:r w:rsidR="00BF4B34">
        <w:rPr>
          <w:rFonts w:ascii="Courier New" w:hAnsi="Courier New" w:cs="Courier New"/>
          <w:sz w:val="22"/>
          <w:szCs w:val="22"/>
          <w:lang w:val="es-MX"/>
        </w:rPr>
        <w:t>para pago de aportaciones de seguridad social</w:t>
      </w:r>
      <w:r w:rsidR="00287A1D">
        <w:rPr>
          <w:rFonts w:ascii="Courier New" w:hAnsi="Courier New" w:cs="Courier New"/>
          <w:sz w:val="22"/>
          <w:szCs w:val="22"/>
          <w:lang w:val="es-MX"/>
        </w:rPr>
        <w:t xml:space="preserve"> del personal del Tribunal Electoral de Tlaxcala</w:t>
      </w:r>
      <w:r w:rsidRPr="00511FF6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0B4BA7" w:rsidRPr="00511FF6" w:rsidRDefault="000B4BA7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511FF6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</w:t>
      </w:r>
      <w:r w:rsidR="0010104A">
        <w:rPr>
          <w:rFonts w:ascii="Courier New" w:hAnsi="Courier New" w:cs="Courier New"/>
          <w:b/>
          <w:sz w:val="22"/>
          <w:szCs w:val="22"/>
          <w:lang w:val="es-MX"/>
        </w:rPr>
        <w:t>.</w:t>
      </w:r>
    </w:p>
    <w:p w:rsidR="00692168" w:rsidRDefault="00D06BD1" w:rsidP="00343306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10104A">
        <w:rPr>
          <w:rFonts w:ascii="Courier New" w:hAnsi="Courier New" w:cs="Courier New"/>
          <w:sz w:val="22"/>
          <w:szCs w:val="22"/>
          <w:lang w:val="es-MX"/>
        </w:rPr>
        <w:t>El tribunal Electoral de Tlaxcala, durante el cua</w:t>
      </w:r>
      <w:r w:rsidR="00F36831">
        <w:rPr>
          <w:rFonts w:ascii="Courier New" w:hAnsi="Courier New" w:cs="Courier New"/>
          <w:sz w:val="22"/>
          <w:szCs w:val="22"/>
          <w:lang w:val="es-MX"/>
        </w:rPr>
        <w:t>r</w:t>
      </w:r>
      <w:r w:rsidR="0010104A">
        <w:rPr>
          <w:rFonts w:ascii="Courier New" w:hAnsi="Courier New" w:cs="Courier New"/>
          <w:sz w:val="22"/>
          <w:szCs w:val="22"/>
          <w:lang w:val="es-MX"/>
        </w:rPr>
        <w:t xml:space="preserve">to trimestre </w:t>
      </w:r>
      <w:r w:rsidR="00F36831">
        <w:rPr>
          <w:rFonts w:ascii="Courier New" w:hAnsi="Courier New" w:cs="Courier New"/>
          <w:sz w:val="22"/>
          <w:szCs w:val="22"/>
          <w:lang w:val="es-MX"/>
        </w:rPr>
        <w:t>en lo que corresponde a este rubro está</w:t>
      </w:r>
      <w:r w:rsidR="002154BF">
        <w:rPr>
          <w:rFonts w:ascii="Courier New" w:hAnsi="Courier New" w:cs="Courier New"/>
          <w:sz w:val="22"/>
          <w:szCs w:val="22"/>
          <w:lang w:val="es-MX"/>
        </w:rPr>
        <w:t xml:space="preserve"> integrado por la cantidad de $17,760.00 </w:t>
      </w:r>
      <w:r w:rsidR="00F36831">
        <w:rPr>
          <w:rFonts w:ascii="Courier New" w:hAnsi="Courier New" w:cs="Courier New"/>
          <w:sz w:val="22"/>
          <w:szCs w:val="22"/>
          <w:lang w:val="es-MX"/>
        </w:rPr>
        <w:t>importe</w:t>
      </w:r>
      <w:r w:rsidR="002154BF">
        <w:rPr>
          <w:rFonts w:ascii="Courier New" w:hAnsi="Courier New" w:cs="Courier New"/>
          <w:sz w:val="22"/>
          <w:szCs w:val="22"/>
          <w:lang w:val="es-MX"/>
        </w:rPr>
        <w:t xml:space="preserve"> a recuperar por deducible de camioneta Equinox modelo 2018 3GNAX9EVXJ5510348</w:t>
      </w:r>
      <w:r w:rsidR="00F36831">
        <w:rPr>
          <w:rFonts w:ascii="Courier New" w:hAnsi="Courier New" w:cs="Courier New"/>
          <w:sz w:val="22"/>
          <w:szCs w:val="22"/>
          <w:lang w:val="es-MX"/>
        </w:rPr>
        <w:t xml:space="preserve"> y</w:t>
      </w:r>
      <w:r w:rsidR="002154BF">
        <w:rPr>
          <w:rFonts w:ascii="Courier New" w:hAnsi="Courier New" w:cs="Courier New"/>
          <w:sz w:val="22"/>
          <w:szCs w:val="22"/>
          <w:lang w:val="es-MX"/>
        </w:rPr>
        <w:t xml:space="preserve"> la cantidad de $84,901.00 reconocimiento </w:t>
      </w:r>
      <w:r w:rsidR="00F36831">
        <w:rPr>
          <w:rFonts w:ascii="Courier New" w:hAnsi="Courier New" w:cs="Courier New"/>
          <w:sz w:val="22"/>
          <w:szCs w:val="22"/>
          <w:lang w:val="es-MX"/>
        </w:rPr>
        <w:t>de las</w:t>
      </w:r>
      <w:r w:rsidR="002154BF">
        <w:rPr>
          <w:rFonts w:ascii="Courier New" w:hAnsi="Courier New" w:cs="Courier New"/>
          <w:sz w:val="22"/>
          <w:szCs w:val="22"/>
          <w:lang w:val="es-MX"/>
        </w:rPr>
        <w:t xml:space="preserve"> aportaci</w:t>
      </w:r>
      <w:r w:rsidR="00F36831">
        <w:rPr>
          <w:rFonts w:ascii="Courier New" w:hAnsi="Courier New" w:cs="Courier New"/>
          <w:sz w:val="22"/>
          <w:szCs w:val="22"/>
          <w:lang w:val="es-MX"/>
        </w:rPr>
        <w:t>o</w:t>
      </w:r>
      <w:r w:rsidR="002154BF">
        <w:rPr>
          <w:rFonts w:ascii="Courier New" w:hAnsi="Courier New" w:cs="Courier New"/>
          <w:sz w:val="22"/>
          <w:szCs w:val="22"/>
          <w:lang w:val="es-MX"/>
        </w:rPr>
        <w:t>n</w:t>
      </w:r>
      <w:r w:rsidR="00F36831">
        <w:rPr>
          <w:rFonts w:ascii="Courier New" w:hAnsi="Courier New" w:cs="Courier New"/>
          <w:sz w:val="22"/>
          <w:szCs w:val="22"/>
          <w:lang w:val="es-MX"/>
        </w:rPr>
        <w:t>es</w:t>
      </w:r>
      <w:r w:rsidR="002154BF">
        <w:rPr>
          <w:rFonts w:ascii="Courier New" w:hAnsi="Courier New" w:cs="Courier New"/>
          <w:sz w:val="22"/>
          <w:szCs w:val="22"/>
          <w:lang w:val="es-MX"/>
        </w:rPr>
        <w:t xml:space="preserve"> del personal del Tribunal Electoral de Tlaxcala correspondiente a las quincenas de noviembre y diciembre</w:t>
      </w:r>
      <w:r w:rsidR="00F36831">
        <w:rPr>
          <w:rFonts w:ascii="Courier New" w:hAnsi="Courier New" w:cs="Courier New"/>
          <w:sz w:val="22"/>
          <w:szCs w:val="22"/>
          <w:lang w:val="es-MX"/>
        </w:rPr>
        <w:t xml:space="preserve"> del ejercicio 2021</w:t>
      </w:r>
      <w:r w:rsidR="002154BF">
        <w:rPr>
          <w:rFonts w:ascii="Courier New" w:hAnsi="Courier New" w:cs="Courier New"/>
          <w:sz w:val="22"/>
          <w:szCs w:val="22"/>
          <w:lang w:val="es-MX"/>
        </w:rPr>
        <w:t xml:space="preserve"> (4 quincenas)</w:t>
      </w:r>
      <w:r w:rsidR="00F36831">
        <w:rPr>
          <w:rFonts w:ascii="Courier New" w:hAnsi="Courier New" w:cs="Courier New"/>
          <w:sz w:val="22"/>
          <w:szCs w:val="22"/>
          <w:lang w:val="es-MX"/>
        </w:rPr>
        <w:t xml:space="preserve"> del seguro de retiro, cesantía, edad avanzada y vejez</w:t>
      </w:r>
      <w:r w:rsidR="00E34B31">
        <w:rPr>
          <w:rFonts w:ascii="Courier New" w:hAnsi="Courier New" w:cs="Courier New"/>
          <w:sz w:val="22"/>
          <w:szCs w:val="22"/>
          <w:lang w:val="es-MX"/>
        </w:rPr>
        <w:t xml:space="preserve"> (ISSSTE)</w:t>
      </w:r>
      <w:r w:rsidR="00F36831">
        <w:rPr>
          <w:rFonts w:ascii="Courier New" w:hAnsi="Courier New" w:cs="Courier New"/>
          <w:sz w:val="22"/>
          <w:szCs w:val="22"/>
          <w:lang w:val="es-MX"/>
        </w:rPr>
        <w:t>. Sumando un importe de $102,661.00</w:t>
      </w:r>
    </w:p>
    <w:p w:rsidR="00692168" w:rsidRDefault="00692168" w:rsidP="00FB7D5C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343306" w:rsidRDefault="00D06BD1" w:rsidP="00343306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</w:p>
    <w:p w:rsidR="00343306" w:rsidRDefault="00343306" w:rsidP="00343306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>d</w:t>
      </w:r>
      <w:r w:rsidRPr="006957C0">
        <w:rPr>
          <w:rFonts w:ascii="Courier New" w:hAnsi="Courier New" w:cs="Courier New"/>
          <w:sz w:val="22"/>
          <w:szCs w:val="22"/>
          <w:lang w:val="es-MX"/>
        </w:rPr>
        <w:t xml:space="preserve">urante el </w:t>
      </w:r>
      <w:r>
        <w:rPr>
          <w:rFonts w:ascii="Courier New" w:hAnsi="Courier New" w:cs="Courier New"/>
          <w:sz w:val="22"/>
          <w:szCs w:val="22"/>
          <w:lang w:val="es-MX"/>
        </w:rPr>
        <w:t>cuarto</w:t>
      </w:r>
      <w:r w:rsidRPr="006957C0">
        <w:rPr>
          <w:rFonts w:ascii="Courier New" w:hAnsi="Courier New" w:cs="Courier New"/>
          <w:sz w:val="22"/>
          <w:szCs w:val="22"/>
          <w:lang w:val="es-MX"/>
        </w:rPr>
        <w:t xml:space="preserve"> trimestre se realizaron compra y venta de </w:t>
      </w:r>
      <w:proofErr w:type="gramStart"/>
      <w:r w:rsidRPr="006957C0">
        <w:rPr>
          <w:rFonts w:ascii="Courier New" w:hAnsi="Courier New" w:cs="Courier New"/>
          <w:sz w:val="22"/>
          <w:szCs w:val="22"/>
          <w:lang w:val="es-MX"/>
        </w:rPr>
        <w:t>fondos.</w:t>
      </w:r>
      <w:r>
        <w:rPr>
          <w:rFonts w:ascii="Courier New" w:hAnsi="Courier New" w:cs="Courier New"/>
          <w:sz w:val="22"/>
          <w:szCs w:val="22"/>
          <w:lang w:val="es-MX"/>
        </w:rPr>
        <w:t>(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>inversiones financieras).</w:t>
      </w:r>
      <w:r w:rsidRPr="006957C0">
        <w:rPr>
          <w:rFonts w:ascii="Courier New" w:hAnsi="Courier New" w:cs="Courier New"/>
          <w:sz w:val="22"/>
          <w:szCs w:val="22"/>
          <w:lang w:val="es-MX"/>
        </w:rPr>
        <w:t xml:space="preserve"> Los rendimientos generados serán utilizados conforme a lo estipulado en el presupuesto de egresos del del Tribunal Electoral de Tlaxcala 202</w:t>
      </w:r>
      <w:r>
        <w:rPr>
          <w:rFonts w:ascii="Courier New" w:hAnsi="Courier New" w:cs="Courier New"/>
          <w:sz w:val="22"/>
          <w:szCs w:val="22"/>
          <w:lang w:val="es-MX"/>
        </w:rPr>
        <w:t>1, por el periodo del octubre y noviembre por la cantidad de: $32,507.00 y que está integrado de la siguiente manera:</w:t>
      </w:r>
    </w:p>
    <w:p w:rsidR="00343306" w:rsidRDefault="00343306" w:rsidP="00343306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Style w:val="Tablaconcuadrcula"/>
        <w:tblW w:w="13450" w:type="dxa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8"/>
        <w:gridCol w:w="1669"/>
        <w:gridCol w:w="3380"/>
        <w:gridCol w:w="7283"/>
      </w:tblGrid>
      <w:tr w:rsidR="00343306" w:rsidTr="00F70439">
        <w:tc>
          <w:tcPr>
            <w:tcW w:w="1118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Año</w:t>
            </w:r>
          </w:p>
        </w:tc>
        <w:tc>
          <w:tcPr>
            <w:tcW w:w="1669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3380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Rendimientos del de octubre a noviembre</w:t>
            </w:r>
          </w:p>
        </w:tc>
        <w:tc>
          <w:tcPr>
            <w:tcW w:w="7283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Comentarios</w:t>
            </w:r>
          </w:p>
        </w:tc>
      </w:tr>
      <w:tr w:rsidR="00343306" w:rsidTr="00F70439">
        <w:tc>
          <w:tcPr>
            <w:tcW w:w="1118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2019</w:t>
            </w:r>
          </w:p>
        </w:tc>
        <w:tc>
          <w:tcPr>
            <w:tcW w:w="1669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3380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105.00</w:t>
            </w:r>
          </w:p>
        </w:tc>
        <w:tc>
          <w:tcPr>
            <w:tcW w:w="7283" w:type="dxa"/>
          </w:tcPr>
          <w:p w:rsidR="00343306" w:rsidRPr="00511FF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Recurso que corresponde al</w:t>
            </w: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Fondo de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haber de retir</w:t>
            </w: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o a funcionarios</w:t>
            </w:r>
          </w:p>
        </w:tc>
      </w:tr>
      <w:tr w:rsidR="00343306" w:rsidTr="00F70439">
        <w:tc>
          <w:tcPr>
            <w:tcW w:w="1118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2020</w:t>
            </w:r>
          </w:p>
        </w:tc>
        <w:tc>
          <w:tcPr>
            <w:tcW w:w="1669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3380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$1,556.00</w:t>
            </w:r>
          </w:p>
        </w:tc>
        <w:tc>
          <w:tcPr>
            <w:tcW w:w="7283" w:type="dxa"/>
          </w:tcPr>
          <w:p w:rsidR="00343306" w:rsidRPr="00511FF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Recurso que corresponde al </w:t>
            </w: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Fondo de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haber de retir</w:t>
            </w: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o a funcionarios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y al Fondo del Haber de liquidación al personal.</w:t>
            </w:r>
          </w:p>
        </w:tc>
      </w:tr>
      <w:tr w:rsidR="00343306" w:rsidTr="00F70439">
        <w:tc>
          <w:tcPr>
            <w:tcW w:w="1118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2021</w:t>
            </w:r>
          </w:p>
        </w:tc>
        <w:tc>
          <w:tcPr>
            <w:tcW w:w="1669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3380" w:type="dxa"/>
          </w:tcPr>
          <w:p w:rsidR="00343306" w:rsidRDefault="00343306" w:rsidP="00F7043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$30,846.00</w:t>
            </w:r>
          </w:p>
        </w:tc>
        <w:tc>
          <w:tcPr>
            <w:tcW w:w="7283" w:type="dxa"/>
          </w:tcPr>
          <w:p w:rsidR="00343306" w:rsidRPr="00511FF6" w:rsidRDefault="00343306" w:rsidP="00F70439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Recurso que fue asignado a las partidas bono de actuación a funcionarios y bono de actuación a personal.</w:t>
            </w:r>
          </w:p>
        </w:tc>
      </w:tr>
    </w:tbl>
    <w:p w:rsidR="00343306" w:rsidRDefault="00343306" w:rsidP="00343306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43306" w:rsidRDefault="00343306" w:rsidP="00343306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Finalmente se informa que en el mes de diciembre no se realizaron inversiones por cierre de ejercicio.</w:t>
      </w:r>
    </w:p>
    <w:p w:rsidR="00343306" w:rsidRPr="00C80DE2" w:rsidRDefault="00343306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287A1D">
        <w:rPr>
          <w:rFonts w:ascii="Courier New" w:hAnsi="Courier New" w:cs="Courier New"/>
          <w:sz w:val="22"/>
          <w:szCs w:val="22"/>
          <w:lang w:val="es-MX"/>
        </w:rPr>
        <w:t>diciembre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</w:t>
      </w:r>
      <w:r w:rsidR="00C341A3">
        <w:rPr>
          <w:rFonts w:ascii="Courier New" w:hAnsi="Courier New" w:cs="Courier New"/>
          <w:sz w:val="22"/>
          <w:szCs w:val="22"/>
          <w:lang w:val="es-MX"/>
        </w:rPr>
        <w:t>21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 w:rsidR="00287A1D">
        <w:rPr>
          <w:rFonts w:ascii="Courier New" w:hAnsi="Courier New" w:cs="Courier New"/>
          <w:sz w:val="22"/>
          <w:szCs w:val="22"/>
          <w:lang w:val="es-MX"/>
        </w:rPr>
        <w:t>1,724,151.00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 por concepto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</w:t>
      </w:r>
      <w:r w:rsidR="00287A1D">
        <w:rPr>
          <w:rFonts w:ascii="Courier New" w:hAnsi="Courier New" w:cs="Courier New"/>
          <w:sz w:val="22"/>
          <w:szCs w:val="22"/>
          <w:lang w:val="es-MX"/>
        </w:rPr>
        <w:t xml:space="preserve"> en su totalidad, además de realizar la depreciación correspondiente por la cantidad de $502,180.00</w:t>
      </w:r>
    </w:p>
    <w:p w:rsidR="00394DC2" w:rsidRDefault="00A2163D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En el rubro de Bienes muebles,</w:t>
      </w:r>
      <w:r w:rsidR="00394DC2">
        <w:rPr>
          <w:rFonts w:ascii="Courier New" w:hAnsi="Courier New" w:cs="Courier New"/>
          <w:sz w:val="22"/>
          <w:szCs w:val="22"/>
          <w:lang w:val="es-MX"/>
        </w:rPr>
        <w:t xml:space="preserve"> en este trimestre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394DC2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>
        <w:rPr>
          <w:rFonts w:ascii="Courier New" w:hAnsi="Courier New" w:cs="Courier New"/>
          <w:sz w:val="22"/>
          <w:szCs w:val="22"/>
          <w:lang w:val="es-MX"/>
        </w:rPr>
        <w:t>realiz</w:t>
      </w:r>
      <w:r w:rsidR="00394DC2">
        <w:rPr>
          <w:rFonts w:ascii="Courier New" w:hAnsi="Courier New" w:cs="Courier New"/>
          <w:sz w:val="22"/>
          <w:szCs w:val="22"/>
          <w:lang w:val="es-MX"/>
        </w:rPr>
        <w:t>ado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394DC2">
        <w:rPr>
          <w:rFonts w:ascii="Courier New" w:hAnsi="Courier New" w:cs="Courier New"/>
          <w:sz w:val="22"/>
          <w:szCs w:val="22"/>
          <w:lang w:val="es-MX"/>
        </w:rPr>
        <w:t>adquisiciones de bienes muebles</w:t>
      </w:r>
      <w:r w:rsidR="00287A1D">
        <w:rPr>
          <w:rFonts w:ascii="Courier New" w:hAnsi="Courier New" w:cs="Courier New"/>
          <w:sz w:val="22"/>
          <w:szCs w:val="22"/>
          <w:lang w:val="es-MX"/>
        </w:rPr>
        <w:t xml:space="preserve"> por un importe de $63,703.00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Default="00D06BD1" w:rsidP="00AF7646">
      <w:pPr>
        <w:pStyle w:val="ROMANOS"/>
        <w:tabs>
          <w:tab w:val="left" w:pos="3178"/>
        </w:tabs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287A1D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287A1D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287A1D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1. El pasivo que se refleja en el </w:t>
      </w:r>
      <w:r w:rsidR="00395FA9">
        <w:rPr>
          <w:rFonts w:ascii="Courier New" w:hAnsi="Courier New" w:cs="Courier New"/>
          <w:sz w:val="22"/>
          <w:szCs w:val="22"/>
          <w:lang w:val="es-MX"/>
        </w:rPr>
        <w:t>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stado de </w:t>
      </w:r>
      <w:r w:rsidR="00395FA9">
        <w:rPr>
          <w:rFonts w:ascii="Courier New" w:hAnsi="Courier New" w:cs="Courier New"/>
          <w:sz w:val="22"/>
          <w:szCs w:val="22"/>
          <w:lang w:val="es-MX"/>
        </w:rPr>
        <w:t>S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ituación </w:t>
      </w:r>
      <w:r w:rsidR="00395FA9">
        <w:rPr>
          <w:rFonts w:ascii="Courier New" w:hAnsi="Courier New" w:cs="Courier New"/>
          <w:sz w:val="22"/>
          <w:szCs w:val="22"/>
          <w:lang w:val="es-MX"/>
        </w:rPr>
        <w:t>F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inanciera por un monto de $</w:t>
      </w:r>
      <w:r w:rsidR="00287A1D">
        <w:rPr>
          <w:rFonts w:ascii="Courier New" w:hAnsi="Courier New" w:cs="Courier New"/>
          <w:sz w:val="22"/>
          <w:szCs w:val="22"/>
          <w:lang w:val="es-MX"/>
        </w:rPr>
        <w:t>971,707.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00 pesos, </w:t>
      </w:r>
      <w:r w:rsidR="000E0596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287A1D">
        <w:rPr>
          <w:rFonts w:ascii="Courier New" w:hAnsi="Courier New" w:cs="Courier New"/>
          <w:sz w:val="22"/>
          <w:szCs w:val="22"/>
          <w:lang w:val="es-MX"/>
        </w:rPr>
        <w:t>para pago de las aportaciones de seguridad social</w:t>
      </w:r>
      <w:r w:rsidR="00287A1D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87A1D">
        <w:rPr>
          <w:rFonts w:ascii="Courier New" w:hAnsi="Courier New" w:cs="Courier New"/>
          <w:sz w:val="22"/>
          <w:szCs w:val="22"/>
          <w:lang w:val="es-MX"/>
        </w:rPr>
        <w:t>del personal de Tribunal Electoral de Tlaxcala.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753C44" w:rsidRDefault="00D06BD1" w:rsidP="00981910">
      <w:pPr>
        <w:pStyle w:val="ROMANOS"/>
        <w:numPr>
          <w:ilvl w:val="0"/>
          <w:numId w:val="8"/>
        </w:numPr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  <w:lang w:val="es-MX"/>
        </w:rPr>
      </w:pPr>
      <w:r w:rsidRPr="00753C44">
        <w:rPr>
          <w:rFonts w:ascii="Courier New" w:hAnsi="Courier New" w:cs="Courier New"/>
          <w:sz w:val="22"/>
          <w:szCs w:val="22"/>
          <w:lang w:val="es-MX"/>
        </w:rPr>
        <w:lastRenderedPageBreak/>
        <w:t>En el rubro de resultados de ejercicios anteriores se refleja un monto de $</w:t>
      </w:r>
      <w:r w:rsidR="00131DF9" w:rsidRPr="00753C44">
        <w:rPr>
          <w:rFonts w:ascii="Courier New" w:hAnsi="Courier New" w:cs="Courier New"/>
          <w:sz w:val="22"/>
          <w:szCs w:val="22"/>
          <w:lang w:val="es-MX"/>
        </w:rPr>
        <w:t>1,420,924</w:t>
      </w:r>
      <w:r w:rsidR="002B2C02" w:rsidRPr="00753C44">
        <w:rPr>
          <w:rFonts w:ascii="Courier New" w:hAnsi="Courier New" w:cs="Courier New"/>
          <w:sz w:val="22"/>
          <w:szCs w:val="22"/>
          <w:lang w:val="es-MX"/>
        </w:rPr>
        <w:t>.</w:t>
      </w:r>
      <w:r w:rsidR="00864C0A" w:rsidRPr="00753C44">
        <w:rPr>
          <w:rFonts w:ascii="Courier New" w:hAnsi="Courier New" w:cs="Courier New"/>
          <w:sz w:val="22"/>
          <w:szCs w:val="22"/>
          <w:lang w:val="es-MX"/>
        </w:rPr>
        <w:t>00</w:t>
      </w:r>
      <w:r w:rsidRPr="00753C44">
        <w:rPr>
          <w:rFonts w:ascii="Courier New" w:hAnsi="Courier New" w:cs="Courier New"/>
          <w:sz w:val="22"/>
          <w:szCs w:val="22"/>
          <w:lang w:val="es-MX"/>
        </w:rPr>
        <w:t xml:space="preserve"> pesos, lo anterior </w:t>
      </w:r>
      <w:r w:rsidR="00767ABD" w:rsidRPr="00753C44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 w:rsidRPr="00753C44">
        <w:rPr>
          <w:rFonts w:ascii="Courier New" w:hAnsi="Courier New" w:cs="Courier New"/>
          <w:sz w:val="22"/>
          <w:szCs w:val="22"/>
          <w:lang w:val="es-MX"/>
        </w:rPr>
        <w:t xml:space="preserve">: </w:t>
      </w:r>
    </w:p>
    <w:p w:rsidR="00753C44" w:rsidRDefault="00753C44" w:rsidP="00753C44">
      <w:pPr>
        <w:pStyle w:val="ROMANOS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  <w:lang w:val="es-MX"/>
        </w:rPr>
      </w:pPr>
      <w:r w:rsidRPr="00753C44">
        <w:rPr>
          <w:rFonts w:ascii="Courier New" w:hAnsi="Courier New" w:cs="Courier New"/>
          <w:sz w:val="22"/>
          <w:szCs w:val="22"/>
          <w:lang w:val="es-MX"/>
        </w:rPr>
        <w:t>1)</w:t>
      </w:r>
      <w:r w:rsidR="00BF352C" w:rsidRPr="00753C44">
        <w:rPr>
          <w:rFonts w:ascii="Courier New" w:hAnsi="Courier New" w:cs="Courier New"/>
          <w:sz w:val="22"/>
          <w:szCs w:val="22"/>
          <w:lang w:val="es-MX"/>
        </w:rPr>
        <w:t xml:space="preserve">Resultado del ejercicio </w:t>
      </w:r>
      <w:r w:rsidR="002B2C02" w:rsidRPr="00753C44">
        <w:rPr>
          <w:rFonts w:ascii="Courier New" w:hAnsi="Courier New" w:cs="Courier New"/>
          <w:sz w:val="22"/>
          <w:szCs w:val="22"/>
          <w:lang w:val="es-MX"/>
        </w:rPr>
        <w:t>(ahorro/</w:t>
      </w:r>
      <w:r w:rsidR="00B44C05" w:rsidRPr="00753C44">
        <w:rPr>
          <w:rFonts w:ascii="Courier New" w:hAnsi="Courier New" w:cs="Courier New"/>
          <w:sz w:val="22"/>
          <w:szCs w:val="22"/>
          <w:lang w:val="es-MX"/>
        </w:rPr>
        <w:t>desahorro) $</w:t>
      </w:r>
      <w:r w:rsidR="00C6796A" w:rsidRPr="00753C44">
        <w:rPr>
          <w:rFonts w:ascii="Courier New" w:hAnsi="Courier New" w:cs="Courier New"/>
          <w:sz w:val="22"/>
          <w:szCs w:val="22"/>
          <w:lang w:val="es-MX"/>
        </w:rPr>
        <w:t>1</w:t>
      </w:r>
      <w:r w:rsidR="008F6478" w:rsidRPr="00753C44">
        <w:rPr>
          <w:rFonts w:ascii="Courier New" w:hAnsi="Courier New" w:cs="Courier New"/>
          <w:sz w:val="22"/>
          <w:szCs w:val="22"/>
          <w:lang w:val="es-MX"/>
        </w:rPr>
        <w:t>,521,147</w:t>
      </w:r>
      <w:r w:rsidR="0065388F" w:rsidRPr="00753C44">
        <w:rPr>
          <w:rFonts w:ascii="Courier New" w:hAnsi="Courier New" w:cs="Courier New"/>
          <w:sz w:val="22"/>
          <w:szCs w:val="22"/>
          <w:lang w:val="es-MX"/>
        </w:rPr>
        <w:t>.00</w:t>
      </w:r>
      <w:r>
        <w:rPr>
          <w:rFonts w:ascii="Courier New" w:hAnsi="Courier New" w:cs="Courier New"/>
          <w:sz w:val="22"/>
          <w:szCs w:val="22"/>
          <w:lang w:val="es-MX"/>
        </w:rPr>
        <w:t>; y,</w:t>
      </w:r>
    </w:p>
    <w:p w:rsidR="00364440" w:rsidRPr="00753C44" w:rsidRDefault="00753C44" w:rsidP="00753C44">
      <w:pPr>
        <w:pStyle w:val="ROMANOS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2)</w:t>
      </w:r>
      <w:r w:rsidR="00364440" w:rsidRPr="00753C44">
        <w:rPr>
          <w:rFonts w:ascii="Courier New" w:hAnsi="Courier New" w:cs="Courier New"/>
          <w:sz w:val="22"/>
          <w:szCs w:val="22"/>
          <w:lang w:val="es-MX"/>
        </w:rPr>
        <w:t>Se realiza el registro de Rectificaciones de Resultados de Ejercicios Anteriores $2,82</w:t>
      </w:r>
      <w:r w:rsidR="008F6478" w:rsidRPr="00753C44">
        <w:rPr>
          <w:rFonts w:ascii="Courier New" w:hAnsi="Courier New" w:cs="Courier New"/>
          <w:sz w:val="22"/>
          <w:szCs w:val="22"/>
          <w:lang w:val="es-MX"/>
        </w:rPr>
        <w:t>0</w:t>
      </w:r>
      <w:r w:rsidR="00364440" w:rsidRPr="00753C44">
        <w:rPr>
          <w:rFonts w:ascii="Courier New" w:hAnsi="Courier New" w:cs="Courier New"/>
          <w:sz w:val="22"/>
          <w:szCs w:val="22"/>
          <w:lang w:val="es-MX"/>
        </w:rPr>
        <w:t xml:space="preserve">.00 originado por devolución de </w:t>
      </w:r>
      <w:r w:rsidR="007C4E09" w:rsidRPr="00753C44">
        <w:rPr>
          <w:rFonts w:ascii="Courier New" w:hAnsi="Courier New" w:cs="Courier New"/>
          <w:sz w:val="22"/>
          <w:szCs w:val="22"/>
          <w:lang w:val="es-MX"/>
        </w:rPr>
        <w:t xml:space="preserve">recurso respecto a la </w:t>
      </w:r>
      <w:r w:rsidR="00364440" w:rsidRPr="00753C44">
        <w:rPr>
          <w:rFonts w:ascii="Courier New" w:hAnsi="Courier New" w:cs="Courier New"/>
          <w:sz w:val="22"/>
          <w:szCs w:val="22"/>
          <w:lang w:val="es-MX"/>
        </w:rPr>
        <w:t>póliza de seguro del ejercicio 2020</w:t>
      </w:r>
      <w:r w:rsidR="008F6478" w:rsidRPr="00753C44">
        <w:rPr>
          <w:rFonts w:ascii="Courier New" w:hAnsi="Courier New" w:cs="Courier New"/>
          <w:sz w:val="22"/>
          <w:szCs w:val="22"/>
          <w:lang w:val="es-MX"/>
        </w:rPr>
        <w:t xml:space="preserve"> y $1.00 por saldos de poca importancia relativa por las retenciones de impuesto sobre la renta e impuesto al valor agregado.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F754F3">
        <w:rPr>
          <w:rFonts w:ascii="Courier New" w:hAnsi="Courier New" w:cs="Courier New"/>
          <w:sz w:val="22"/>
          <w:szCs w:val="22"/>
          <w:lang w:val="es-MX"/>
        </w:rPr>
        <w:t>112</w:t>
      </w:r>
      <w:r w:rsidR="00075E56">
        <w:rPr>
          <w:rFonts w:ascii="Courier New" w:hAnsi="Courier New" w:cs="Courier New"/>
          <w:sz w:val="22"/>
          <w:szCs w:val="22"/>
          <w:lang w:val="es-MX"/>
        </w:rPr>
        <w:t>,423</w:t>
      </w:r>
      <w:r w:rsidR="00D2220B">
        <w:rPr>
          <w:rFonts w:ascii="Courier New" w:hAnsi="Courier New" w:cs="Courier New"/>
          <w:sz w:val="22"/>
          <w:szCs w:val="22"/>
          <w:lang w:val="es-MX"/>
        </w:rPr>
        <w:t>.00</w:t>
      </w:r>
      <w:r>
        <w:rPr>
          <w:rFonts w:ascii="Courier New" w:hAnsi="Courier New" w:cs="Courier New"/>
          <w:sz w:val="22"/>
          <w:szCs w:val="22"/>
          <w:lang w:val="es-MX"/>
        </w:rPr>
        <w:t>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</w:t>
      </w:r>
      <w:r w:rsidR="00BB6CAE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075E56" w:rsidRDefault="00D06BD1" w:rsidP="00FA4C54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075E56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en cumplimiento a la norma NOR_01_02_001, que emite el Consejo Nacional de Armonización Contable (CONAC) </w:t>
      </w:r>
      <w:r w:rsidR="005C5F20" w:rsidRPr="00075E56">
        <w:rPr>
          <w:rFonts w:ascii="Courier New" w:hAnsi="Courier New" w:cs="Courier New"/>
          <w:sz w:val="22"/>
          <w:szCs w:val="22"/>
          <w:lang w:val="es-MX"/>
        </w:rPr>
        <w:t>informa</w:t>
      </w:r>
      <w:r w:rsidRPr="00075E56"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075E56">
        <w:rPr>
          <w:rFonts w:ascii="Courier New" w:hAnsi="Courier New" w:cs="Courier New"/>
          <w:sz w:val="22"/>
          <w:szCs w:val="22"/>
          <w:lang w:val="es-MX"/>
        </w:rPr>
        <w:t>44,352,886.00</w:t>
      </w: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075E56">
        <w:rPr>
          <w:rFonts w:ascii="Courier New" w:hAnsi="Courier New" w:cs="Courier New"/>
          <w:sz w:val="22"/>
          <w:szCs w:val="22"/>
          <w:lang w:val="es-MX"/>
        </w:rPr>
        <w:t>44,365,086.00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075E56">
        <w:rPr>
          <w:rFonts w:ascii="Courier New" w:hAnsi="Courier New" w:cs="Courier New"/>
          <w:sz w:val="22"/>
          <w:szCs w:val="22"/>
          <w:lang w:val="es-MX"/>
        </w:rPr>
        <w:t>41,870,527.</w:t>
      </w:r>
      <w:r w:rsidRPr="00C80DE2">
        <w:rPr>
          <w:rFonts w:ascii="Courier New" w:hAnsi="Courier New" w:cs="Courier New"/>
          <w:sz w:val="22"/>
          <w:szCs w:val="22"/>
          <w:lang w:val="es-MX"/>
        </w:rPr>
        <w:t>00 pesos</w:t>
      </w:r>
      <w:r w:rsidR="00075E56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>que se invierte en el capital humano base para el funcionamiento y desarrollo de sus actividades y funciones jurisdiccionales</w:t>
      </w:r>
      <w:r w:rsidR="00993394">
        <w:rPr>
          <w:rFonts w:ascii="Courier New" w:hAnsi="Courier New" w:cs="Courier New"/>
          <w:sz w:val="22"/>
          <w:szCs w:val="22"/>
          <w:lang w:val="es-MX"/>
        </w:rPr>
        <w:t>,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93394">
        <w:rPr>
          <w:rFonts w:ascii="Courier New" w:hAnsi="Courier New" w:cs="Courier New"/>
          <w:sz w:val="22"/>
          <w:szCs w:val="22"/>
          <w:lang w:val="es-MX"/>
        </w:rPr>
        <w:lastRenderedPageBreak/>
        <w:t xml:space="preserve">la cantidad de </w:t>
      </w:r>
      <w:r w:rsidR="00993394" w:rsidRPr="00075E56">
        <w:rPr>
          <w:rFonts w:ascii="Courier New" w:hAnsi="Courier New" w:cs="Courier New"/>
          <w:sz w:val="22"/>
          <w:szCs w:val="22"/>
          <w:lang w:val="es-MX"/>
        </w:rPr>
        <w:t xml:space="preserve">$383,704.00 </w:t>
      </w:r>
      <w:r w:rsidR="009933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993394">
        <w:rPr>
          <w:rFonts w:ascii="Courier New" w:hAnsi="Courier New" w:cs="Courier New"/>
          <w:sz w:val="22"/>
          <w:szCs w:val="22"/>
          <w:lang w:val="es-MX"/>
        </w:rPr>
        <w:t xml:space="preserve"> en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="00075E56">
        <w:rPr>
          <w:rFonts w:ascii="Courier New" w:hAnsi="Courier New" w:cs="Courier New"/>
          <w:sz w:val="22"/>
          <w:szCs w:val="22"/>
          <w:lang w:val="es-MX"/>
        </w:rPr>
        <w:t xml:space="preserve">$2,110,855.00 </w:t>
      </w:r>
      <w:r w:rsidRPr="00C80DE2">
        <w:rPr>
          <w:rFonts w:ascii="Courier New" w:hAnsi="Courier New" w:cs="Courier New"/>
          <w:sz w:val="22"/>
          <w:szCs w:val="22"/>
          <w:lang w:val="es-MX"/>
        </w:rPr>
        <w:t>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  <w:r w:rsidR="00743EDF">
        <w:rPr>
          <w:rFonts w:ascii="Courier New" w:hAnsi="Courier New" w:cs="Courier New"/>
          <w:b/>
          <w:smallCaps/>
          <w:sz w:val="22"/>
          <w:szCs w:val="22"/>
        </w:rPr>
        <w:t>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056FF9">
        <w:rPr>
          <w:rFonts w:ascii="Courier New" w:hAnsi="Courier New" w:cs="Courier New"/>
          <w:sz w:val="22"/>
          <w:szCs w:val="22"/>
          <w:lang w:val="es-MX"/>
        </w:rPr>
        <w:t>dic</w:t>
      </w:r>
      <w:r w:rsidR="001527DF">
        <w:rPr>
          <w:rFonts w:ascii="Courier New" w:hAnsi="Courier New" w:cs="Courier New"/>
          <w:sz w:val="22"/>
          <w:szCs w:val="22"/>
          <w:lang w:val="es-MX"/>
        </w:rPr>
        <w:t>iembre</w:t>
      </w:r>
      <w:r w:rsidR="00CF0020">
        <w:rPr>
          <w:rFonts w:ascii="Courier New" w:hAnsi="Courier New" w:cs="Courier New"/>
          <w:sz w:val="22"/>
          <w:szCs w:val="22"/>
          <w:lang w:val="es-MX"/>
        </w:rPr>
        <w:t xml:space="preserve"> l</w:t>
      </w:r>
      <w:r>
        <w:rPr>
          <w:rFonts w:ascii="Courier New" w:hAnsi="Courier New" w:cs="Courier New"/>
          <w:sz w:val="22"/>
          <w:szCs w:val="22"/>
          <w:lang w:val="es-MX"/>
        </w:rPr>
        <w:t xml:space="preserve">e correspondió a la cantidad de </w:t>
      </w:r>
      <w:r w:rsidR="00D065BA">
        <w:rPr>
          <w:rFonts w:ascii="Courier New" w:hAnsi="Courier New" w:cs="Courier New"/>
          <w:sz w:val="22"/>
          <w:szCs w:val="22"/>
          <w:lang w:val="es-MX"/>
        </w:rPr>
        <w:t>$</w:t>
      </w:r>
      <w:r w:rsidR="000C5890">
        <w:rPr>
          <w:rFonts w:ascii="Courier New" w:hAnsi="Courier New" w:cs="Courier New"/>
          <w:sz w:val="22"/>
          <w:szCs w:val="22"/>
          <w:lang w:val="es-MX"/>
        </w:rPr>
        <w:t>2,273,090.00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en el rubro del resultado del ejercicio.</w:t>
      </w:r>
    </w:p>
    <w:p w:rsidR="00236E40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Flujos de Efectivo</w:t>
      </w:r>
      <w:r w:rsidR="000A0BF9">
        <w:rPr>
          <w:rFonts w:ascii="Courier New" w:hAnsi="Courier New" w:cs="Courier New"/>
          <w:b/>
          <w:smallCaps/>
          <w:sz w:val="22"/>
          <w:szCs w:val="22"/>
        </w:rPr>
        <w:t>.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 xml:space="preserve">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2020</w:t>
            </w:r>
          </w:p>
        </w:tc>
      </w:tr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0C589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$2,243,193.00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0C589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A57A31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="00236E40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0C589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$2,243,193.00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En el concepto de bienes muebles</w:t>
      </w:r>
      <w:r w:rsidR="004D37F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4D37F6">
        <w:rPr>
          <w:rFonts w:ascii="Courier New" w:hAnsi="Courier New" w:cs="Courier New"/>
          <w:sz w:val="22"/>
          <w:szCs w:val="22"/>
          <w:lang w:val="es-MX"/>
        </w:rPr>
        <w:t xml:space="preserve">en el </w:t>
      </w:r>
      <w:r w:rsidR="000C5890">
        <w:rPr>
          <w:rFonts w:ascii="Courier New" w:hAnsi="Courier New" w:cs="Courier New"/>
          <w:sz w:val="22"/>
          <w:szCs w:val="22"/>
          <w:lang w:val="es-MX"/>
        </w:rPr>
        <w:t>cuarto</w:t>
      </w:r>
      <w:r w:rsidR="004D37F6">
        <w:rPr>
          <w:rFonts w:ascii="Courier New" w:hAnsi="Courier New" w:cs="Courier New"/>
          <w:sz w:val="22"/>
          <w:szCs w:val="22"/>
          <w:lang w:val="es-MX"/>
        </w:rPr>
        <w:t xml:space="preserve"> trimestre de </w:t>
      </w:r>
      <w:r w:rsidR="000C5890">
        <w:rPr>
          <w:rFonts w:ascii="Courier New" w:hAnsi="Courier New" w:cs="Courier New"/>
          <w:sz w:val="22"/>
          <w:szCs w:val="22"/>
          <w:lang w:val="es-MX"/>
        </w:rPr>
        <w:t>octubre</w:t>
      </w:r>
      <w:r w:rsidR="004D37F6">
        <w:rPr>
          <w:rFonts w:ascii="Courier New" w:hAnsi="Courier New" w:cs="Courier New"/>
          <w:sz w:val="22"/>
          <w:szCs w:val="22"/>
          <w:lang w:val="es-MX"/>
        </w:rPr>
        <w:t>-</w:t>
      </w:r>
      <w:r w:rsidR="000C5890">
        <w:rPr>
          <w:rFonts w:ascii="Courier New" w:hAnsi="Courier New" w:cs="Courier New"/>
          <w:sz w:val="22"/>
          <w:szCs w:val="22"/>
          <w:lang w:val="es-MX"/>
        </w:rPr>
        <w:t>diciembre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de 202</w:t>
      </w:r>
      <w:r w:rsidR="008043DF">
        <w:rPr>
          <w:rFonts w:ascii="Courier New" w:hAnsi="Courier New" w:cs="Courier New"/>
          <w:sz w:val="22"/>
          <w:szCs w:val="22"/>
          <w:lang w:val="es-MX"/>
        </w:rPr>
        <w:t>1</w:t>
      </w:r>
      <w:r w:rsidR="000C5890">
        <w:rPr>
          <w:rFonts w:ascii="Courier New" w:hAnsi="Courier New" w:cs="Courier New"/>
          <w:sz w:val="22"/>
          <w:szCs w:val="22"/>
          <w:lang w:val="es-MX"/>
        </w:rPr>
        <w:t xml:space="preserve"> por la adquisición de dos escáneres con un importe de $63,703.00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E36F32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137.35pt;margin-top:17.55pt;width:646.5pt;height:249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703412261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E36F32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137.45pt;margin-top:20.65pt;width:576.05pt;height:276.7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703412262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lastRenderedPageBreak/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 w:rsidR="00FB7283">
        <w:rPr>
          <w:rFonts w:ascii="Courier New" w:hAnsi="Courier New" w:cs="Courier New"/>
          <w:sz w:val="22"/>
          <w:szCs w:val="22"/>
          <w:lang w:val="es-MX"/>
        </w:rPr>
        <w:t xml:space="preserve">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9C1266">
        <w:rPr>
          <w:rFonts w:ascii="Courier New" w:hAnsi="Courier New" w:cs="Courier New"/>
          <w:sz w:val="22"/>
          <w:szCs w:val="22"/>
          <w:lang w:val="es-MX"/>
        </w:rPr>
        <w:tab/>
        <w:t xml:space="preserve">     0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9627DE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823D8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C1266">
        <w:rPr>
          <w:rFonts w:ascii="Courier New" w:hAnsi="Courier New" w:cs="Courier New"/>
          <w:sz w:val="22"/>
          <w:szCs w:val="22"/>
          <w:lang w:val="es-MX"/>
        </w:rPr>
        <w:t>11,842,256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C1266">
        <w:rPr>
          <w:rFonts w:ascii="Courier New" w:hAnsi="Courier New" w:cs="Courier New"/>
          <w:sz w:val="22"/>
          <w:szCs w:val="22"/>
          <w:lang w:val="es-MX"/>
        </w:rPr>
        <w:t xml:space="preserve">         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C1266">
        <w:rPr>
          <w:rFonts w:ascii="Courier New" w:hAnsi="Courier New" w:cs="Courier New"/>
          <w:sz w:val="22"/>
          <w:szCs w:val="22"/>
          <w:lang w:val="es-MX"/>
        </w:rPr>
        <w:t>0.00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FB7283">
        <w:rPr>
          <w:rFonts w:ascii="Courier New" w:hAnsi="Courier New" w:cs="Courier New"/>
          <w:sz w:val="22"/>
          <w:szCs w:val="22"/>
          <w:lang w:val="es-MX"/>
        </w:rPr>
        <w:t xml:space="preserve">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C823D8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C1266">
        <w:rPr>
          <w:rFonts w:ascii="Courier New" w:hAnsi="Courier New" w:cs="Courier New"/>
          <w:sz w:val="22"/>
          <w:szCs w:val="22"/>
          <w:lang w:val="es-MX"/>
        </w:rPr>
        <w:t>15,325,768.00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9C1266">
        <w:rPr>
          <w:rFonts w:ascii="Courier New" w:hAnsi="Courier New" w:cs="Courier New"/>
          <w:sz w:val="22"/>
          <w:szCs w:val="22"/>
          <w:lang w:val="es-MX"/>
        </w:rPr>
        <w:t>3,483,511.00</w:t>
      </w:r>
      <w:proofErr w:type="gramEnd"/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C1266">
        <w:rPr>
          <w:rFonts w:ascii="Courier New" w:hAnsi="Courier New" w:cs="Courier New"/>
          <w:sz w:val="22"/>
          <w:szCs w:val="22"/>
          <w:lang w:val="es-MX"/>
        </w:rPr>
        <w:t>1,853,214.00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  0.00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C1266">
        <w:rPr>
          <w:rFonts w:ascii="Courier New" w:hAnsi="Courier New" w:cs="Courier New"/>
          <w:sz w:val="22"/>
          <w:szCs w:val="22"/>
          <w:lang w:val="es-MX"/>
        </w:rPr>
        <w:t>42,612,095.00</w:t>
      </w:r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A32F14" w:rsidRPr="00CF11F9" w:rsidRDefault="00A32F1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De esta manera, se informa y explica la respuesta del gobierno </w:t>
      </w:r>
      <w:r w:rsidR="00D065BA">
        <w:rPr>
          <w:rFonts w:ascii="Courier New" w:hAnsi="Courier New" w:cs="Courier New"/>
          <w:sz w:val="22"/>
          <w:szCs w:val="22"/>
        </w:rPr>
        <w:t xml:space="preserve">abierto </w:t>
      </w:r>
      <w:r w:rsidRPr="00CF11F9">
        <w:rPr>
          <w:rFonts w:ascii="Courier New" w:hAnsi="Courier New" w:cs="Courier New"/>
          <w:sz w:val="22"/>
          <w:szCs w:val="22"/>
        </w:rPr>
        <w:t>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ejerció el presupuesto asignado al </w:t>
      </w:r>
      <w:r w:rsidR="00DE14C8">
        <w:rPr>
          <w:rFonts w:ascii="Courier New" w:hAnsi="Courier New" w:cs="Courier New"/>
          <w:sz w:val="22"/>
          <w:szCs w:val="22"/>
          <w:lang w:val="es-MX"/>
        </w:rPr>
        <w:t>3</w:t>
      </w:r>
      <w:r w:rsidR="00DB20A6">
        <w:rPr>
          <w:rFonts w:ascii="Courier New" w:hAnsi="Courier New" w:cs="Courier New"/>
          <w:sz w:val="22"/>
          <w:szCs w:val="22"/>
          <w:lang w:val="es-MX"/>
        </w:rPr>
        <w:t>1</w:t>
      </w:r>
      <w:r w:rsidR="00DE14C8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DB20A6">
        <w:rPr>
          <w:rFonts w:ascii="Courier New" w:hAnsi="Courier New" w:cs="Courier New"/>
          <w:sz w:val="22"/>
          <w:szCs w:val="22"/>
          <w:lang w:val="es-MX"/>
        </w:rPr>
        <w:t>dic</w:t>
      </w:r>
      <w:r w:rsidR="00B041F4">
        <w:rPr>
          <w:rFonts w:ascii="Courier New" w:hAnsi="Courier New" w:cs="Courier New"/>
          <w:sz w:val="22"/>
          <w:szCs w:val="22"/>
          <w:lang w:val="es-MX"/>
        </w:rPr>
        <w:t>iembre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161298" w:rsidRPr="00CF11F9" w:rsidRDefault="00161298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c) El 16 de mayo de 2018 se da inicio las gestiones de incorporación al ISSSTE, con oficio TET/PRES/157/2018</w:t>
      </w:r>
      <w:r w:rsidR="006B224A">
        <w:rPr>
          <w:rFonts w:ascii="Courier New" w:hAnsi="Courier New" w:cs="Courier New"/>
          <w:sz w:val="22"/>
          <w:szCs w:val="22"/>
        </w:rPr>
        <w:t xml:space="preserve"> y es hasta el 28 de septiembre de 2020 cuando a través del oficio número TET/PRES/277/2020 se da inicio al trámite de incorporación total voluntaria al régimen obligatorio de la Ley del ISSSTE con efectos a partir del 01 noviembre del año </w:t>
      </w:r>
      <w:proofErr w:type="gramStart"/>
      <w:r w:rsidR="006B224A">
        <w:rPr>
          <w:rFonts w:ascii="Courier New" w:hAnsi="Courier New" w:cs="Courier New"/>
          <w:sz w:val="22"/>
          <w:szCs w:val="22"/>
        </w:rPr>
        <w:t>dos mil veintiuno</w:t>
      </w:r>
      <w:proofErr w:type="gramEnd"/>
      <w:r w:rsidR="006B224A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  <w:r w:rsidR="006873E7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>Impartición de Justicia en materia electoral</w:t>
      </w:r>
      <w:r w:rsidR="006873E7">
        <w:rPr>
          <w:rFonts w:ascii="Courier New" w:hAnsi="Courier New" w:cs="Courier New"/>
          <w:sz w:val="22"/>
          <w:szCs w:val="22"/>
        </w:rPr>
        <w:t>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14139D">
        <w:rPr>
          <w:rFonts w:ascii="Courier New" w:hAnsi="Courier New" w:cs="Courier New"/>
          <w:sz w:val="22"/>
          <w:szCs w:val="22"/>
        </w:rPr>
        <w:t>21</w:t>
      </w:r>
      <w:r w:rsidR="006873E7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E47E53">
        <w:rPr>
          <w:rFonts w:ascii="Courier New" w:hAnsi="Courier New" w:cs="Courier New"/>
          <w:sz w:val="22"/>
          <w:szCs w:val="22"/>
        </w:rPr>
        <w:t xml:space="preserve">10% de </w:t>
      </w:r>
      <w:r w:rsidRPr="00CF11F9">
        <w:rPr>
          <w:rFonts w:ascii="Courier New" w:hAnsi="Courier New" w:cs="Courier New"/>
          <w:sz w:val="22"/>
          <w:szCs w:val="22"/>
        </w:rPr>
        <w:t>Retención</w:t>
      </w:r>
      <w:r w:rsidR="00E47E53">
        <w:rPr>
          <w:rFonts w:ascii="Courier New" w:hAnsi="Courier New" w:cs="Courier New"/>
          <w:sz w:val="22"/>
          <w:szCs w:val="22"/>
        </w:rPr>
        <w:t xml:space="preserve"> de Impuesto sobre la Renta (</w:t>
      </w:r>
      <w:r w:rsidRPr="00CF11F9">
        <w:rPr>
          <w:rFonts w:ascii="Courier New" w:hAnsi="Courier New" w:cs="Courier New"/>
          <w:sz w:val="22"/>
          <w:szCs w:val="22"/>
        </w:rPr>
        <w:t>ISR</w:t>
      </w:r>
      <w:r w:rsidR="00E47E53">
        <w:rPr>
          <w:rFonts w:ascii="Courier New" w:hAnsi="Courier New" w:cs="Courier New"/>
          <w:sz w:val="22"/>
          <w:szCs w:val="22"/>
        </w:rPr>
        <w:t>)</w:t>
      </w:r>
      <w:r w:rsidRPr="00CF11F9">
        <w:rPr>
          <w:rFonts w:ascii="Courier New" w:hAnsi="Courier New" w:cs="Courier New"/>
          <w:sz w:val="22"/>
          <w:szCs w:val="22"/>
        </w:rPr>
        <w:t xml:space="preserve"> por pago de salarios</w:t>
      </w:r>
      <w:r w:rsidR="00E47E53">
        <w:rPr>
          <w:rFonts w:ascii="Courier New" w:hAnsi="Courier New" w:cs="Courier New"/>
          <w:sz w:val="22"/>
          <w:szCs w:val="22"/>
        </w:rPr>
        <w:t xml:space="preserve"> y Retención de Impuesto al Valor Agregado (IVA)por honorarios.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</w:t>
      </w:r>
      <w:r w:rsidR="00DE14C8">
        <w:rPr>
          <w:rFonts w:ascii="Courier New" w:hAnsi="Courier New" w:cs="Courier New"/>
          <w:sz w:val="22"/>
          <w:szCs w:val="22"/>
        </w:rPr>
        <w:t xml:space="preserve">s, Contraloría, Unidad de Transparencia </w:t>
      </w:r>
      <w:r w:rsidRPr="00CF11F9">
        <w:rPr>
          <w:rFonts w:ascii="Courier New" w:hAnsi="Courier New" w:cs="Courier New"/>
          <w:sz w:val="22"/>
          <w:szCs w:val="22"/>
        </w:rPr>
        <w:t>y Jefaturas de Departamento</w:t>
      </w:r>
      <w:r w:rsidR="00E47E53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  <w:r w:rsidR="006873E7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FC01E1" w:rsidRDefault="003026B4" w:rsidP="00FC01E1">
      <w:pPr>
        <w:pStyle w:val="INCISO"/>
        <w:spacing w:after="0" w:line="240" w:lineRule="exact"/>
        <w:rPr>
          <w:rFonts w:ascii="Courier New" w:hAnsi="Courier New" w:cs="Courier New"/>
          <w:sz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Provisiones</w:t>
      </w:r>
      <w:r w:rsidR="00FC01E1">
        <w:rPr>
          <w:rFonts w:ascii="Courier New" w:hAnsi="Courier New" w:cs="Courier New"/>
          <w:sz w:val="22"/>
          <w:szCs w:val="22"/>
        </w:rPr>
        <w:t xml:space="preserve">. Existe el </w:t>
      </w:r>
      <w:r w:rsidR="00557F71" w:rsidRPr="00FC01E1">
        <w:rPr>
          <w:rFonts w:ascii="Courier New" w:hAnsi="Courier New" w:cs="Courier New"/>
          <w:sz w:val="22"/>
        </w:rPr>
        <w:t xml:space="preserve">“Fondo de Haber del Retiro a </w:t>
      </w:r>
      <w:proofErr w:type="gramStart"/>
      <w:r w:rsidR="00557F71" w:rsidRPr="00FC01E1">
        <w:rPr>
          <w:rFonts w:ascii="Courier New" w:hAnsi="Courier New" w:cs="Courier New"/>
          <w:sz w:val="22"/>
        </w:rPr>
        <w:t>Funcionarios</w:t>
      </w:r>
      <w:proofErr w:type="gramEnd"/>
      <w:r w:rsidR="00557F71" w:rsidRPr="00FC01E1">
        <w:rPr>
          <w:rFonts w:ascii="Courier New" w:hAnsi="Courier New" w:cs="Courier New"/>
          <w:sz w:val="22"/>
        </w:rPr>
        <w:t>” (por conclusión de cargo de Magistrado), por la cantidad de $371,686.00 y el “Fondo de Liquidación al personal” por la cantidad de $1,858.00, con fundamento en el artículo 11 fracciones XXIII y XXV, de la Ley Orgánica del Tribunal Electoral de Tlaxcala</w:t>
      </w:r>
      <w:r w:rsidR="00FC01E1" w:rsidRPr="00FC01E1">
        <w:rPr>
          <w:rFonts w:ascii="Courier New" w:hAnsi="Courier New" w:cs="Courier New"/>
          <w:sz w:val="22"/>
        </w:rPr>
        <w:t>.</w:t>
      </w:r>
    </w:p>
    <w:p w:rsidR="00FC01E1" w:rsidRPr="004F7A85" w:rsidRDefault="003026B4" w:rsidP="00FC01E1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C01E1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xisten Reservas</w:t>
      </w:r>
      <w:r w:rsidR="00FC01E1">
        <w:rPr>
          <w:rFonts w:ascii="Courier New" w:hAnsi="Courier New" w:cs="Courier New"/>
          <w:sz w:val="22"/>
          <w:szCs w:val="22"/>
        </w:rPr>
        <w:t xml:space="preserve"> </w:t>
      </w:r>
      <w:r w:rsidR="00FC01E1" w:rsidRPr="004F7A85">
        <w:rPr>
          <w:rFonts w:ascii="Courier New" w:hAnsi="Courier New" w:cs="Courier New"/>
          <w:sz w:val="22"/>
          <w:szCs w:val="22"/>
        </w:rPr>
        <w:t>con un monto total de $ 373,544.00 por ambos fondos</w:t>
      </w:r>
      <w:r w:rsidR="004F7A85">
        <w:rPr>
          <w:rFonts w:ascii="Courier New" w:hAnsi="Courier New" w:cs="Courier New"/>
          <w:sz w:val="22"/>
          <w:szCs w:val="22"/>
        </w:rPr>
        <w:t xml:space="preserve"> descritos en el inciso f</w:t>
      </w:r>
      <w:r w:rsidR="00FC01E1" w:rsidRPr="004F7A85">
        <w:rPr>
          <w:rFonts w:ascii="Courier New" w:hAnsi="Courier New" w:cs="Courier New"/>
          <w:sz w:val="22"/>
          <w:szCs w:val="22"/>
        </w:rPr>
        <w:t>, recurso que corresponde al ejercicio fiscal 2019 y 2020.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</w:t>
      </w:r>
      <w:r w:rsidR="00C971FA">
        <w:rPr>
          <w:rFonts w:ascii="Courier New" w:hAnsi="Courier New" w:cs="Courier New"/>
          <w:sz w:val="22"/>
          <w:szCs w:val="22"/>
          <w:lang w:val="es-MX"/>
        </w:rPr>
        <w:t xml:space="preserve"> al cierre.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743EDF">
        <w:trPr>
          <w:jc w:val="center"/>
        </w:trPr>
        <w:tc>
          <w:tcPr>
            <w:tcW w:w="4781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2C062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M</w:t>
            </w:r>
            <w:r w:rsidR="00D06BD1"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agistrado </w:t>
            </w:r>
            <w:proofErr w:type="gramStart"/>
            <w:r w:rsidR="00D06BD1"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2C0621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sectPr w:rsidR="00F30EFA" w:rsidRPr="00D971E9" w:rsidSect="00775D79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4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32" w:rsidRDefault="00E36F32" w:rsidP="00EA5418">
      <w:pPr>
        <w:spacing w:after="0" w:line="240" w:lineRule="auto"/>
      </w:pPr>
      <w:r>
        <w:separator/>
      </w:r>
    </w:p>
  </w:endnote>
  <w:endnote w:type="continuationSeparator" w:id="0">
    <w:p w:rsidR="00E36F32" w:rsidRDefault="00E36F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978" w:rsidRPr="0013011C" w:rsidRDefault="008E6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9B7227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6978" w:rsidRDefault="008E69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978" w:rsidRPr="008E3652" w:rsidRDefault="008E6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ABAC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32" w:rsidRDefault="00E36F32" w:rsidP="00EA5418">
      <w:pPr>
        <w:spacing w:after="0" w:line="240" w:lineRule="auto"/>
      </w:pPr>
      <w:r>
        <w:separator/>
      </w:r>
    </w:p>
  </w:footnote>
  <w:footnote w:type="continuationSeparator" w:id="0">
    <w:p w:rsidR="00E36F32" w:rsidRDefault="00E36F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243"/>
      <w:gridCol w:w="584"/>
      <w:gridCol w:w="1665"/>
      <w:gridCol w:w="4191"/>
    </w:tblGrid>
    <w:tr w:rsidR="008E6978" w:rsidTr="00743EDF">
      <w:tc>
        <w:tcPr>
          <w:tcW w:w="4219" w:type="dxa"/>
        </w:tcPr>
        <w:p w:rsidR="008E6978" w:rsidRDefault="008E6978" w:rsidP="008F36B9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271090</wp:posOffset>
                </wp:positionH>
                <wp:positionV relativeFrom="paragraph">
                  <wp:posOffset>-28161</wp:posOffset>
                </wp:positionV>
                <wp:extent cx="1868556" cy="504190"/>
                <wp:effectExtent l="0" t="0" r="0" b="0"/>
                <wp:wrapNone/>
                <wp:docPr id="14" name="Imagen 14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9" r="600"/>
                        <a:stretch/>
                      </pic:blipFill>
                      <pic:spPr>
                        <a:xfrm>
                          <a:off x="0" y="0"/>
                          <a:ext cx="1873137" cy="505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6978" w:rsidRDefault="008E6978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E6978" w:rsidRPr="00775D79" w:rsidRDefault="008E6978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 xml:space="preserve">TRIBUNAL ELECTORAL DE </w:t>
                                </w:r>
                                <w:r w:rsidRPr="00775D79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TLAXCA</w:t>
                                </w:r>
                                <w:r w:rsidRPr="00775D79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E6978" w:rsidRDefault="008E6978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8E6978" w:rsidRDefault="008E6978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E6978" w:rsidRPr="00775D79" w:rsidRDefault="008E6978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 xml:space="preserve">TRIBUNAL ELECTORAL DE </w:t>
                          </w:r>
                          <w:r w:rsidRPr="00775D79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TLAXCA</w:t>
                          </w:r>
                          <w:r w:rsidRPr="00775D79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E6978" w:rsidRDefault="008E6978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243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6978" w:rsidRDefault="008E6978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</w:t>
                                </w:r>
                              </w:p>
                              <w:p w:rsidR="008E6978" w:rsidRDefault="008E6978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8E6978" w:rsidRDefault="008E6978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</w:t>
                          </w:r>
                        </w:p>
                        <w:p w:rsidR="008E6978" w:rsidRDefault="008E6978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6978" w:rsidRDefault="008E6978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F1C697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4"/>
      <w:gridCol w:w="3097"/>
      <w:gridCol w:w="575"/>
      <w:gridCol w:w="1596"/>
      <w:gridCol w:w="4169"/>
    </w:tblGrid>
    <w:tr w:rsidR="008E6978" w:rsidTr="008F36B9">
      <w:tc>
        <w:tcPr>
          <w:tcW w:w="4596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6978" w:rsidRDefault="008E6978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E6978" w:rsidRDefault="008E6978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E6978" w:rsidRDefault="008E6978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8E6978" w:rsidRDefault="008E6978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E6978" w:rsidRDefault="008E6978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E6978" w:rsidRDefault="008E6978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098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5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6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6978" w:rsidRDefault="008E6978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2021020</w:t>
                                </w:r>
                              </w:p>
                              <w:p w:rsidR="008E6978" w:rsidRDefault="008E6978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8E6978" w:rsidRDefault="008E6978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2021020</w:t>
                          </w:r>
                        </w:p>
                        <w:p w:rsidR="008E6978" w:rsidRDefault="008E6978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69" w:type="dxa"/>
        </w:tcPr>
        <w:p w:rsidR="008E6978" w:rsidRDefault="008E6978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6978" w:rsidRPr="0013011C" w:rsidRDefault="008E6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278131</wp:posOffset>
          </wp:positionH>
          <wp:positionV relativeFrom="paragraph">
            <wp:posOffset>-506730</wp:posOffset>
          </wp:positionV>
          <wp:extent cx="2000250" cy="504190"/>
          <wp:effectExtent l="0" t="0" r="0" b="0"/>
          <wp:wrapNone/>
          <wp:docPr id="7" name="Imagen 7">
            <a:extLst xmlns:a="http://schemas.openxmlformats.org/drawingml/2006/ma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>
                    <a:extLst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" r="600"/>
                  <a:stretch/>
                </pic:blipFill>
                <pic:spPr>
                  <a:xfrm>
                    <a:off x="0" y="0"/>
                    <a:ext cx="20002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82F535" id="2 Conector recto" o:spid="_x0000_s1026" style="position:absolute;flip:y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017FD"/>
    <w:rsid w:val="000103C0"/>
    <w:rsid w:val="00010B80"/>
    <w:rsid w:val="0002540D"/>
    <w:rsid w:val="0002641D"/>
    <w:rsid w:val="00033E99"/>
    <w:rsid w:val="00034AFA"/>
    <w:rsid w:val="000353FB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53DE8"/>
    <w:rsid w:val="00056FF9"/>
    <w:rsid w:val="00064371"/>
    <w:rsid w:val="0006511E"/>
    <w:rsid w:val="00065A73"/>
    <w:rsid w:val="00065DCB"/>
    <w:rsid w:val="00070574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5E56"/>
    <w:rsid w:val="00077029"/>
    <w:rsid w:val="00084FEE"/>
    <w:rsid w:val="00085A95"/>
    <w:rsid w:val="00087447"/>
    <w:rsid w:val="00090108"/>
    <w:rsid w:val="00092F0C"/>
    <w:rsid w:val="00093D85"/>
    <w:rsid w:val="00096999"/>
    <w:rsid w:val="00096B40"/>
    <w:rsid w:val="000A0BF9"/>
    <w:rsid w:val="000A2165"/>
    <w:rsid w:val="000A23AB"/>
    <w:rsid w:val="000A2DB0"/>
    <w:rsid w:val="000B00F4"/>
    <w:rsid w:val="000B0C6D"/>
    <w:rsid w:val="000B2E50"/>
    <w:rsid w:val="000B4BA7"/>
    <w:rsid w:val="000B5969"/>
    <w:rsid w:val="000B7368"/>
    <w:rsid w:val="000C1356"/>
    <w:rsid w:val="000C23DA"/>
    <w:rsid w:val="000C374B"/>
    <w:rsid w:val="000C5890"/>
    <w:rsid w:val="000C5A10"/>
    <w:rsid w:val="000D27C5"/>
    <w:rsid w:val="000D358E"/>
    <w:rsid w:val="000E0596"/>
    <w:rsid w:val="000E0EEA"/>
    <w:rsid w:val="000E1E7B"/>
    <w:rsid w:val="000E2463"/>
    <w:rsid w:val="000E2F01"/>
    <w:rsid w:val="000E3520"/>
    <w:rsid w:val="000E4295"/>
    <w:rsid w:val="000E4A51"/>
    <w:rsid w:val="000E4FDE"/>
    <w:rsid w:val="000E6855"/>
    <w:rsid w:val="000F04A2"/>
    <w:rsid w:val="000F1288"/>
    <w:rsid w:val="000F151E"/>
    <w:rsid w:val="000F2768"/>
    <w:rsid w:val="000F28EC"/>
    <w:rsid w:val="000F291A"/>
    <w:rsid w:val="000F2E00"/>
    <w:rsid w:val="000F38E2"/>
    <w:rsid w:val="000F5C39"/>
    <w:rsid w:val="001001AB"/>
    <w:rsid w:val="00100825"/>
    <w:rsid w:val="0010104A"/>
    <w:rsid w:val="00101401"/>
    <w:rsid w:val="0010482C"/>
    <w:rsid w:val="00110B86"/>
    <w:rsid w:val="00111317"/>
    <w:rsid w:val="00111CAF"/>
    <w:rsid w:val="0011266C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926"/>
    <w:rsid w:val="00125BB4"/>
    <w:rsid w:val="00127151"/>
    <w:rsid w:val="001277F3"/>
    <w:rsid w:val="0013011C"/>
    <w:rsid w:val="001312AF"/>
    <w:rsid w:val="00131696"/>
    <w:rsid w:val="0013171B"/>
    <w:rsid w:val="00131DF9"/>
    <w:rsid w:val="0013201F"/>
    <w:rsid w:val="00132263"/>
    <w:rsid w:val="001332EF"/>
    <w:rsid w:val="001334E0"/>
    <w:rsid w:val="00133750"/>
    <w:rsid w:val="00136B1B"/>
    <w:rsid w:val="001379A0"/>
    <w:rsid w:val="00140134"/>
    <w:rsid w:val="0014139D"/>
    <w:rsid w:val="0014167D"/>
    <w:rsid w:val="001432BB"/>
    <w:rsid w:val="001460DA"/>
    <w:rsid w:val="00146789"/>
    <w:rsid w:val="0015148F"/>
    <w:rsid w:val="0015260E"/>
    <w:rsid w:val="001527DF"/>
    <w:rsid w:val="001539BB"/>
    <w:rsid w:val="001539E5"/>
    <w:rsid w:val="00155B55"/>
    <w:rsid w:val="0015686F"/>
    <w:rsid w:val="00156996"/>
    <w:rsid w:val="0015746C"/>
    <w:rsid w:val="001574FD"/>
    <w:rsid w:val="00161298"/>
    <w:rsid w:val="00165BB4"/>
    <w:rsid w:val="00170DCF"/>
    <w:rsid w:val="00171D2C"/>
    <w:rsid w:val="00173484"/>
    <w:rsid w:val="00173D43"/>
    <w:rsid w:val="0017453E"/>
    <w:rsid w:val="001751E5"/>
    <w:rsid w:val="00176A5D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858"/>
    <w:rsid w:val="001A2F4E"/>
    <w:rsid w:val="001A2F69"/>
    <w:rsid w:val="001A58C5"/>
    <w:rsid w:val="001B1B72"/>
    <w:rsid w:val="001B386E"/>
    <w:rsid w:val="001B7783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3902"/>
    <w:rsid w:val="001D5E78"/>
    <w:rsid w:val="001E112D"/>
    <w:rsid w:val="001E1EAD"/>
    <w:rsid w:val="001E5490"/>
    <w:rsid w:val="001E66B0"/>
    <w:rsid w:val="001E7072"/>
    <w:rsid w:val="001E7A6A"/>
    <w:rsid w:val="001F0EB8"/>
    <w:rsid w:val="001F16C6"/>
    <w:rsid w:val="001F689E"/>
    <w:rsid w:val="00200772"/>
    <w:rsid w:val="002009A5"/>
    <w:rsid w:val="00200FDC"/>
    <w:rsid w:val="00201B57"/>
    <w:rsid w:val="002020C7"/>
    <w:rsid w:val="00204478"/>
    <w:rsid w:val="00204C86"/>
    <w:rsid w:val="00204CEE"/>
    <w:rsid w:val="00205201"/>
    <w:rsid w:val="00205F80"/>
    <w:rsid w:val="00206CB9"/>
    <w:rsid w:val="002070B1"/>
    <w:rsid w:val="002114D6"/>
    <w:rsid w:val="002117E9"/>
    <w:rsid w:val="00211F5E"/>
    <w:rsid w:val="002137B2"/>
    <w:rsid w:val="002154BF"/>
    <w:rsid w:val="0022189C"/>
    <w:rsid w:val="00223DEF"/>
    <w:rsid w:val="0022416B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73"/>
    <w:rsid w:val="00276FE2"/>
    <w:rsid w:val="00277065"/>
    <w:rsid w:val="00281DDF"/>
    <w:rsid w:val="00283823"/>
    <w:rsid w:val="0028424D"/>
    <w:rsid w:val="002843E3"/>
    <w:rsid w:val="00284B47"/>
    <w:rsid w:val="00285E5C"/>
    <w:rsid w:val="00287A1D"/>
    <w:rsid w:val="00290E7B"/>
    <w:rsid w:val="002913D0"/>
    <w:rsid w:val="0029166E"/>
    <w:rsid w:val="002935B7"/>
    <w:rsid w:val="00294193"/>
    <w:rsid w:val="0029762D"/>
    <w:rsid w:val="002A06A4"/>
    <w:rsid w:val="002A1B78"/>
    <w:rsid w:val="002A5119"/>
    <w:rsid w:val="002A56C2"/>
    <w:rsid w:val="002A56D8"/>
    <w:rsid w:val="002A60A2"/>
    <w:rsid w:val="002A6165"/>
    <w:rsid w:val="002A70B3"/>
    <w:rsid w:val="002B01E2"/>
    <w:rsid w:val="002B253C"/>
    <w:rsid w:val="002B2C02"/>
    <w:rsid w:val="002B4554"/>
    <w:rsid w:val="002B514E"/>
    <w:rsid w:val="002B518B"/>
    <w:rsid w:val="002B5A4A"/>
    <w:rsid w:val="002C0415"/>
    <w:rsid w:val="002C0621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43F8"/>
    <w:rsid w:val="002D601D"/>
    <w:rsid w:val="002D63A5"/>
    <w:rsid w:val="002D6682"/>
    <w:rsid w:val="002D680C"/>
    <w:rsid w:val="002E22DB"/>
    <w:rsid w:val="002E32ED"/>
    <w:rsid w:val="002E5EB4"/>
    <w:rsid w:val="002E63BC"/>
    <w:rsid w:val="002E74E8"/>
    <w:rsid w:val="002F035F"/>
    <w:rsid w:val="002F13A9"/>
    <w:rsid w:val="002F18A5"/>
    <w:rsid w:val="002F318F"/>
    <w:rsid w:val="002F4C59"/>
    <w:rsid w:val="003026B4"/>
    <w:rsid w:val="00303224"/>
    <w:rsid w:val="0031298B"/>
    <w:rsid w:val="00320439"/>
    <w:rsid w:val="00325679"/>
    <w:rsid w:val="00327333"/>
    <w:rsid w:val="003333E1"/>
    <w:rsid w:val="00334679"/>
    <w:rsid w:val="00335D5D"/>
    <w:rsid w:val="00340173"/>
    <w:rsid w:val="00340945"/>
    <w:rsid w:val="00343306"/>
    <w:rsid w:val="003458C5"/>
    <w:rsid w:val="00346839"/>
    <w:rsid w:val="00347A00"/>
    <w:rsid w:val="00355A64"/>
    <w:rsid w:val="003573E8"/>
    <w:rsid w:val="00357701"/>
    <w:rsid w:val="00360610"/>
    <w:rsid w:val="00360834"/>
    <w:rsid w:val="00361C97"/>
    <w:rsid w:val="0036363C"/>
    <w:rsid w:val="00364440"/>
    <w:rsid w:val="00365691"/>
    <w:rsid w:val="00370B2E"/>
    <w:rsid w:val="00372F40"/>
    <w:rsid w:val="0038114E"/>
    <w:rsid w:val="00382C0B"/>
    <w:rsid w:val="00385C60"/>
    <w:rsid w:val="00386701"/>
    <w:rsid w:val="003876F1"/>
    <w:rsid w:val="00390FDE"/>
    <w:rsid w:val="0039209A"/>
    <w:rsid w:val="00394DC2"/>
    <w:rsid w:val="00395135"/>
    <w:rsid w:val="00395FA9"/>
    <w:rsid w:val="00396C2B"/>
    <w:rsid w:val="003A0303"/>
    <w:rsid w:val="003A04F6"/>
    <w:rsid w:val="003A2D79"/>
    <w:rsid w:val="003A3B4D"/>
    <w:rsid w:val="003B1FAC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37A"/>
    <w:rsid w:val="00414C09"/>
    <w:rsid w:val="00415598"/>
    <w:rsid w:val="0042164B"/>
    <w:rsid w:val="004229B4"/>
    <w:rsid w:val="0043055C"/>
    <w:rsid w:val="004311BE"/>
    <w:rsid w:val="00434187"/>
    <w:rsid w:val="00434B5E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572C6"/>
    <w:rsid w:val="00460944"/>
    <w:rsid w:val="00461AAF"/>
    <w:rsid w:val="00461C5B"/>
    <w:rsid w:val="00462557"/>
    <w:rsid w:val="00464FF0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8F2"/>
    <w:rsid w:val="00484C0D"/>
    <w:rsid w:val="004925A6"/>
    <w:rsid w:val="004937DA"/>
    <w:rsid w:val="00495286"/>
    <w:rsid w:val="00497D8B"/>
    <w:rsid w:val="004A4264"/>
    <w:rsid w:val="004A5ED3"/>
    <w:rsid w:val="004B0128"/>
    <w:rsid w:val="004B23E8"/>
    <w:rsid w:val="004B2650"/>
    <w:rsid w:val="004B3782"/>
    <w:rsid w:val="004C0408"/>
    <w:rsid w:val="004C12BB"/>
    <w:rsid w:val="004C2D3F"/>
    <w:rsid w:val="004C2E41"/>
    <w:rsid w:val="004C3F86"/>
    <w:rsid w:val="004C5CC7"/>
    <w:rsid w:val="004C6846"/>
    <w:rsid w:val="004D16CE"/>
    <w:rsid w:val="004D37F6"/>
    <w:rsid w:val="004D3EBC"/>
    <w:rsid w:val="004D41B8"/>
    <w:rsid w:val="004D6610"/>
    <w:rsid w:val="004D72DC"/>
    <w:rsid w:val="004D7551"/>
    <w:rsid w:val="004E0BA7"/>
    <w:rsid w:val="004E0C62"/>
    <w:rsid w:val="004E0D44"/>
    <w:rsid w:val="004E17C5"/>
    <w:rsid w:val="004E1DA6"/>
    <w:rsid w:val="004E3FCD"/>
    <w:rsid w:val="004E4D13"/>
    <w:rsid w:val="004E72F4"/>
    <w:rsid w:val="004E77B1"/>
    <w:rsid w:val="004F2423"/>
    <w:rsid w:val="004F44AF"/>
    <w:rsid w:val="004F4E84"/>
    <w:rsid w:val="004F5641"/>
    <w:rsid w:val="004F7856"/>
    <w:rsid w:val="004F7A85"/>
    <w:rsid w:val="004F7D69"/>
    <w:rsid w:val="00501FA3"/>
    <w:rsid w:val="00502891"/>
    <w:rsid w:val="00503C4F"/>
    <w:rsid w:val="00504D02"/>
    <w:rsid w:val="0050548D"/>
    <w:rsid w:val="005061E4"/>
    <w:rsid w:val="005074D6"/>
    <w:rsid w:val="00510784"/>
    <w:rsid w:val="00511FF6"/>
    <w:rsid w:val="005143B9"/>
    <w:rsid w:val="0051508F"/>
    <w:rsid w:val="0051719F"/>
    <w:rsid w:val="005200B9"/>
    <w:rsid w:val="005210C3"/>
    <w:rsid w:val="00522632"/>
    <w:rsid w:val="00522EF3"/>
    <w:rsid w:val="0052632D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A8F"/>
    <w:rsid w:val="00544B9E"/>
    <w:rsid w:val="005524CF"/>
    <w:rsid w:val="00552BD6"/>
    <w:rsid w:val="00553F61"/>
    <w:rsid w:val="0055414F"/>
    <w:rsid w:val="0055473A"/>
    <w:rsid w:val="00554A09"/>
    <w:rsid w:val="0055516A"/>
    <w:rsid w:val="00557E8E"/>
    <w:rsid w:val="00557F71"/>
    <w:rsid w:val="00560BE1"/>
    <w:rsid w:val="005628A4"/>
    <w:rsid w:val="00565636"/>
    <w:rsid w:val="00567825"/>
    <w:rsid w:val="005727BE"/>
    <w:rsid w:val="005741E2"/>
    <w:rsid w:val="00574266"/>
    <w:rsid w:val="0057544A"/>
    <w:rsid w:val="005755D9"/>
    <w:rsid w:val="00575833"/>
    <w:rsid w:val="00575B95"/>
    <w:rsid w:val="00584953"/>
    <w:rsid w:val="005863BC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8F6"/>
    <w:rsid w:val="005C3A9C"/>
    <w:rsid w:val="005C5F20"/>
    <w:rsid w:val="005C660C"/>
    <w:rsid w:val="005D0D47"/>
    <w:rsid w:val="005D1410"/>
    <w:rsid w:val="005D2012"/>
    <w:rsid w:val="005D2569"/>
    <w:rsid w:val="005D3D25"/>
    <w:rsid w:val="005D739B"/>
    <w:rsid w:val="005D7BBC"/>
    <w:rsid w:val="005E0919"/>
    <w:rsid w:val="005E34D4"/>
    <w:rsid w:val="005E554E"/>
    <w:rsid w:val="005F179A"/>
    <w:rsid w:val="005F3562"/>
    <w:rsid w:val="005F3D85"/>
    <w:rsid w:val="005F4E73"/>
    <w:rsid w:val="005F5F11"/>
    <w:rsid w:val="00601EA6"/>
    <w:rsid w:val="0060257B"/>
    <w:rsid w:val="006056EB"/>
    <w:rsid w:val="00607DC2"/>
    <w:rsid w:val="0061144A"/>
    <w:rsid w:val="00611E8F"/>
    <w:rsid w:val="006130C7"/>
    <w:rsid w:val="00615A25"/>
    <w:rsid w:val="006164F7"/>
    <w:rsid w:val="00621F0B"/>
    <w:rsid w:val="0062524E"/>
    <w:rsid w:val="0062531F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10"/>
    <w:rsid w:val="0065064B"/>
    <w:rsid w:val="0065159B"/>
    <w:rsid w:val="00652F9E"/>
    <w:rsid w:val="0065388F"/>
    <w:rsid w:val="00654291"/>
    <w:rsid w:val="0065537E"/>
    <w:rsid w:val="006559A0"/>
    <w:rsid w:val="00655A13"/>
    <w:rsid w:val="00663351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3E7"/>
    <w:rsid w:val="00687C5B"/>
    <w:rsid w:val="00692168"/>
    <w:rsid w:val="00693E26"/>
    <w:rsid w:val="00694BBE"/>
    <w:rsid w:val="00695598"/>
    <w:rsid w:val="006957C0"/>
    <w:rsid w:val="006A005D"/>
    <w:rsid w:val="006A1648"/>
    <w:rsid w:val="006A2E69"/>
    <w:rsid w:val="006A3097"/>
    <w:rsid w:val="006A5113"/>
    <w:rsid w:val="006A57B5"/>
    <w:rsid w:val="006A5EFF"/>
    <w:rsid w:val="006A79AF"/>
    <w:rsid w:val="006B028D"/>
    <w:rsid w:val="006B18DE"/>
    <w:rsid w:val="006B1FE7"/>
    <w:rsid w:val="006B224A"/>
    <w:rsid w:val="006C3585"/>
    <w:rsid w:val="006C597C"/>
    <w:rsid w:val="006C7727"/>
    <w:rsid w:val="006D0FEA"/>
    <w:rsid w:val="006D1CD7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6F5520"/>
    <w:rsid w:val="006F72A2"/>
    <w:rsid w:val="00703611"/>
    <w:rsid w:val="00703E02"/>
    <w:rsid w:val="0070484A"/>
    <w:rsid w:val="0070524B"/>
    <w:rsid w:val="007107D2"/>
    <w:rsid w:val="00711125"/>
    <w:rsid w:val="00711BAD"/>
    <w:rsid w:val="00711C63"/>
    <w:rsid w:val="00713945"/>
    <w:rsid w:val="007155B0"/>
    <w:rsid w:val="00716A24"/>
    <w:rsid w:val="00720139"/>
    <w:rsid w:val="00722156"/>
    <w:rsid w:val="00722857"/>
    <w:rsid w:val="007234FE"/>
    <w:rsid w:val="007253D5"/>
    <w:rsid w:val="007254D0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3EDF"/>
    <w:rsid w:val="007457AF"/>
    <w:rsid w:val="00753C44"/>
    <w:rsid w:val="0075496D"/>
    <w:rsid w:val="00762743"/>
    <w:rsid w:val="00764E48"/>
    <w:rsid w:val="007652B2"/>
    <w:rsid w:val="007671B6"/>
    <w:rsid w:val="00767ABD"/>
    <w:rsid w:val="00767EDD"/>
    <w:rsid w:val="00775D79"/>
    <w:rsid w:val="00781FD8"/>
    <w:rsid w:val="007824AA"/>
    <w:rsid w:val="007832C5"/>
    <w:rsid w:val="00785BEA"/>
    <w:rsid w:val="00787124"/>
    <w:rsid w:val="00787C2B"/>
    <w:rsid w:val="00792FFD"/>
    <w:rsid w:val="0079332C"/>
    <w:rsid w:val="00794E50"/>
    <w:rsid w:val="0079582C"/>
    <w:rsid w:val="007A588F"/>
    <w:rsid w:val="007A6BFD"/>
    <w:rsid w:val="007B0AE7"/>
    <w:rsid w:val="007B1690"/>
    <w:rsid w:val="007B2D58"/>
    <w:rsid w:val="007B4F65"/>
    <w:rsid w:val="007B6CDF"/>
    <w:rsid w:val="007B70BD"/>
    <w:rsid w:val="007C3040"/>
    <w:rsid w:val="007C3243"/>
    <w:rsid w:val="007C4E09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3DF"/>
    <w:rsid w:val="00804F59"/>
    <w:rsid w:val="008061A0"/>
    <w:rsid w:val="008063CD"/>
    <w:rsid w:val="00806433"/>
    <w:rsid w:val="008108F7"/>
    <w:rsid w:val="00811DAC"/>
    <w:rsid w:val="008123DA"/>
    <w:rsid w:val="00813CDC"/>
    <w:rsid w:val="00814725"/>
    <w:rsid w:val="00814BF9"/>
    <w:rsid w:val="00816F36"/>
    <w:rsid w:val="008223F3"/>
    <w:rsid w:val="008227AF"/>
    <w:rsid w:val="00823E3A"/>
    <w:rsid w:val="00826442"/>
    <w:rsid w:val="008278F9"/>
    <w:rsid w:val="0082797A"/>
    <w:rsid w:val="00830DFF"/>
    <w:rsid w:val="00831212"/>
    <w:rsid w:val="00831FB5"/>
    <w:rsid w:val="008336ED"/>
    <w:rsid w:val="0083460C"/>
    <w:rsid w:val="00835143"/>
    <w:rsid w:val="00835201"/>
    <w:rsid w:val="008417FE"/>
    <w:rsid w:val="00842564"/>
    <w:rsid w:val="008449EC"/>
    <w:rsid w:val="00844D0D"/>
    <w:rsid w:val="00845DAE"/>
    <w:rsid w:val="00845DCB"/>
    <w:rsid w:val="00850934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4C0A"/>
    <w:rsid w:val="0086515F"/>
    <w:rsid w:val="008659DB"/>
    <w:rsid w:val="00870154"/>
    <w:rsid w:val="00870F6E"/>
    <w:rsid w:val="00871B2E"/>
    <w:rsid w:val="00871EDE"/>
    <w:rsid w:val="0087371D"/>
    <w:rsid w:val="00874F24"/>
    <w:rsid w:val="00875B9B"/>
    <w:rsid w:val="00880482"/>
    <w:rsid w:val="00880E7D"/>
    <w:rsid w:val="00881DE8"/>
    <w:rsid w:val="008856B2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35AE"/>
    <w:rsid w:val="008B53A8"/>
    <w:rsid w:val="008B544C"/>
    <w:rsid w:val="008B7F9A"/>
    <w:rsid w:val="008C1593"/>
    <w:rsid w:val="008C1861"/>
    <w:rsid w:val="008D0D31"/>
    <w:rsid w:val="008D197F"/>
    <w:rsid w:val="008D1D20"/>
    <w:rsid w:val="008D2890"/>
    <w:rsid w:val="008D47EE"/>
    <w:rsid w:val="008D58C9"/>
    <w:rsid w:val="008D6696"/>
    <w:rsid w:val="008E046E"/>
    <w:rsid w:val="008E11A5"/>
    <w:rsid w:val="008E2D63"/>
    <w:rsid w:val="008E3652"/>
    <w:rsid w:val="008E37E7"/>
    <w:rsid w:val="008E4D50"/>
    <w:rsid w:val="008E6272"/>
    <w:rsid w:val="008E68EA"/>
    <w:rsid w:val="008E6978"/>
    <w:rsid w:val="008F0101"/>
    <w:rsid w:val="008F36B9"/>
    <w:rsid w:val="008F6320"/>
    <w:rsid w:val="008F6478"/>
    <w:rsid w:val="008F6C45"/>
    <w:rsid w:val="008F6D58"/>
    <w:rsid w:val="008F7B21"/>
    <w:rsid w:val="008F7FE4"/>
    <w:rsid w:val="00902724"/>
    <w:rsid w:val="0090284D"/>
    <w:rsid w:val="009033C1"/>
    <w:rsid w:val="00903DB0"/>
    <w:rsid w:val="00904471"/>
    <w:rsid w:val="00905ED9"/>
    <w:rsid w:val="0090600E"/>
    <w:rsid w:val="00910C31"/>
    <w:rsid w:val="009128CE"/>
    <w:rsid w:val="009132B2"/>
    <w:rsid w:val="0091335B"/>
    <w:rsid w:val="009133D8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000D"/>
    <w:rsid w:val="00942118"/>
    <w:rsid w:val="00944F78"/>
    <w:rsid w:val="00946A1F"/>
    <w:rsid w:val="00947ED7"/>
    <w:rsid w:val="00957043"/>
    <w:rsid w:val="009579C6"/>
    <w:rsid w:val="00961530"/>
    <w:rsid w:val="009627DE"/>
    <w:rsid w:val="00963AFD"/>
    <w:rsid w:val="009649D6"/>
    <w:rsid w:val="00965EEA"/>
    <w:rsid w:val="00967562"/>
    <w:rsid w:val="00967637"/>
    <w:rsid w:val="00970CFF"/>
    <w:rsid w:val="00972475"/>
    <w:rsid w:val="00977505"/>
    <w:rsid w:val="00977BE5"/>
    <w:rsid w:val="00982151"/>
    <w:rsid w:val="0098235E"/>
    <w:rsid w:val="0098238E"/>
    <w:rsid w:val="00987D98"/>
    <w:rsid w:val="009904BC"/>
    <w:rsid w:val="00991D26"/>
    <w:rsid w:val="00992F9E"/>
    <w:rsid w:val="00993379"/>
    <w:rsid w:val="00993394"/>
    <w:rsid w:val="0099392B"/>
    <w:rsid w:val="00996D87"/>
    <w:rsid w:val="009A03F5"/>
    <w:rsid w:val="009A3C0E"/>
    <w:rsid w:val="009B0B15"/>
    <w:rsid w:val="009B37FC"/>
    <w:rsid w:val="009B3D5A"/>
    <w:rsid w:val="009B3FA9"/>
    <w:rsid w:val="009C00A0"/>
    <w:rsid w:val="009C0175"/>
    <w:rsid w:val="009C1007"/>
    <w:rsid w:val="009C1266"/>
    <w:rsid w:val="009C4A21"/>
    <w:rsid w:val="009C4CAA"/>
    <w:rsid w:val="009D21E5"/>
    <w:rsid w:val="009D23C6"/>
    <w:rsid w:val="009D3B70"/>
    <w:rsid w:val="009D3BF0"/>
    <w:rsid w:val="009D3D13"/>
    <w:rsid w:val="009D5D4C"/>
    <w:rsid w:val="009D7424"/>
    <w:rsid w:val="009E2B6F"/>
    <w:rsid w:val="009E3A8A"/>
    <w:rsid w:val="009E543C"/>
    <w:rsid w:val="009E6D54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163D"/>
    <w:rsid w:val="00A23D2C"/>
    <w:rsid w:val="00A32366"/>
    <w:rsid w:val="00A32F14"/>
    <w:rsid w:val="00A363B6"/>
    <w:rsid w:val="00A46BF5"/>
    <w:rsid w:val="00A50B9D"/>
    <w:rsid w:val="00A5157B"/>
    <w:rsid w:val="00A57A31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28F1"/>
    <w:rsid w:val="00A8471A"/>
    <w:rsid w:val="00A8577E"/>
    <w:rsid w:val="00A94FC7"/>
    <w:rsid w:val="00A9573E"/>
    <w:rsid w:val="00A96049"/>
    <w:rsid w:val="00A97307"/>
    <w:rsid w:val="00AA2682"/>
    <w:rsid w:val="00AA3DF8"/>
    <w:rsid w:val="00AA4572"/>
    <w:rsid w:val="00AA4EF0"/>
    <w:rsid w:val="00AA6F09"/>
    <w:rsid w:val="00AB00B9"/>
    <w:rsid w:val="00AB2467"/>
    <w:rsid w:val="00AB2C38"/>
    <w:rsid w:val="00AB31BA"/>
    <w:rsid w:val="00AB6348"/>
    <w:rsid w:val="00AB6A4B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646"/>
    <w:rsid w:val="00AF7B30"/>
    <w:rsid w:val="00B03FA8"/>
    <w:rsid w:val="00B041F4"/>
    <w:rsid w:val="00B04CBB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4C05"/>
    <w:rsid w:val="00B45341"/>
    <w:rsid w:val="00B45738"/>
    <w:rsid w:val="00B46678"/>
    <w:rsid w:val="00B500B9"/>
    <w:rsid w:val="00B52B4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2FB3"/>
    <w:rsid w:val="00B83FF8"/>
    <w:rsid w:val="00B849EE"/>
    <w:rsid w:val="00B84D02"/>
    <w:rsid w:val="00B86174"/>
    <w:rsid w:val="00B87661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51"/>
    <w:rsid w:val="00BB6283"/>
    <w:rsid w:val="00BB6CAE"/>
    <w:rsid w:val="00BC1565"/>
    <w:rsid w:val="00BC2D38"/>
    <w:rsid w:val="00BC4A94"/>
    <w:rsid w:val="00BC71D9"/>
    <w:rsid w:val="00BC782D"/>
    <w:rsid w:val="00BC7AD1"/>
    <w:rsid w:val="00BD057A"/>
    <w:rsid w:val="00BD07AE"/>
    <w:rsid w:val="00BD2954"/>
    <w:rsid w:val="00BD32D0"/>
    <w:rsid w:val="00BD49B1"/>
    <w:rsid w:val="00BD4D2F"/>
    <w:rsid w:val="00BD5226"/>
    <w:rsid w:val="00BD5468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4B34"/>
    <w:rsid w:val="00BF5544"/>
    <w:rsid w:val="00BF7CC8"/>
    <w:rsid w:val="00C01CD5"/>
    <w:rsid w:val="00C0351D"/>
    <w:rsid w:val="00C03FEC"/>
    <w:rsid w:val="00C048B3"/>
    <w:rsid w:val="00C04DC1"/>
    <w:rsid w:val="00C06A03"/>
    <w:rsid w:val="00C06DFA"/>
    <w:rsid w:val="00C11127"/>
    <w:rsid w:val="00C1339A"/>
    <w:rsid w:val="00C16E53"/>
    <w:rsid w:val="00C17577"/>
    <w:rsid w:val="00C20AAA"/>
    <w:rsid w:val="00C223A9"/>
    <w:rsid w:val="00C22749"/>
    <w:rsid w:val="00C22ED1"/>
    <w:rsid w:val="00C236E3"/>
    <w:rsid w:val="00C27C4F"/>
    <w:rsid w:val="00C333F3"/>
    <w:rsid w:val="00C341A3"/>
    <w:rsid w:val="00C34CEE"/>
    <w:rsid w:val="00C35591"/>
    <w:rsid w:val="00C371E9"/>
    <w:rsid w:val="00C379C6"/>
    <w:rsid w:val="00C37E43"/>
    <w:rsid w:val="00C40C62"/>
    <w:rsid w:val="00C431B4"/>
    <w:rsid w:val="00C43D5F"/>
    <w:rsid w:val="00C452B2"/>
    <w:rsid w:val="00C5051E"/>
    <w:rsid w:val="00C505B2"/>
    <w:rsid w:val="00C50D15"/>
    <w:rsid w:val="00C5130D"/>
    <w:rsid w:val="00C53757"/>
    <w:rsid w:val="00C54EFE"/>
    <w:rsid w:val="00C54FC5"/>
    <w:rsid w:val="00C5535F"/>
    <w:rsid w:val="00C55864"/>
    <w:rsid w:val="00C561E6"/>
    <w:rsid w:val="00C61230"/>
    <w:rsid w:val="00C63AE5"/>
    <w:rsid w:val="00C674D5"/>
    <w:rsid w:val="00C6796A"/>
    <w:rsid w:val="00C67B3E"/>
    <w:rsid w:val="00C70ED9"/>
    <w:rsid w:val="00C73E77"/>
    <w:rsid w:val="00C75296"/>
    <w:rsid w:val="00C755AD"/>
    <w:rsid w:val="00C76297"/>
    <w:rsid w:val="00C80DE2"/>
    <w:rsid w:val="00C823D8"/>
    <w:rsid w:val="00C829C1"/>
    <w:rsid w:val="00C837C3"/>
    <w:rsid w:val="00C86926"/>
    <w:rsid w:val="00C86C59"/>
    <w:rsid w:val="00C90772"/>
    <w:rsid w:val="00C91C5A"/>
    <w:rsid w:val="00C92AB8"/>
    <w:rsid w:val="00C945F5"/>
    <w:rsid w:val="00C962D8"/>
    <w:rsid w:val="00C971FA"/>
    <w:rsid w:val="00CA247E"/>
    <w:rsid w:val="00CA6671"/>
    <w:rsid w:val="00CB0DD3"/>
    <w:rsid w:val="00CB1CBA"/>
    <w:rsid w:val="00CB3B0A"/>
    <w:rsid w:val="00CB495B"/>
    <w:rsid w:val="00CB542A"/>
    <w:rsid w:val="00CB549A"/>
    <w:rsid w:val="00CC0C4D"/>
    <w:rsid w:val="00CC226D"/>
    <w:rsid w:val="00CC36D9"/>
    <w:rsid w:val="00CC39F0"/>
    <w:rsid w:val="00CC4FFF"/>
    <w:rsid w:val="00CC592F"/>
    <w:rsid w:val="00CC5BD8"/>
    <w:rsid w:val="00CC7EF0"/>
    <w:rsid w:val="00CD01E7"/>
    <w:rsid w:val="00CD0A8E"/>
    <w:rsid w:val="00CD0C91"/>
    <w:rsid w:val="00CD262C"/>
    <w:rsid w:val="00CD3BFD"/>
    <w:rsid w:val="00CD583A"/>
    <w:rsid w:val="00CD6D9A"/>
    <w:rsid w:val="00CE05A0"/>
    <w:rsid w:val="00CF0020"/>
    <w:rsid w:val="00CF11F9"/>
    <w:rsid w:val="00CF3B1B"/>
    <w:rsid w:val="00D00E92"/>
    <w:rsid w:val="00D01755"/>
    <w:rsid w:val="00D02B53"/>
    <w:rsid w:val="00D02B81"/>
    <w:rsid w:val="00D04C8F"/>
    <w:rsid w:val="00D055EC"/>
    <w:rsid w:val="00D05732"/>
    <w:rsid w:val="00D065BA"/>
    <w:rsid w:val="00D06BD1"/>
    <w:rsid w:val="00D114BD"/>
    <w:rsid w:val="00D11D66"/>
    <w:rsid w:val="00D1208F"/>
    <w:rsid w:val="00D1393B"/>
    <w:rsid w:val="00D14366"/>
    <w:rsid w:val="00D14BDC"/>
    <w:rsid w:val="00D1510B"/>
    <w:rsid w:val="00D16068"/>
    <w:rsid w:val="00D2220B"/>
    <w:rsid w:val="00D26003"/>
    <w:rsid w:val="00D26929"/>
    <w:rsid w:val="00D27380"/>
    <w:rsid w:val="00D33283"/>
    <w:rsid w:val="00D33AE3"/>
    <w:rsid w:val="00D44728"/>
    <w:rsid w:val="00D454F6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2B0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71FA"/>
    <w:rsid w:val="00D90874"/>
    <w:rsid w:val="00D909AE"/>
    <w:rsid w:val="00D90CF9"/>
    <w:rsid w:val="00D93CA5"/>
    <w:rsid w:val="00D971E9"/>
    <w:rsid w:val="00D97431"/>
    <w:rsid w:val="00D97ED2"/>
    <w:rsid w:val="00DA0120"/>
    <w:rsid w:val="00DA0E64"/>
    <w:rsid w:val="00DA2A10"/>
    <w:rsid w:val="00DA596C"/>
    <w:rsid w:val="00DA5981"/>
    <w:rsid w:val="00DA60D4"/>
    <w:rsid w:val="00DA62AA"/>
    <w:rsid w:val="00DB091D"/>
    <w:rsid w:val="00DB20A6"/>
    <w:rsid w:val="00DB3DCE"/>
    <w:rsid w:val="00DB6BFC"/>
    <w:rsid w:val="00DC0DD1"/>
    <w:rsid w:val="00DC15FB"/>
    <w:rsid w:val="00DC1DDD"/>
    <w:rsid w:val="00DC3AC9"/>
    <w:rsid w:val="00DC6CA4"/>
    <w:rsid w:val="00DD157C"/>
    <w:rsid w:val="00DE0336"/>
    <w:rsid w:val="00DE1366"/>
    <w:rsid w:val="00DE14C8"/>
    <w:rsid w:val="00DE3988"/>
    <w:rsid w:val="00DF0890"/>
    <w:rsid w:val="00DF0AB7"/>
    <w:rsid w:val="00DF1202"/>
    <w:rsid w:val="00DF1935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4B31"/>
    <w:rsid w:val="00E36134"/>
    <w:rsid w:val="00E36F32"/>
    <w:rsid w:val="00E419C5"/>
    <w:rsid w:val="00E42BF3"/>
    <w:rsid w:val="00E43810"/>
    <w:rsid w:val="00E43BD9"/>
    <w:rsid w:val="00E43C4B"/>
    <w:rsid w:val="00E47E53"/>
    <w:rsid w:val="00E524D6"/>
    <w:rsid w:val="00E529A1"/>
    <w:rsid w:val="00E53376"/>
    <w:rsid w:val="00E5449A"/>
    <w:rsid w:val="00E575A0"/>
    <w:rsid w:val="00E60845"/>
    <w:rsid w:val="00E62601"/>
    <w:rsid w:val="00E62C97"/>
    <w:rsid w:val="00E62D7A"/>
    <w:rsid w:val="00E63627"/>
    <w:rsid w:val="00E70084"/>
    <w:rsid w:val="00E702B7"/>
    <w:rsid w:val="00E719AC"/>
    <w:rsid w:val="00E72073"/>
    <w:rsid w:val="00E73E06"/>
    <w:rsid w:val="00E75BF0"/>
    <w:rsid w:val="00E7699E"/>
    <w:rsid w:val="00E81688"/>
    <w:rsid w:val="00E8354A"/>
    <w:rsid w:val="00E83DE3"/>
    <w:rsid w:val="00E845B7"/>
    <w:rsid w:val="00E87025"/>
    <w:rsid w:val="00E87B6D"/>
    <w:rsid w:val="00E90C02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C7246"/>
    <w:rsid w:val="00ED165B"/>
    <w:rsid w:val="00ED2D8A"/>
    <w:rsid w:val="00ED3D3F"/>
    <w:rsid w:val="00ED4AAB"/>
    <w:rsid w:val="00ED574A"/>
    <w:rsid w:val="00ED6AE0"/>
    <w:rsid w:val="00EE403C"/>
    <w:rsid w:val="00EE46FB"/>
    <w:rsid w:val="00EE4796"/>
    <w:rsid w:val="00EE4BFC"/>
    <w:rsid w:val="00EE55DE"/>
    <w:rsid w:val="00EE5B6C"/>
    <w:rsid w:val="00EF1094"/>
    <w:rsid w:val="00EF1CC1"/>
    <w:rsid w:val="00EF2E8A"/>
    <w:rsid w:val="00EF4846"/>
    <w:rsid w:val="00F02319"/>
    <w:rsid w:val="00F0382B"/>
    <w:rsid w:val="00F059A4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6831"/>
    <w:rsid w:val="00F3750C"/>
    <w:rsid w:val="00F41167"/>
    <w:rsid w:val="00F42563"/>
    <w:rsid w:val="00F42A79"/>
    <w:rsid w:val="00F437BE"/>
    <w:rsid w:val="00F456C3"/>
    <w:rsid w:val="00F46A87"/>
    <w:rsid w:val="00F50BEE"/>
    <w:rsid w:val="00F522B5"/>
    <w:rsid w:val="00F534F6"/>
    <w:rsid w:val="00F53A98"/>
    <w:rsid w:val="00F53D03"/>
    <w:rsid w:val="00F65FB0"/>
    <w:rsid w:val="00F67D6F"/>
    <w:rsid w:val="00F706A0"/>
    <w:rsid w:val="00F738E9"/>
    <w:rsid w:val="00F74006"/>
    <w:rsid w:val="00F754F3"/>
    <w:rsid w:val="00F755D0"/>
    <w:rsid w:val="00F75FDC"/>
    <w:rsid w:val="00F761CA"/>
    <w:rsid w:val="00F77682"/>
    <w:rsid w:val="00F82244"/>
    <w:rsid w:val="00F82FF5"/>
    <w:rsid w:val="00F84B96"/>
    <w:rsid w:val="00F870B0"/>
    <w:rsid w:val="00F91945"/>
    <w:rsid w:val="00F95521"/>
    <w:rsid w:val="00F96D24"/>
    <w:rsid w:val="00F97969"/>
    <w:rsid w:val="00FA1782"/>
    <w:rsid w:val="00FA59BF"/>
    <w:rsid w:val="00FA7121"/>
    <w:rsid w:val="00FA7C1A"/>
    <w:rsid w:val="00FB0CF4"/>
    <w:rsid w:val="00FB1010"/>
    <w:rsid w:val="00FB2D1A"/>
    <w:rsid w:val="00FB49CD"/>
    <w:rsid w:val="00FB50D9"/>
    <w:rsid w:val="00FB52F4"/>
    <w:rsid w:val="00FB5841"/>
    <w:rsid w:val="00FB7283"/>
    <w:rsid w:val="00FB7D5C"/>
    <w:rsid w:val="00FC01E1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2C90"/>
    <w:rsid w:val="00FE65A1"/>
    <w:rsid w:val="00FE6CC5"/>
    <w:rsid w:val="00FF131A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8B06-8D10-46C6-8806-5B41D8D1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21</Pages>
  <Words>2859</Words>
  <Characters>15727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117</cp:revision>
  <cp:lastPrinted>2022-01-11T19:10:00Z</cp:lastPrinted>
  <dcterms:created xsi:type="dcterms:W3CDTF">2021-07-08T21:47:00Z</dcterms:created>
  <dcterms:modified xsi:type="dcterms:W3CDTF">2022-01-11T19:18:00Z</dcterms:modified>
</cp:coreProperties>
</file>