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15713141"/>
    <w:bookmarkEnd w:id="0"/>
    <w:p w14:paraId="20D15C77" w14:textId="0E9DF802" w:rsidR="007D6E9A" w:rsidRDefault="00454FBD" w:rsidP="003D5DBF">
      <w:pPr>
        <w:jc w:val="center"/>
      </w:pPr>
      <w:r>
        <w:object w:dxaOrig="23529" w:dyaOrig="15516" w14:anchorId="32027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.75pt;height:417.75pt" o:ole="">
            <v:imagedata r:id="rId8" o:title=""/>
          </v:shape>
          <o:OLEObject Type="Embed" ProgID="Excel.Sheet.8" ShapeID="_x0000_i1025" DrawAspect="Content" ObjectID="_1679221889" r:id="rId9"/>
        </w:object>
      </w:r>
    </w:p>
    <w:p w14:paraId="1AD50352" w14:textId="77777777" w:rsidR="00EA5418" w:rsidRDefault="00EA5418" w:rsidP="00372F40">
      <w:pPr>
        <w:jc w:val="center"/>
      </w:pPr>
    </w:p>
    <w:p w14:paraId="78ED1C34" w14:textId="77777777" w:rsidR="008C701A" w:rsidRDefault="005010AC" w:rsidP="008C701A">
      <w:pPr>
        <w:jc w:val="center"/>
      </w:pPr>
      <w:r>
        <w:rPr>
          <w:noProof/>
          <w:lang w:eastAsia="es-MX"/>
        </w:rPr>
        <w:lastRenderedPageBreak/>
        <w:object w:dxaOrig="1440" w:dyaOrig="1440" w14:anchorId="22C2964F">
          <v:shape id="_x0000_s1121" type="#_x0000_t75" style="position:absolute;left:0;text-align:left;margin-left:-26.95pt;margin-top:-4.8pt;width:669.05pt;height:342.5pt;z-index:251696128">
            <v:imagedata r:id="rId10" o:title=""/>
            <w10:wrap type="square" side="right"/>
          </v:shape>
          <o:OLEObject Type="Embed" ProgID="Excel.Sheet.8" ShapeID="_x0000_s1121" DrawAspect="Content" ObjectID="_1679221893" r:id="rId11"/>
        </w:object>
      </w:r>
    </w:p>
    <w:p w14:paraId="3B5FF8AB" w14:textId="77777777" w:rsidR="008C701A" w:rsidRDefault="008C701A" w:rsidP="008C701A"/>
    <w:p w14:paraId="6BD382AC" w14:textId="77777777" w:rsidR="00CD7FF6" w:rsidRDefault="005010AC" w:rsidP="002E07C2">
      <w:r>
        <w:rPr>
          <w:noProof/>
          <w:lang w:eastAsia="es-MX"/>
        </w:rPr>
        <w:lastRenderedPageBreak/>
        <w:object w:dxaOrig="1440" w:dyaOrig="1440" w14:anchorId="1E0D12AB">
          <v:shape id="_x0000_s1088" type="#_x0000_t75" style="position:absolute;margin-left:21.55pt;margin-top:-19.25pt;width:497.05pt;height:419.95pt;z-index:251692032">
            <v:imagedata r:id="rId12" o:title=""/>
            <w10:wrap type="square" side="right"/>
          </v:shape>
          <o:OLEObject Type="Embed" ProgID="Excel.Sheet.8" ShapeID="_x0000_s1088" DrawAspect="Content" ObjectID="_1679221894" r:id="rId13"/>
        </w:object>
      </w:r>
    </w:p>
    <w:bookmarkStart w:id="1" w:name="_MON_1470807348"/>
    <w:bookmarkEnd w:id="1"/>
    <w:p w14:paraId="2C48F66C" w14:textId="7EE888AA" w:rsidR="008C3CB8" w:rsidRDefault="00351583" w:rsidP="00C72AB9">
      <w:r>
        <w:object w:dxaOrig="17711" w:dyaOrig="12404" w14:anchorId="7691E5E9">
          <v:shape id="_x0000_i1028" type="#_x0000_t75" style="width:646.5pt;height:454.5pt" o:ole="">
            <v:imagedata r:id="rId14" o:title=""/>
          </v:shape>
          <o:OLEObject Type="Embed" ProgID="Excel.Sheet.8" ShapeID="_x0000_i1028" DrawAspect="Content" ObjectID="_1679221890" r:id="rId15"/>
        </w:object>
      </w:r>
    </w:p>
    <w:bookmarkStart w:id="2" w:name="_MON_1470809138"/>
    <w:bookmarkEnd w:id="2"/>
    <w:p w14:paraId="0622637B" w14:textId="09B8AF63" w:rsidR="00372F40" w:rsidRDefault="00351583" w:rsidP="00522632">
      <w:pPr>
        <w:jc w:val="center"/>
      </w:pPr>
      <w:r>
        <w:object w:dxaOrig="17805" w:dyaOrig="13665" w14:anchorId="562E19E6">
          <v:shape id="_x0000_i1029" type="#_x0000_t75" style="width:632.25pt;height:483pt" o:ole="">
            <v:imagedata r:id="rId16" o:title=""/>
          </v:shape>
          <o:OLEObject Type="Embed" ProgID="Excel.Sheet.8" ShapeID="_x0000_i1029" DrawAspect="Content" ObjectID="_1679221891" r:id="rId17"/>
        </w:object>
      </w:r>
    </w:p>
    <w:p w14:paraId="704F1BC7" w14:textId="77777777" w:rsidR="00FC0429" w:rsidRDefault="005010AC" w:rsidP="00522632">
      <w:pPr>
        <w:jc w:val="center"/>
      </w:pPr>
      <w:r>
        <w:rPr>
          <w:noProof/>
        </w:rPr>
        <w:lastRenderedPageBreak/>
        <w:object w:dxaOrig="1440" w:dyaOrig="1440" w14:anchorId="41A468F1">
          <v:shape id="_x0000_s1102" type="#_x0000_t75" style="position:absolute;left:0;text-align:left;margin-left:50.25pt;margin-top:-7pt;width:536.3pt;height:408.45pt;z-index:251695104">
            <v:imagedata r:id="rId18" o:title=""/>
            <w10:wrap type="square" side="right"/>
          </v:shape>
          <o:OLEObject Type="Embed" ProgID="Excel.Sheet.8" ShapeID="_x0000_s1102" DrawAspect="Content" ObjectID="_1679221895" r:id="rId19"/>
        </w:object>
      </w:r>
    </w:p>
    <w:p w14:paraId="25E9A70B" w14:textId="77777777" w:rsidR="00E32708" w:rsidRDefault="00E32708" w:rsidP="004E4C17">
      <w:pPr>
        <w:tabs>
          <w:tab w:val="left" w:pos="2430"/>
        </w:tabs>
      </w:pPr>
    </w:p>
    <w:bookmarkStart w:id="3" w:name="_MON_1470810366"/>
    <w:bookmarkEnd w:id="3"/>
    <w:p w14:paraId="0FBA0D51" w14:textId="4829D259" w:rsidR="00E32708" w:rsidRDefault="00351583" w:rsidP="00E32708">
      <w:pPr>
        <w:tabs>
          <w:tab w:val="left" w:pos="2430"/>
        </w:tabs>
        <w:jc w:val="center"/>
      </w:pPr>
      <w:r>
        <w:object w:dxaOrig="26951" w:dyaOrig="16887" w14:anchorId="5B5ABDF7">
          <v:shape id="_x0000_i1031" type="#_x0000_t75" style="width:719.25pt;height:453.75pt" o:ole="">
            <v:imagedata r:id="rId20" o:title=""/>
          </v:shape>
          <o:OLEObject Type="Embed" ProgID="Excel.Sheet.8" ShapeID="_x0000_i1031" DrawAspect="Content" ObjectID="_1679221892" r:id="rId21"/>
        </w:object>
      </w:r>
    </w:p>
    <w:p w14:paraId="6F9D985E" w14:textId="77777777" w:rsidR="00372F40" w:rsidRDefault="00372F40"/>
    <w:p w14:paraId="0BEB33FB" w14:textId="77777777" w:rsidR="00372F40" w:rsidRPr="00B10A9E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B10A9E">
        <w:rPr>
          <w:rFonts w:ascii="Arial" w:hAnsi="Arial" w:cs="Arial"/>
          <w:sz w:val="18"/>
          <w:szCs w:val="18"/>
        </w:rPr>
        <w:t>Informe de Pasivos Contingentes</w:t>
      </w:r>
    </w:p>
    <w:p w14:paraId="5935D1F7" w14:textId="77777777" w:rsidR="00372F40" w:rsidRPr="00B10A9E" w:rsidRDefault="00372F40">
      <w:pPr>
        <w:rPr>
          <w:rFonts w:ascii="Arial" w:hAnsi="Arial" w:cs="Arial"/>
          <w:sz w:val="18"/>
          <w:szCs w:val="18"/>
        </w:rPr>
      </w:pPr>
    </w:p>
    <w:p w14:paraId="00C4C9E6" w14:textId="77777777" w:rsidR="00A95378" w:rsidRPr="00B10A9E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188235E1" w14:textId="77777777" w:rsidR="00A95378" w:rsidRPr="00B10A9E" w:rsidRDefault="0015792E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Comisión Estatal de Agua de Tlaxcala no tiene pasivos contingentes</w:t>
      </w:r>
    </w:p>
    <w:p w14:paraId="5659AA7E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48EE7A2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7FD017C1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6D2C4A29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5725FB4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6724F043" w14:textId="77777777" w:rsidR="00A95378" w:rsidRDefault="005010AC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43369375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0.45pt;margin-top:8.3pt;width:273.6pt;height:71.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DFCA8B8" w14:textId="77777777" w:rsidR="001F20C7" w:rsidRDefault="001F20C7" w:rsidP="00A95378">
                  <w:pPr>
                    <w:rPr>
                      <w:lang w:val="en-US"/>
                    </w:rPr>
                  </w:pPr>
                </w:p>
                <w:p w14:paraId="60E1835E" w14:textId="1C3D6794" w:rsidR="001F20C7" w:rsidRPr="00B10A9E" w:rsidRDefault="001F20C7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C.P. </w:t>
                  </w: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467995F9" w14:textId="77777777" w:rsidR="001F20C7" w:rsidRPr="00B10A9E" w:rsidRDefault="001F20C7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1FC3CA78">
          <v:shape id="_x0000_s1046" type="#_x0000_t202" style="position:absolute;left:0;text-align:left;margin-left:-19.55pt;margin-top:8.3pt;width:272.75pt;height:79.7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32AE0CA7" w14:textId="77777777" w:rsidR="001F20C7" w:rsidRDefault="001F20C7" w:rsidP="00A95378">
                  <w:pPr>
                    <w:rPr>
                      <w:lang w:val="en-US"/>
                    </w:rPr>
                  </w:pPr>
                </w:p>
                <w:p w14:paraId="5A282F18" w14:textId="5A4DF014" w:rsidR="001F20C7" w:rsidRPr="00B10A9E" w:rsidRDefault="001F20C7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Lic. David Guerrero Tapia</w:t>
                  </w:r>
                </w:p>
                <w:p w14:paraId="52A3900C" w14:textId="77777777" w:rsidR="001F20C7" w:rsidRPr="00B10A9E" w:rsidRDefault="001F20C7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14:paraId="0F2219A7" w14:textId="77777777" w:rsidR="00A95378" w:rsidRDefault="005010AC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353B24B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2.3pt;margin-top:9.9pt;width:182.7pt;height:0;z-index:25166745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38FBCF54">
          <v:shape id="_x0000_s1047" type="#_x0000_t32" style="position:absolute;left:0;text-align:left;margin-left:11pt;margin-top:9.9pt;width:209.05pt;height:0;z-index:251665408" o:connectortype="straight"/>
        </w:pict>
      </w:r>
    </w:p>
    <w:p w14:paraId="2A3ED0F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46E28D02" w14:textId="77777777"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7C486F4C" w14:textId="77777777"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14:paraId="01E2B43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1277FC2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35D2C0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6E6DA4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3F7124C3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29C342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D8A1B9A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651D5F5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C8A114F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7C706D4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95DA1B1" w14:textId="77777777"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181109BA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lastRenderedPageBreak/>
        <w:t>NOTAS A LOS ESTADOS FINANCIEROS</w:t>
      </w:r>
    </w:p>
    <w:p w14:paraId="60AED2F3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14:paraId="2DDF9ED4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14:paraId="76DCE9BA" w14:textId="77777777" w:rsidR="00D643D8" w:rsidRPr="00CB38DA" w:rsidRDefault="00D643D8" w:rsidP="00D643D8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14:paraId="13FF860D" w14:textId="77777777" w:rsidR="00D643D8" w:rsidRPr="00CB38DA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CC64F67" w14:textId="77777777" w:rsidR="00D643D8" w:rsidRPr="00CB38DA" w:rsidRDefault="00D643D8" w:rsidP="00D643D8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14:paraId="6EE10279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4928D6EA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14:paraId="3EC9ABB2" w14:textId="77777777"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9CC9997" w14:textId="77777777" w:rsidR="00D643D8" w:rsidRPr="00CB38DA" w:rsidRDefault="00D643D8" w:rsidP="00D643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Efectivo y Equivalentes</w:t>
      </w:r>
    </w:p>
    <w:p w14:paraId="192D0C1A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Las cuentas bancarias a cargo de la Comisión Estatal de Agua de Tlaxcala son:</w:t>
      </w:r>
    </w:p>
    <w:p w14:paraId="7035F78A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6672"/>
        <w:gridCol w:w="2400"/>
      </w:tblGrid>
      <w:tr w:rsidR="00002B9D" w14:paraId="2CDC796B" w14:textId="77777777" w:rsidTr="0098306B">
        <w:tc>
          <w:tcPr>
            <w:tcW w:w="1656" w:type="dxa"/>
          </w:tcPr>
          <w:p w14:paraId="61666EE1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CUENTA</w:t>
            </w:r>
          </w:p>
        </w:tc>
        <w:tc>
          <w:tcPr>
            <w:tcW w:w="1560" w:type="dxa"/>
          </w:tcPr>
          <w:p w14:paraId="31B8906C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BANCO</w:t>
            </w:r>
          </w:p>
        </w:tc>
        <w:tc>
          <w:tcPr>
            <w:tcW w:w="6672" w:type="dxa"/>
          </w:tcPr>
          <w:p w14:paraId="10893B2E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FONDO</w:t>
            </w:r>
          </w:p>
        </w:tc>
        <w:tc>
          <w:tcPr>
            <w:tcW w:w="2400" w:type="dxa"/>
          </w:tcPr>
          <w:p w14:paraId="7BB0132C" w14:textId="77777777" w:rsidR="00002B9D" w:rsidRPr="0098306B" w:rsidRDefault="00002B9D" w:rsidP="00D643D8">
            <w:pPr>
              <w:pStyle w:val="ROMANOS"/>
              <w:spacing w:after="0" w:line="240" w:lineRule="exact"/>
              <w:ind w:left="0" w:firstLine="0"/>
              <w:rPr>
                <w:b/>
                <w:bCs/>
                <w:lang w:val="es-MX"/>
              </w:rPr>
            </w:pPr>
            <w:r w:rsidRPr="0098306B">
              <w:rPr>
                <w:b/>
                <w:bCs/>
                <w:lang w:val="es-MX"/>
              </w:rPr>
              <w:t>MONTO</w:t>
            </w:r>
          </w:p>
        </w:tc>
      </w:tr>
      <w:tr w:rsidR="0098306B" w14:paraId="033D2F8F" w14:textId="77777777" w:rsidTr="0098306B">
        <w:tc>
          <w:tcPr>
            <w:tcW w:w="1656" w:type="dxa"/>
            <w:vAlign w:val="bottom"/>
          </w:tcPr>
          <w:p w14:paraId="17A68619" w14:textId="77777777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560" w:type="dxa"/>
          </w:tcPr>
          <w:p w14:paraId="6A732FC4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14:paraId="5FFC655E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9A7F4" w14:textId="1FCA29C5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</w:t>
            </w:r>
            <w:r w:rsidR="001F20C7">
              <w:t>1,682,964</w:t>
            </w:r>
          </w:p>
        </w:tc>
      </w:tr>
      <w:tr w:rsidR="0098306B" w14:paraId="3D5DF31F" w14:textId="77777777" w:rsidTr="0098306B">
        <w:tc>
          <w:tcPr>
            <w:tcW w:w="1656" w:type="dxa"/>
            <w:vAlign w:val="bottom"/>
          </w:tcPr>
          <w:p w14:paraId="5D56346C" w14:textId="77777777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3370</w:t>
            </w:r>
          </w:p>
        </w:tc>
        <w:tc>
          <w:tcPr>
            <w:tcW w:w="1560" w:type="dxa"/>
          </w:tcPr>
          <w:p w14:paraId="4F260B45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14:paraId="018B4677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2019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E206" w14:textId="3F94B17E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     </w:t>
            </w:r>
            <w:r w:rsidR="001F20C7">
              <w:t>10,134</w:t>
            </w:r>
            <w:r>
              <w:t xml:space="preserve"> </w:t>
            </w:r>
          </w:p>
        </w:tc>
      </w:tr>
      <w:tr w:rsidR="0098306B" w14:paraId="41B2BCC0" w14:textId="77777777" w:rsidTr="0098306B">
        <w:tc>
          <w:tcPr>
            <w:tcW w:w="1656" w:type="dxa"/>
            <w:vAlign w:val="bottom"/>
          </w:tcPr>
          <w:p w14:paraId="5844C3A0" w14:textId="77777777" w:rsidR="0098306B" w:rsidRDefault="0098306B" w:rsidP="0098306B">
            <w:pPr>
              <w:jc w:val="right"/>
              <w:rPr>
                <w:rFonts w:ascii="Arial" w:hAnsi="Arial" w:cs="Arial"/>
              </w:rPr>
            </w:pPr>
            <w:bookmarkStart w:id="4" w:name="_Hlk59946188"/>
            <w:r>
              <w:rPr>
                <w:rFonts w:ascii="Arial" w:hAnsi="Arial" w:cs="Arial"/>
              </w:rPr>
              <w:t>2050</w:t>
            </w:r>
          </w:p>
        </w:tc>
        <w:tc>
          <w:tcPr>
            <w:tcW w:w="1560" w:type="dxa"/>
          </w:tcPr>
          <w:p w14:paraId="6111C962" w14:textId="77777777" w:rsidR="0098306B" w:rsidRPr="00AA6DD8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14:paraId="0267A2E6" w14:textId="77777777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2020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1136A" w14:textId="23F5E4E3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</w:t>
            </w:r>
            <w:r w:rsidR="001F20C7">
              <w:t xml:space="preserve">            52</w:t>
            </w:r>
            <w:r>
              <w:t xml:space="preserve"> </w:t>
            </w:r>
          </w:p>
        </w:tc>
      </w:tr>
      <w:tr w:rsidR="0098306B" w14:paraId="4A0423E9" w14:textId="77777777" w:rsidTr="0098306B">
        <w:tc>
          <w:tcPr>
            <w:tcW w:w="1656" w:type="dxa"/>
            <w:vAlign w:val="bottom"/>
          </w:tcPr>
          <w:p w14:paraId="38E37D0E" w14:textId="1F11A746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3370</w:t>
            </w:r>
          </w:p>
        </w:tc>
        <w:tc>
          <w:tcPr>
            <w:tcW w:w="1560" w:type="dxa"/>
          </w:tcPr>
          <w:p w14:paraId="0A416392" w14:textId="034AE846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14:paraId="09959795" w14:textId="197870AD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2020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E3CE" w14:textId="256286C5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   </w:t>
            </w:r>
            <w:r w:rsidR="001F20C7">
              <w:t>567,739</w:t>
            </w:r>
            <w:r>
              <w:t xml:space="preserve"> </w:t>
            </w:r>
          </w:p>
        </w:tc>
      </w:tr>
      <w:bookmarkEnd w:id="4"/>
      <w:tr w:rsidR="0098306B" w14:paraId="7152FCD5" w14:textId="77777777" w:rsidTr="0098306B">
        <w:trPr>
          <w:trHeight w:val="137"/>
        </w:trPr>
        <w:tc>
          <w:tcPr>
            <w:tcW w:w="1656" w:type="dxa"/>
            <w:vAlign w:val="bottom"/>
          </w:tcPr>
          <w:p w14:paraId="36A07BE4" w14:textId="6A796916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6376</w:t>
            </w:r>
          </w:p>
        </w:tc>
        <w:tc>
          <w:tcPr>
            <w:tcW w:w="1560" w:type="dxa"/>
          </w:tcPr>
          <w:p w14:paraId="45BDB637" w14:textId="49EBFDD5" w:rsidR="0098306B" w:rsidRPr="00AA6DD8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43466" w14:textId="7956EFCB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t>BANCOMER PROAGUA APAUR ESCUELA DEL AGUA ESTATAL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ED6B" w14:textId="05F339F8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     </w:t>
            </w:r>
            <w:r w:rsidR="00D45E2D">
              <w:t>49,299</w:t>
            </w:r>
            <w:r>
              <w:t xml:space="preserve"> </w:t>
            </w:r>
          </w:p>
        </w:tc>
      </w:tr>
      <w:tr w:rsidR="0098306B" w14:paraId="4506E04C" w14:textId="77777777" w:rsidTr="0098306B">
        <w:tc>
          <w:tcPr>
            <w:tcW w:w="1656" w:type="dxa"/>
            <w:vAlign w:val="bottom"/>
          </w:tcPr>
          <w:p w14:paraId="17BA64DA" w14:textId="2EFEBCB8" w:rsidR="0098306B" w:rsidRDefault="0098306B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2735</w:t>
            </w:r>
          </w:p>
        </w:tc>
        <w:tc>
          <w:tcPr>
            <w:tcW w:w="1560" w:type="dxa"/>
          </w:tcPr>
          <w:p w14:paraId="64BBC135" w14:textId="7D75BF39" w:rsidR="0098306B" w:rsidRPr="00AA6DD8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FE912" w14:textId="476C88AF" w:rsidR="0098306B" w:rsidRDefault="0098306B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t>BANCOMER PROAGUA APAUR ESCUELA DEL AGUA FEDERAL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D10B6" w14:textId="2CC36F13" w:rsidR="0098306B" w:rsidRDefault="0098306B" w:rsidP="0098306B">
            <w:pPr>
              <w:pStyle w:val="ROMANOS"/>
              <w:spacing w:after="0" w:line="240" w:lineRule="exact"/>
              <w:ind w:left="0" w:firstLine="0"/>
              <w:jc w:val="left"/>
              <w:rPr>
                <w:lang w:val="es-MX"/>
              </w:rPr>
            </w:pPr>
            <w:r>
              <w:t xml:space="preserve">   $                    </w:t>
            </w:r>
            <w:r w:rsidR="00D45E2D">
              <w:t xml:space="preserve">        3</w:t>
            </w:r>
          </w:p>
        </w:tc>
      </w:tr>
      <w:tr w:rsidR="00D45E2D" w14:paraId="54C2792D" w14:textId="77777777" w:rsidTr="0098306B">
        <w:tc>
          <w:tcPr>
            <w:tcW w:w="1656" w:type="dxa"/>
            <w:vAlign w:val="bottom"/>
          </w:tcPr>
          <w:p w14:paraId="6F1FE10E" w14:textId="35672A17" w:rsidR="00D45E2D" w:rsidRDefault="00D45E2D" w:rsidP="009830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7018</w:t>
            </w:r>
          </w:p>
        </w:tc>
        <w:tc>
          <w:tcPr>
            <w:tcW w:w="1560" w:type="dxa"/>
          </w:tcPr>
          <w:p w14:paraId="3509D1F2" w14:textId="4225864E" w:rsidR="00D45E2D" w:rsidRPr="00AA6DD8" w:rsidRDefault="00D45E2D" w:rsidP="0098306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EE21" w14:textId="4DCC3CB2" w:rsidR="00D45E2D" w:rsidRDefault="00D45E2D" w:rsidP="0098306B">
            <w:pPr>
              <w:pStyle w:val="ROMANOS"/>
              <w:spacing w:after="0" w:line="240" w:lineRule="exact"/>
              <w:ind w:left="0" w:firstLine="0"/>
            </w:pPr>
            <w:r>
              <w:rPr>
                <w:lang w:val="es-MX"/>
              </w:rPr>
              <w:t>ACCIONES DE REHABILITACIÓN 2021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5131" w14:textId="5F3F317C" w:rsidR="00D45E2D" w:rsidRDefault="00D45E2D" w:rsidP="0098306B">
            <w:pPr>
              <w:pStyle w:val="ROMANOS"/>
              <w:spacing w:after="0" w:line="240" w:lineRule="exact"/>
              <w:ind w:left="0" w:firstLine="0"/>
              <w:jc w:val="left"/>
            </w:pPr>
            <w:r>
              <w:t xml:space="preserve">   $               2,593,079</w:t>
            </w:r>
          </w:p>
        </w:tc>
      </w:tr>
    </w:tbl>
    <w:p w14:paraId="00FFEA2B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74C733FB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Derechos a recibir Efectivo y Equivalentes y Bienes o Servicios a Recibir</w:t>
      </w:r>
    </w:p>
    <w:p w14:paraId="19222584" w14:textId="758BD43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Se tiene disponible el fondo revolve</w:t>
      </w:r>
      <w:r w:rsidR="0034150B" w:rsidRPr="00CB38DA">
        <w:rPr>
          <w:lang w:val="es-MX"/>
        </w:rPr>
        <w:t xml:space="preserve">nte por un importe de $ </w:t>
      </w:r>
      <w:r w:rsidR="00980D7E">
        <w:rPr>
          <w:lang w:val="es-MX"/>
        </w:rPr>
        <w:t>3,000</w:t>
      </w:r>
      <w:r w:rsidR="008F7337">
        <w:rPr>
          <w:lang w:val="es-MX"/>
        </w:rPr>
        <w:t>.00</w:t>
      </w:r>
    </w:p>
    <w:p w14:paraId="4E05E53C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5338160C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Disponibles para su Transformación o Consumo (inventarios)</w:t>
      </w:r>
    </w:p>
    <w:p w14:paraId="29B2AFBD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bienes disponibles para su transformación o consumo</w:t>
      </w:r>
    </w:p>
    <w:p w14:paraId="470CB648" w14:textId="77777777"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14:paraId="4DB9D314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Inversiones Financieras</w:t>
      </w:r>
    </w:p>
    <w:p w14:paraId="6CE387D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Inversiones Financieras</w:t>
      </w:r>
    </w:p>
    <w:p w14:paraId="6FDE7028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4381ABE3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Muebles, Inmuebles e Intangibles</w:t>
      </w:r>
    </w:p>
    <w:p w14:paraId="60ABF8F5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407AB28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5FF7B1F9" w14:textId="77777777" w:rsidTr="00002B9D">
        <w:trPr>
          <w:trHeight w:val="352"/>
        </w:trPr>
        <w:tc>
          <w:tcPr>
            <w:tcW w:w="5884" w:type="dxa"/>
          </w:tcPr>
          <w:p w14:paraId="3E1F0775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476DF25D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567EB5" w:rsidRPr="00CB38DA" w14:paraId="7EA9D943" w14:textId="77777777" w:rsidTr="00002B9D">
        <w:tc>
          <w:tcPr>
            <w:tcW w:w="5884" w:type="dxa"/>
          </w:tcPr>
          <w:p w14:paraId="3C7395A4" w14:textId="2EBCE8E8" w:rsidR="00567EB5" w:rsidRPr="00CB38DA" w:rsidRDefault="008F7337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bookmarkStart w:id="5" w:name="_Hlk59949123"/>
            <w:r>
              <w:rPr>
                <w:lang w:val="es-MX"/>
              </w:rPr>
              <w:t>MUEBLES DE OFICINA Y ESTANTERIA</w:t>
            </w:r>
          </w:p>
        </w:tc>
        <w:tc>
          <w:tcPr>
            <w:tcW w:w="2151" w:type="dxa"/>
          </w:tcPr>
          <w:p w14:paraId="39409BE8" w14:textId="603AE200"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1</w:t>
            </w:r>
            <w:r w:rsidR="008F7337">
              <w:rPr>
                <w:lang w:val="es-MX"/>
              </w:rPr>
              <w:t>21,044</w:t>
            </w:r>
          </w:p>
        </w:tc>
      </w:tr>
      <w:tr w:rsidR="00567EB5" w:rsidRPr="00CB38DA" w14:paraId="0B4FEF59" w14:textId="77777777" w:rsidTr="00002B9D">
        <w:tc>
          <w:tcPr>
            <w:tcW w:w="5884" w:type="dxa"/>
          </w:tcPr>
          <w:p w14:paraId="5500D234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1B8D0044" w14:textId="26A63B9D"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80D7E">
              <w:rPr>
                <w:lang w:val="es-MX"/>
              </w:rPr>
              <w:t>808,332</w:t>
            </w:r>
          </w:p>
        </w:tc>
      </w:tr>
      <w:tr w:rsidR="00B267F2" w:rsidRPr="00CB38DA" w14:paraId="5C214983" w14:textId="77777777" w:rsidTr="00002B9D">
        <w:tc>
          <w:tcPr>
            <w:tcW w:w="5884" w:type="dxa"/>
          </w:tcPr>
          <w:p w14:paraId="6D5644E9" w14:textId="52FE210B" w:rsidR="00B267F2" w:rsidRPr="00CB38DA" w:rsidRDefault="00B267F2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color w:val="000000"/>
              </w:rPr>
              <w:t>OTROS MOBILIARIOS Y EQUIPOS DE ADMINISTRACIÓN</w:t>
            </w:r>
          </w:p>
        </w:tc>
        <w:tc>
          <w:tcPr>
            <w:tcW w:w="2151" w:type="dxa"/>
          </w:tcPr>
          <w:p w14:paraId="219E975B" w14:textId="18B345B3" w:rsidR="00B267F2" w:rsidRPr="00CB38DA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$ 104,750</w:t>
            </w:r>
          </w:p>
        </w:tc>
      </w:tr>
      <w:tr w:rsidR="00B267F2" w:rsidRPr="00CB38DA" w14:paraId="68707D10" w14:textId="77777777" w:rsidTr="00002B9D">
        <w:tc>
          <w:tcPr>
            <w:tcW w:w="5884" w:type="dxa"/>
          </w:tcPr>
          <w:p w14:paraId="390DC897" w14:textId="59F22F21" w:rsidR="00B267F2" w:rsidRDefault="00B267F2" w:rsidP="00B267F2">
            <w:pPr>
              <w:pStyle w:val="Texto"/>
              <w:spacing w:line="240" w:lineRule="exact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lang w:val="es-MX"/>
              </w:rPr>
              <w:lastRenderedPageBreak/>
              <w:t>EQUIPOS Y APARATOS AUDIOVISUALES</w:t>
            </w:r>
          </w:p>
        </w:tc>
        <w:tc>
          <w:tcPr>
            <w:tcW w:w="2151" w:type="dxa"/>
          </w:tcPr>
          <w:p w14:paraId="60D50D6A" w14:textId="15D6965C" w:rsidR="00B267F2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$58,845</w:t>
            </w:r>
          </w:p>
        </w:tc>
      </w:tr>
      <w:tr w:rsidR="00B267F2" w:rsidRPr="00CB38DA" w14:paraId="64995924" w14:textId="77777777" w:rsidTr="00002B9D">
        <w:tc>
          <w:tcPr>
            <w:tcW w:w="5884" w:type="dxa"/>
          </w:tcPr>
          <w:p w14:paraId="6FD6B029" w14:textId="25B13681" w:rsidR="00B267F2" w:rsidRDefault="00B267F2" w:rsidP="00B267F2">
            <w:pPr>
              <w:pStyle w:val="Texto"/>
              <w:spacing w:line="240" w:lineRule="exact"/>
              <w:ind w:firstLine="0"/>
              <w:jc w:val="left"/>
              <w:rPr>
                <w:color w:val="000000"/>
                <w:lang w:val="es-MX"/>
              </w:rPr>
            </w:pPr>
            <w:r>
              <w:rPr>
                <w:color w:val="000000"/>
              </w:rPr>
              <w:t>CÁMARAS FOTOGRÁFICAS Y DE VIDEO</w:t>
            </w:r>
          </w:p>
        </w:tc>
        <w:tc>
          <w:tcPr>
            <w:tcW w:w="2151" w:type="dxa"/>
          </w:tcPr>
          <w:p w14:paraId="1A30FE52" w14:textId="66B18133" w:rsidR="00B267F2" w:rsidRDefault="00B267F2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br/>
              <w:t>$ 43,891</w:t>
            </w:r>
          </w:p>
        </w:tc>
      </w:tr>
      <w:tr w:rsidR="00567EB5" w:rsidRPr="00CB38DA" w14:paraId="1E554EB7" w14:textId="77777777" w:rsidTr="00002B9D">
        <w:tc>
          <w:tcPr>
            <w:tcW w:w="5884" w:type="dxa"/>
          </w:tcPr>
          <w:p w14:paraId="149DD71E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06524CB4" w14:textId="77777777"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567EB5" w:rsidRPr="00CB38DA" w14:paraId="06FF87C1" w14:textId="77777777" w:rsidTr="0000135E">
        <w:trPr>
          <w:trHeight w:val="85"/>
        </w:trPr>
        <w:tc>
          <w:tcPr>
            <w:tcW w:w="5884" w:type="dxa"/>
          </w:tcPr>
          <w:p w14:paraId="49B9743C" w14:textId="77777777"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6AACECA6" w14:textId="0DAB7659"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00135E">
              <w:rPr>
                <w:lang w:val="es-MX"/>
              </w:rPr>
              <w:t xml:space="preserve"> </w:t>
            </w:r>
            <w:r w:rsidR="00B267F2">
              <w:rPr>
                <w:lang w:val="es-MX"/>
              </w:rPr>
              <w:t>21,894</w:t>
            </w:r>
          </w:p>
        </w:tc>
      </w:tr>
      <w:bookmarkEnd w:id="5"/>
    </w:tbl>
    <w:p w14:paraId="1407BCBA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07DFD53C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1AA4EC46" w14:textId="77777777"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14:paraId="44090628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Bienes Inta</w:t>
      </w:r>
      <w:r w:rsidR="008C4D46">
        <w:rPr>
          <w:b/>
          <w:lang w:val="es-MX"/>
        </w:rPr>
        <w:t>n</w:t>
      </w:r>
      <w:r w:rsidRPr="00CB38DA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1E1CB077" w14:textId="77777777" w:rsidTr="00002B9D">
        <w:trPr>
          <w:trHeight w:val="352"/>
        </w:trPr>
        <w:tc>
          <w:tcPr>
            <w:tcW w:w="5884" w:type="dxa"/>
          </w:tcPr>
          <w:p w14:paraId="293E065F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</w:t>
            </w:r>
            <w:r w:rsidR="008C4D46">
              <w:rPr>
                <w:b/>
                <w:lang w:val="es-MX"/>
              </w:rPr>
              <w:t>ES</w:t>
            </w:r>
            <w:r w:rsidRPr="00CB38DA">
              <w:rPr>
                <w:b/>
                <w:lang w:val="es-MX"/>
              </w:rPr>
              <w:t xml:space="preserve"> INTA</w:t>
            </w:r>
            <w:r w:rsidR="008C4D46">
              <w:rPr>
                <w:b/>
                <w:lang w:val="es-MX"/>
              </w:rPr>
              <w:t>N</w:t>
            </w:r>
            <w:r w:rsidRPr="00CB38DA">
              <w:rPr>
                <w:b/>
                <w:lang w:val="es-MX"/>
              </w:rPr>
              <w:t>GIBLE</w:t>
            </w:r>
            <w:r w:rsidR="008C4D46">
              <w:rPr>
                <w:b/>
                <w:lang w:val="es-MX"/>
              </w:rPr>
              <w:t>S</w:t>
            </w:r>
          </w:p>
        </w:tc>
        <w:tc>
          <w:tcPr>
            <w:tcW w:w="2151" w:type="dxa"/>
          </w:tcPr>
          <w:p w14:paraId="4B873C2F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D643D8" w:rsidRPr="00CB38DA" w14:paraId="0C079EF5" w14:textId="77777777" w:rsidTr="00002B9D">
        <w:tc>
          <w:tcPr>
            <w:tcW w:w="5884" w:type="dxa"/>
          </w:tcPr>
          <w:p w14:paraId="4DAA9375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14:paraId="23E7BB42" w14:textId="77777777" w:rsidR="00D643D8" w:rsidRPr="00CB38DA" w:rsidRDefault="00D643D8" w:rsidP="00EA0F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$ 3,50</w:t>
            </w:r>
            <w:r w:rsidR="00EA0FC9">
              <w:rPr>
                <w:lang w:val="es-MX"/>
              </w:rPr>
              <w:t>5,965</w:t>
            </w:r>
          </w:p>
        </w:tc>
      </w:tr>
    </w:tbl>
    <w:p w14:paraId="1B69D787" w14:textId="5CFBA633" w:rsidR="00911464" w:rsidRDefault="009D2D4E" w:rsidP="0091146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911464">
        <w:rPr>
          <w:lang w:val="es-MX"/>
        </w:rPr>
        <w:t>E</w:t>
      </w:r>
      <w:r>
        <w:rPr>
          <w:lang w:val="es-MX"/>
        </w:rPr>
        <w:t>l</w:t>
      </w:r>
      <w:r w:rsidR="00911464">
        <w:rPr>
          <w:lang w:val="es-MX"/>
        </w:rPr>
        <w:t xml:space="preserve"> importe del</w:t>
      </w:r>
      <w:r>
        <w:rPr>
          <w:lang w:val="es-MX"/>
        </w:rPr>
        <w:t xml:space="preserve"> patrimonio de los bienes muebles e</w:t>
      </w:r>
      <w:r w:rsidR="00520A6E">
        <w:rPr>
          <w:lang w:val="es-MX"/>
        </w:rPr>
        <w:t xml:space="preserve"> intangibles</w:t>
      </w:r>
      <w:r w:rsidR="00911464">
        <w:rPr>
          <w:lang w:val="es-MX"/>
        </w:rPr>
        <w:t xml:space="preserve"> de la Comisión Estatal de Agua de Tlaxcala es</w:t>
      </w:r>
      <w:r w:rsidR="00520A6E">
        <w:rPr>
          <w:lang w:val="es-MX"/>
        </w:rPr>
        <w:t xml:space="preserve"> por un importe de </w:t>
      </w:r>
      <w:r w:rsidR="00567EB5">
        <w:rPr>
          <w:lang w:val="es-MX"/>
        </w:rPr>
        <w:t xml:space="preserve">$ </w:t>
      </w:r>
      <w:r w:rsidR="009C2ED5">
        <w:rPr>
          <w:lang w:val="es-MX"/>
        </w:rPr>
        <w:t>5,</w:t>
      </w:r>
      <w:r w:rsidR="00980D7E">
        <w:rPr>
          <w:lang w:val="es-MX"/>
        </w:rPr>
        <w:t>653,747.00</w:t>
      </w:r>
    </w:p>
    <w:p w14:paraId="3D23E7B7" w14:textId="257D349E" w:rsidR="00980D7E" w:rsidRDefault="00980D7E" w:rsidP="00911464">
      <w:pPr>
        <w:pStyle w:val="ROMANOS"/>
        <w:spacing w:after="0" w:line="240" w:lineRule="exact"/>
        <w:rPr>
          <w:lang w:val="es-MX"/>
        </w:rPr>
      </w:pPr>
    </w:p>
    <w:p w14:paraId="178848DE" w14:textId="77777777" w:rsidR="00980D7E" w:rsidRDefault="00980D7E" w:rsidP="00980D7E">
      <w:pPr>
        <w:pStyle w:val="ROMANOS"/>
        <w:spacing w:after="0" w:line="240" w:lineRule="exact"/>
        <w:rPr>
          <w:lang w:val="es-MX"/>
        </w:rPr>
      </w:pPr>
    </w:p>
    <w:p w14:paraId="62603567" w14:textId="6EE4AE1A" w:rsidR="00980D7E" w:rsidRPr="00CB38DA" w:rsidRDefault="00980D7E" w:rsidP="00980D7E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980D7E">
        <w:rPr>
          <w:b/>
          <w:lang w:val="es-MX"/>
        </w:rPr>
        <w:t>Infraestructura y Construcciones en Proceso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980D7E" w:rsidRPr="00CB38DA" w14:paraId="7E2FD5CF" w14:textId="77777777" w:rsidTr="009D35D7">
        <w:trPr>
          <w:trHeight w:val="352"/>
        </w:trPr>
        <w:tc>
          <w:tcPr>
            <w:tcW w:w="5884" w:type="dxa"/>
          </w:tcPr>
          <w:p w14:paraId="1FED9892" w14:textId="1A6DB3FA" w:rsidR="00980D7E" w:rsidRPr="00CB38DA" w:rsidRDefault="00980D7E" w:rsidP="009D35D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980D7E">
              <w:rPr>
                <w:b/>
                <w:lang w:val="es-MX"/>
              </w:rPr>
              <w:t>Infraestructura y Construcciones en Proceso</w:t>
            </w:r>
          </w:p>
        </w:tc>
        <w:tc>
          <w:tcPr>
            <w:tcW w:w="2151" w:type="dxa"/>
          </w:tcPr>
          <w:p w14:paraId="7902DEF2" w14:textId="77777777" w:rsidR="00980D7E" w:rsidRPr="00CB38DA" w:rsidRDefault="00980D7E" w:rsidP="009D35D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980D7E" w:rsidRPr="00CB38DA" w14:paraId="1CF8371C" w14:textId="77777777" w:rsidTr="009D35D7">
        <w:tc>
          <w:tcPr>
            <w:tcW w:w="5884" w:type="dxa"/>
          </w:tcPr>
          <w:p w14:paraId="0C2A559F" w14:textId="5A5D1E82" w:rsidR="00980D7E" w:rsidRPr="00CB38DA" w:rsidRDefault="00980D7E" w:rsidP="009D35D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80D7E">
              <w:rPr>
                <w:lang w:val="es-MX"/>
              </w:rPr>
              <w:t>Infraestructura y Construcciones en Proceso</w:t>
            </w:r>
          </w:p>
        </w:tc>
        <w:tc>
          <w:tcPr>
            <w:tcW w:w="2151" w:type="dxa"/>
          </w:tcPr>
          <w:p w14:paraId="4F236C22" w14:textId="19AF9DAC" w:rsidR="00980D7E" w:rsidRPr="00CB38DA" w:rsidRDefault="00980D7E" w:rsidP="009D35D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>
              <w:rPr>
                <w:lang w:val="es-MX"/>
              </w:rPr>
              <w:t>198,722</w:t>
            </w:r>
          </w:p>
        </w:tc>
      </w:tr>
    </w:tbl>
    <w:p w14:paraId="4F5862C5" w14:textId="179B88E9" w:rsidR="00980D7E" w:rsidRDefault="00980D7E" w:rsidP="00980D7E">
      <w:pPr>
        <w:pStyle w:val="ROMANOS"/>
        <w:spacing w:after="0" w:line="240" w:lineRule="exact"/>
        <w:ind w:left="0" w:firstLine="0"/>
        <w:rPr>
          <w:lang w:val="es-MX"/>
        </w:rPr>
      </w:pPr>
    </w:p>
    <w:p w14:paraId="467E0433" w14:textId="77777777" w:rsidR="009D2D4E" w:rsidRDefault="00F73FCD" w:rsidP="0091146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</w:t>
      </w:r>
    </w:p>
    <w:p w14:paraId="6B73EE2B" w14:textId="77777777" w:rsidR="00D643D8" w:rsidRPr="00CB38DA" w:rsidRDefault="009D2D4E" w:rsidP="00D643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643D8" w:rsidRPr="00CB38DA">
        <w:rPr>
          <w:b/>
          <w:lang w:val="es-MX"/>
        </w:rPr>
        <w:t>Estimaciones y Deterioros</w:t>
      </w:r>
    </w:p>
    <w:p w14:paraId="5984D910" w14:textId="77777777"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estimaciones y deterioros</w:t>
      </w:r>
    </w:p>
    <w:p w14:paraId="588814F3" w14:textId="77777777"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14:paraId="77989BD2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14:paraId="349EB68F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otros activos</w:t>
      </w:r>
    </w:p>
    <w:p w14:paraId="47CE5BBF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52A29962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Pasivo</w:t>
      </w:r>
    </w:p>
    <w:p w14:paraId="42E32D20" w14:textId="77777777" w:rsidR="009C2ED5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14:paraId="60D8F32A" w14:textId="5E14DFE1"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>
        <w:rPr>
          <w:b/>
          <w:lang w:val="es-MX"/>
        </w:rPr>
        <w:t xml:space="preserve"> (</w:t>
      </w:r>
      <w:r w:rsidR="00BA4F82">
        <w:rPr>
          <w:b/>
          <w:lang w:val="es-MX"/>
        </w:rPr>
        <w:t>contratistas por obras públicas por pagar a corto plazo</w:t>
      </w:r>
      <w:r>
        <w:rPr>
          <w:b/>
          <w:lang w:val="es-MX"/>
        </w:rPr>
        <w:t>)</w:t>
      </w:r>
    </w:p>
    <w:p w14:paraId="7DF5838C" w14:textId="394AECDB" w:rsidR="00AD108C" w:rsidRDefault="00AD108C" w:rsidP="00AD108C">
      <w:pPr>
        <w:pStyle w:val="ROMANOS"/>
        <w:spacing w:after="0" w:line="240" w:lineRule="exact"/>
        <w:rPr>
          <w:b/>
          <w:lang w:val="es-MX"/>
        </w:rPr>
      </w:pPr>
    </w:p>
    <w:p w14:paraId="22EF2C93" w14:textId="316EFD49" w:rsidR="00980D7E" w:rsidRPr="00CB38DA" w:rsidRDefault="00980D7E" w:rsidP="00980D7E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>
        <w:rPr>
          <w:lang w:val="es-MX"/>
        </w:rPr>
        <w:t>La Comisión Estatal de Agua no tiene cuentas por pagar a corto plazo a contratistas por obras públicas</w:t>
      </w:r>
    </w:p>
    <w:p w14:paraId="4C8DC351" w14:textId="77777777" w:rsidR="00980D7E" w:rsidRPr="00CB38DA" w:rsidRDefault="00980D7E" w:rsidP="00980D7E">
      <w:pPr>
        <w:pStyle w:val="ROMANOS"/>
        <w:spacing w:after="0" w:line="240" w:lineRule="exact"/>
        <w:rPr>
          <w:b/>
          <w:lang w:val="es-MX"/>
        </w:rPr>
      </w:pPr>
    </w:p>
    <w:p w14:paraId="0A6D6CAF" w14:textId="192AFAC4" w:rsidR="00980D7E" w:rsidRDefault="00980D7E" w:rsidP="00AD108C">
      <w:pPr>
        <w:pStyle w:val="ROMANOS"/>
        <w:spacing w:after="0" w:line="240" w:lineRule="exact"/>
        <w:rPr>
          <w:b/>
          <w:lang w:val="es-MX"/>
        </w:rPr>
      </w:pPr>
    </w:p>
    <w:p w14:paraId="20E2E997" w14:textId="3C28006A" w:rsidR="00980D7E" w:rsidRDefault="00980D7E" w:rsidP="00AD108C">
      <w:pPr>
        <w:pStyle w:val="ROMANOS"/>
        <w:spacing w:after="0" w:line="240" w:lineRule="exact"/>
        <w:rPr>
          <w:b/>
          <w:lang w:val="es-MX"/>
        </w:rPr>
      </w:pPr>
    </w:p>
    <w:p w14:paraId="65A4A754" w14:textId="78B42850" w:rsidR="00980D7E" w:rsidRDefault="00980D7E" w:rsidP="00AD108C">
      <w:pPr>
        <w:pStyle w:val="ROMANOS"/>
        <w:spacing w:after="0" w:line="240" w:lineRule="exact"/>
        <w:rPr>
          <w:b/>
          <w:lang w:val="es-MX"/>
        </w:rPr>
      </w:pPr>
    </w:p>
    <w:p w14:paraId="327B8D5C" w14:textId="77777777" w:rsidR="00980D7E" w:rsidRPr="00CB38DA" w:rsidRDefault="00980D7E" w:rsidP="00AD108C">
      <w:pPr>
        <w:pStyle w:val="ROMANOS"/>
        <w:spacing w:after="0" w:line="240" w:lineRule="exact"/>
        <w:rPr>
          <w:b/>
          <w:lang w:val="es-MX"/>
        </w:rPr>
      </w:pPr>
    </w:p>
    <w:p w14:paraId="077E724C" w14:textId="77777777" w:rsidR="00AD108C" w:rsidRDefault="00AD108C" w:rsidP="00AD108C">
      <w:pPr>
        <w:pStyle w:val="ROMANOS"/>
        <w:spacing w:after="0" w:line="240" w:lineRule="exact"/>
        <w:rPr>
          <w:lang w:val="es-MX"/>
        </w:rPr>
      </w:pPr>
    </w:p>
    <w:p w14:paraId="18F38F2D" w14:textId="77777777" w:rsidR="009C2ED5" w:rsidRPr="00CB38DA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14:paraId="52C8625A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lastRenderedPageBreak/>
        <w:tab/>
      </w:r>
      <w:r w:rsidRPr="00CB38DA">
        <w:rPr>
          <w:b/>
          <w:lang w:val="es-MX"/>
        </w:rPr>
        <w:t>Cuentas por Pagar a corto plazo</w:t>
      </w:r>
      <w:r w:rsidR="00911464">
        <w:rPr>
          <w:b/>
          <w:lang w:val="es-MX"/>
        </w:rPr>
        <w:t xml:space="preserve"> (Fondo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AD108C" w:rsidRPr="00CB38DA" w14:paraId="2D328C2C" w14:textId="77777777" w:rsidTr="00AD108C">
        <w:trPr>
          <w:trHeight w:val="352"/>
        </w:trPr>
        <w:tc>
          <w:tcPr>
            <w:tcW w:w="5884" w:type="dxa"/>
          </w:tcPr>
          <w:p w14:paraId="02F84542" w14:textId="77777777"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bookmarkStart w:id="6" w:name="_Hlk59947585"/>
            <w:r w:rsidRPr="00CB38DA"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14:paraId="64D07C04" w14:textId="4B301C09" w:rsidR="00AD108C" w:rsidRPr="00CB38DA" w:rsidRDefault="00AD108C" w:rsidP="00BA4F82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980D7E">
              <w:t>35,731</w:t>
            </w:r>
          </w:p>
        </w:tc>
      </w:tr>
      <w:bookmarkEnd w:id="6"/>
      <w:tr w:rsidR="00AD108C" w:rsidRPr="00CB38DA" w14:paraId="57EF4135" w14:textId="77777777" w:rsidTr="00AD108C">
        <w:tc>
          <w:tcPr>
            <w:tcW w:w="5884" w:type="dxa"/>
          </w:tcPr>
          <w:p w14:paraId="07383FAA" w14:textId="77777777" w:rsidR="00AD108C" w:rsidRPr="00CB38DA" w:rsidRDefault="00AD108C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14:paraId="13EF21C5" w14:textId="5CA039B3" w:rsidR="00AD108C" w:rsidRPr="00CB38DA" w:rsidRDefault="00AD108C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980D7E">
              <w:rPr>
                <w:lang w:val="es-MX"/>
              </w:rPr>
              <w:t>54,122</w:t>
            </w:r>
          </w:p>
        </w:tc>
      </w:tr>
      <w:tr w:rsidR="00CF700E" w:rsidRPr="00CB38DA" w14:paraId="0A3F14A7" w14:textId="77777777" w:rsidTr="00AD108C">
        <w:tc>
          <w:tcPr>
            <w:tcW w:w="5884" w:type="dxa"/>
          </w:tcPr>
          <w:p w14:paraId="05BCDBDA" w14:textId="237A6920" w:rsidR="00CF700E" w:rsidRDefault="00CF700E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 OFS</w:t>
            </w:r>
          </w:p>
        </w:tc>
        <w:tc>
          <w:tcPr>
            <w:tcW w:w="2151" w:type="dxa"/>
          </w:tcPr>
          <w:p w14:paraId="394AEBA6" w14:textId="5D5BD555" w:rsidR="00CF700E" w:rsidRDefault="00CF700E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980D7E">
              <w:rPr>
                <w:lang w:val="es-MX"/>
              </w:rPr>
              <w:t xml:space="preserve">   2,019</w:t>
            </w:r>
          </w:p>
        </w:tc>
      </w:tr>
      <w:tr w:rsidR="00BA4F82" w:rsidRPr="00CB38DA" w14:paraId="2B07929C" w14:textId="77777777" w:rsidTr="00AD108C">
        <w:tc>
          <w:tcPr>
            <w:tcW w:w="5884" w:type="dxa"/>
          </w:tcPr>
          <w:p w14:paraId="1FE29353" w14:textId="4C2BB28C" w:rsidR="00BA4F82" w:rsidRDefault="00980D7E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dependencia)</w:t>
            </w:r>
          </w:p>
        </w:tc>
        <w:tc>
          <w:tcPr>
            <w:tcW w:w="2151" w:type="dxa"/>
          </w:tcPr>
          <w:p w14:paraId="523A8B87" w14:textId="1DA2B70E" w:rsidR="00BA4F82" w:rsidRDefault="00ED2BCE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$ 21,410</w:t>
            </w:r>
          </w:p>
        </w:tc>
      </w:tr>
      <w:tr w:rsidR="00980D7E" w:rsidRPr="00CB38DA" w14:paraId="545D0867" w14:textId="77777777" w:rsidTr="00AD108C">
        <w:tc>
          <w:tcPr>
            <w:tcW w:w="5884" w:type="dxa"/>
          </w:tcPr>
          <w:p w14:paraId="446D2389" w14:textId="70512885" w:rsidR="00980D7E" w:rsidRDefault="00980D7E" w:rsidP="00980D7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(aportación servidor público)</w:t>
            </w:r>
          </w:p>
        </w:tc>
        <w:tc>
          <w:tcPr>
            <w:tcW w:w="2151" w:type="dxa"/>
          </w:tcPr>
          <w:p w14:paraId="29F919BC" w14:textId="5EE01AD2" w:rsidR="00980D7E" w:rsidRDefault="00ED2BCE" w:rsidP="00980D7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A4F82">
              <w:rPr>
                <w:lang w:val="es-MX"/>
              </w:rPr>
              <w:t>$ 21,410</w:t>
            </w:r>
          </w:p>
        </w:tc>
      </w:tr>
    </w:tbl>
    <w:p w14:paraId="5DF9C938" w14:textId="77777777" w:rsidR="00E73383" w:rsidRDefault="00E73383" w:rsidP="00D643D8">
      <w:pPr>
        <w:pStyle w:val="ROMANOS"/>
        <w:spacing w:after="0" w:line="240" w:lineRule="exact"/>
        <w:rPr>
          <w:lang w:val="es-MX"/>
        </w:rPr>
      </w:pPr>
    </w:p>
    <w:p w14:paraId="52A942E2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II)</w:t>
      </w:r>
      <w:r w:rsidRPr="00CB38DA">
        <w:rPr>
          <w:b/>
          <w:smallCaps/>
        </w:rPr>
        <w:tab/>
        <w:t>Notas al Estado de Actividades</w:t>
      </w:r>
    </w:p>
    <w:p w14:paraId="4277B44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054B5838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Ingresos de Gestión</w:t>
      </w:r>
    </w:p>
    <w:p w14:paraId="368402B5" w14:textId="77777777"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14:paraId="0168B399" w14:textId="77777777"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La Comisión Estatal de Agua de Tlaxcala, recibe aportaciones que derivan de los convenios con municipios para realizar de manera conjunta acciones de rehabilitación a la Infraestructura Hidráulica por lo que dichas aportaciones </w:t>
      </w:r>
      <w:r w:rsidR="00E73383">
        <w:rPr>
          <w:lang w:val="es-MX"/>
        </w:rPr>
        <w:t>son consideradas como ingresos por venta de bienes, prestación de servicios y otros ingresos</w:t>
      </w:r>
      <w:r>
        <w:rPr>
          <w:lang w:val="es-MX"/>
        </w:rPr>
        <w:t>.</w:t>
      </w:r>
    </w:p>
    <w:p w14:paraId="28BE9FE4" w14:textId="77777777"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67CA51F0" w14:textId="77777777" w:rsidTr="00002B9D">
        <w:tc>
          <w:tcPr>
            <w:tcW w:w="5884" w:type="dxa"/>
          </w:tcPr>
          <w:p w14:paraId="3408C738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14:paraId="4FCF8912" w14:textId="2B8FDBDC" w:rsidR="00D643D8" w:rsidRPr="00CB38DA" w:rsidRDefault="00D94FF2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F001C">
              <w:rPr>
                <w:lang w:val="es-MX"/>
              </w:rPr>
              <w:t>99</w:t>
            </w:r>
          </w:p>
        </w:tc>
      </w:tr>
      <w:tr w:rsidR="00D643D8" w:rsidRPr="00CB38DA" w14:paraId="1B8728F7" w14:textId="77777777" w:rsidTr="00002B9D">
        <w:tc>
          <w:tcPr>
            <w:tcW w:w="5884" w:type="dxa"/>
          </w:tcPr>
          <w:p w14:paraId="57B656FA" w14:textId="77777777" w:rsidR="00D643D8" w:rsidRPr="00C05AE1" w:rsidRDefault="00E73383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05AE1">
              <w:rPr>
                <w:lang w:val="es-MX"/>
              </w:rPr>
              <w:t>Transferencias y asignaciones</w:t>
            </w:r>
          </w:p>
        </w:tc>
        <w:tc>
          <w:tcPr>
            <w:tcW w:w="2151" w:type="dxa"/>
          </w:tcPr>
          <w:p w14:paraId="09339927" w14:textId="64993D8A" w:rsidR="00D643D8" w:rsidRPr="00C05AE1" w:rsidRDefault="00AF001C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4,368,667</w:t>
            </w:r>
          </w:p>
        </w:tc>
      </w:tr>
    </w:tbl>
    <w:p w14:paraId="2B3B3D42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1AA9E94A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y Otras Pérdidas:</w:t>
      </w:r>
    </w:p>
    <w:p w14:paraId="03678D55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14:paraId="36A5BA5D" w14:textId="77777777"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1A64C068" w14:textId="77777777" w:rsidTr="00002B9D">
        <w:trPr>
          <w:trHeight w:val="352"/>
        </w:trPr>
        <w:tc>
          <w:tcPr>
            <w:tcW w:w="5884" w:type="dxa"/>
          </w:tcPr>
          <w:p w14:paraId="0EEB5C60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14:paraId="76439980" w14:textId="70F3265E" w:rsidR="00D643D8" w:rsidRPr="00CB38DA" w:rsidRDefault="002214C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92250">
              <w:rPr>
                <w:lang w:val="es-MX"/>
              </w:rPr>
              <w:t xml:space="preserve"> </w:t>
            </w:r>
            <w:r w:rsidR="00AF001C">
              <w:rPr>
                <w:lang w:val="es-MX"/>
              </w:rPr>
              <w:t>855,140</w:t>
            </w:r>
          </w:p>
        </w:tc>
      </w:tr>
      <w:tr w:rsidR="00D643D8" w:rsidRPr="00CB38DA" w14:paraId="2D8E4F16" w14:textId="77777777" w:rsidTr="00002B9D">
        <w:tc>
          <w:tcPr>
            <w:tcW w:w="5884" w:type="dxa"/>
          </w:tcPr>
          <w:p w14:paraId="263627D4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14:paraId="06A2C5E3" w14:textId="48460D8C"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AF001C">
              <w:rPr>
                <w:lang w:val="es-MX"/>
              </w:rPr>
              <w:t xml:space="preserve">  84,084</w:t>
            </w:r>
          </w:p>
        </w:tc>
      </w:tr>
      <w:tr w:rsidR="00D643D8" w:rsidRPr="00CB38DA" w14:paraId="5C05A0EF" w14:textId="77777777" w:rsidTr="00002B9D">
        <w:tc>
          <w:tcPr>
            <w:tcW w:w="5884" w:type="dxa"/>
          </w:tcPr>
          <w:p w14:paraId="477CCC9E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14:paraId="19C2AA22" w14:textId="13EA0803" w:rsidR="00D643D8" w:rsidRPr="00CB38DA" w:rsidRDefault="00C15CA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AF001C">
              <w:rPr>
                <w:lang w:val="es-MX"/>
              </w:rPr>
              <w:t xml:space="preserve">  57,300</w:t>
            </w:r>
          </w:p>
        </w:tc>
      </w:tr>
    </w:tbl>
    <w:p w14:paraId="5EFBCEB5" w14:textId="77777777"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14:paraId="7D35E671" w14:textId="77777777" w:rsidR="00D8215E" w:rsidRDefault="00D8215E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14:paraId="17D68473" w14:textId="77777777" w:rsidR="002214C8" w:rsidRPr="00CB38DA" w:rsidRDefault="002214C8" w:rsidP="00D643D8">
      <w:pPr>
        <w:pStyle w:val="ROMANOS"/>
        <w:spacing w:after="0" w:line="240" w:lineRule="exact"/>
        <w:rPr>
          <w:lang w:val="es-MX"/>
        </w:rPr>
      </w:pPr>
    </w:p>
    <w:p w14:paraId="1BA3EBF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14:paraId="4312CB77" w14:textId="77777777" w:rsidTr="00002B9D">
        <w:trPr>
          <w:trHeight w:val="352"/>
        </w:trPr>
        <w:tc>
          <w:tcPr>
            <w:tcW w:w="5884" w:type="dxa"/>
          </w:tcPr>
          <w:p w14:paraId="7A9F7748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</w:tcPr>
          <w:p w14:paraId="52AFF33A" w14:textId="3E5F8A9E" w:rsidR="00D643D8" w:rsidRPr="00CB38DA" w:rsidRDefault="00A40F1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497625">
              <w:rPr>
                <w:lang w:val="es-MX"/>
              </w:rPr>
              <w:t>2,026,093</w:t>
            </w:r>
          </w:p>
        </w:tc>
      </w:tr>
      <w:tr w:rsidR="00D643D8" w:rsidRPr="00CB38DA" w14:paraId="2CF16BB7" w14:textId="77777777" w:rsidTr="00002B9D">
        <w:tc>
          <w:tcPr>
            <w:tcW w:w="5884" w:type="dxa"/>
          </w:tcPr>
          <w:p w14:paraId="43147470" w14:textId="77777777"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14:paraId="02C3CF39" w14:textId="2C4CBC42"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 w:rsidR="0005364A">
              <w:rPr>
                <w:lang w:val="es-MX"/>
              </w:rPr>
              <w:t xml:space="preserve"> </w:t>
            </w:r>
            <w:r w:rsidR="00497625">
              <w:rPr>
                <w:lang w:val="es-MX"/>
              </w:rPr>
              <w:t>3,372,242</w:t>
            </w:r>
          </w:p>
        </w:tc>
      </w:tr>
    </w:tbl>
    <w:p w14:paraId="44BE1330" w14:textId="77777777" w:rsidR="00146456" w:rsidRPr="00CB38DA" w:rsidRDefault="00146456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4AF302C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IV)</w:t>
      </w:r>
      <w:r w:rsidRPr="00CB38DA">
        <w:rPr>
          <w:b/>
          <w:smallCaps/>
        </w:rPr>
        <w:tab/>
        <w:t xml:space="preserve">Notas al Estado de Flujos de Efectivo </w:t>
      </w:r>
    </w:p>
    <w:p w14:paraId="67BDC303" w14:textId="77777777"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14:paraId="75EF3190" w14:textId="77777777"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14:paraId="744D5B98" w14:textId="77777777" w:rsidR="0022585A" w:rsidRPr="00CB38DA" w:rsidRDefault="0022585A" w:rsidP="00D643D8">
      <w:pPr>
        <w:pStyle w:val="ROMANOS"/>
        <w:spacing w:after="0" w:line="240" w:lineRule="exact"/>
        <w:rPr>
          <w:b/>
          <w:lang w:val="es-MX"/>
        </w:rPr>
      </w:pPr>
    </w:p>
    <w:p w14:paraId="56BFC0D7" w14:textId="77777777" w:rsidR="00D643D8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1555E43B" w14:textId="77777777" w:rsidR="0022585A" w:rsidRPr="00CB38DA" w:rsidRDefault="0022585A" w:rsidP="0022585A">
      <w:pPr>
        <w:pStyle w:val="ROMANOS"/>
        <w:spacing w:after="0" w:line="240" w:lineRule="exact"/>
        <w:ind w:left="92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71"/>
        <w:gridCol w:w="1406"/>
      </w:tblGrid>
      <w:tr w:rsidR="00D643D8" w:rsidRPr="00CB38DA" w14:paraId="4B6A594D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6308" w14:textId="77777777"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FB33" w14:textId="1D577C1E" w:rsidR="00D643D8" w:rsidRPr="00CB38DA" w:rsidRDefault="008D2CD0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A40F14">
              <w:rPr>
                <w:szCs w:val="18"/>
                <w:lang w:val="es-MX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D6CD" w14:textId="466A17F4" w:rsidR="00D643D8" w:rsidRPr="00CB38DA" w:rsidRDefault="00D643D8" w:rsidP="007F0D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</w:t>
            </w:r>
            <w:r w:rsidR="00A40F14">
              <w:rPr>
                <w:szCs w:val="18"/>
                <w:lang w:val="es-MX"/>
              </w:rPr>
              <w:t>20</w:t>
            </w:r>
          </w:p>
        </w:tc>
      </w:tr>
      <w:tr w:rsidR="00A40F14" w:rsidRPr="00CB38DA" w14:paraId="45D5044A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CF37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A4E91" w14:textId="5AF4AE9E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4,903,270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E57E" w14:textId="5E050AA5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2,126,696</w:t>
            </w:r>
          </w:p>
        </w:tc>
      </w:tr>
      <w:tr w:rsidR="00A40F14" w:rsidRPr="00CB38DA" w14:paraId="17067E7B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6BD8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F299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82BD" w14:textId="0E361198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5C2AC34B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EE4DC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C441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E706" w14:textId="00AAF7DD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48AC6448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30696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895F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2FC78" w14:textId="50299DFA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19837B58" w14:textId="77777777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FEC16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0B7DF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AC279" w14:textId="4204CD01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A40F14" w:rsidRPr="00CB38DA" w14:paraId="06571FC2" w14:textId="77777777" w:rsidTr="00DC6ECF">
        <w:trPr>
          <w:cantSplit/>
          <w:trHeight w:val="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9B49" w14:textId="77777777" w:rsidR="00A40F14" w:rsidRPr="00CB38DA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21D4" w14:textId="1740F47B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4,903,270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817C" w14:textId="31B7A862" w:rsidR="00A40F14" w:rsidRPr="00CB38DA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2,126,696</w:t>
            </w:r>
          </w:p>
        </w:tc>
      </w:tr>
    </w:tbl>
    <w:p w14:paraId="576A014F" w14:textId="77777777"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18C11782" w14:textId="77777777" w:rsidR="005D316F" w:rsidRDefault="005D316F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2AF879B" w14:textId="77777777" w:rsidR="00D643D8" w:rsidRPr="00CB38DA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 xml:space="preserve">Detallar las adquisiciones de bienes muebles e inmuebles con su monto global </w:t>
      </w:r>
    </w:p>
    <w:p w14:paraId="62F213AF" w14:textId="77777777" w:rsidR="00D643D8" w:rsidRDefault="00D643D8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p w14:paraId="7BE9FA43" w14:textId="77777777" w:rsidR="008C2E1B" w:rsidRPr="00163D6C" w:rsidRDefault="008C2E1B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14:paraId="64274F43" w14:textId="77777777" w:rsidTr="00002B9D">
        <w:trPr>
          <w:trHeight w:val="352"/>
        </w:trPr>
        <w:tc>
          <w:tcPr>
            <w:tcW w:w="5884" w:type="dxa"/>
          </w:tcPr>
          <w:p w14:paraId="5A32C670" w14:textId="77777777"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14:paraId="68F39851" w14:textId="77777777"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2303A" w14:paraId="7C0B1C49" w14:textId="77777777" w:rsidTr="00002B9D">
        <w:tc>
          <w:tcPr>
            <w:tcW w:w="5884" w:type="dxa"/>
          </w:tcPr>
          <w:p w14:paraId="5318B680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14:paraId="761E1B52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 </w:t>
            </w:r>
            <w:r w:rsidR="00212B54">
              <w:rPr>
                <w:lang w:val="es-MX"/>
              </w:rPr>
              <w:t>145,663</w:t>
            </w:r>
          </w:p>
        </w:tc>
      </w:tr>
      <w:tr w:rsidR="0042303A" w14:paraId="6EAC3B3E" w14:textId="77777777" w:rsidTr="00002B9D">
        <w:tc>
          <w:tcPr>
            <w:tcW w:w="5884" w:type="dxa"/>
          </w:tcPr>
          <w:p w14:paraId="51491454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14:paraId="7B9DC56F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576,358</w:t>
            </w:r>
          </w:p>
        </w:tc>
      </w:tr>
      <w:tr w:rsidR="0042303A" w14:paraId="0454ADC7" w14:textId="77777777" w:rsidTr="00002B9D">
        <w:tc>
          <w:tcPr>
            <w:tcW w:w="5884" w:type="dxa"/>
          </w:tcPr>
          <w:p w14:paraId="6069A68B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14:paraId="5027076D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12B54">
              <w:rPr>
                <w:lang w:val="es-MX"/>
              </w:rPr>
              <w:t xml:space="preserve">  </w:t>
            </w:r>
            <w:r w:rsidRPr="00CB38DA">
              <w:rPr>
                <w:lang w:val="es-MX"/>
              </w:rPr>
              <w:t>989,026</w:t>
            </w:r>
          </w:p>
        </w:tc>
      </w:tr>
      <w:tr w:rsidR="0042303A" w14:paraId="5A6B6D85" w14:textId="77777777" w:rsidTr="00002B9D">
        <w:tc>
          <w:tcPr>
            <w:tcW w:w="5884" w:type="dxa"/>
          </w:tcPr>
          <w:p w14:paraId="3F9B6237" w14:textId="77777777"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14:paraId="4713B74A" w14:textId="77777777"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212B54">
              <w:rPr>
                <w:lang w:val="es-MX"/>
              </w:rPr>
              <w:t xml:space="preserve">  8,700</w:t>
            </w:r>
          </w:p>
        </w:tc>
      </w:tr>
    </w:tbl>
    <w:p w14:paraId="665566C6" w14:textId="77777777" w:rsidR="00D643D8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  <w:r>
        <w:rPr>
          <w:lang w:val="es-MX"/>
        </w:rPr>
        <w:t xml:space="preserve">Se realiza la desincorporación del patrimonio de los bienes muebles e intangibles por un importe de </w:t>
      </w:r>
      <w:r w:rsidR="000623D6">
        <w:rPr>
          <w:lang w:val="es-MX"/>
        </w:rPr>
        <w:t xml:space="preserve">$ </w:t>
      </w:r>
      <w:r w:rsidR="005D316F">
        <w:rPr>
          <w:lang w:val="es-MX"/>
        </w:rPr>
        <w:t>5,</w:t>
      </w:r>
      <w:r w:rsidR="00A46306">
        <w:rPr>
          <w:lang w:val="es-MX"/>
        </w:rPr>
        <w:t>225</w:t>
      </w:r>
      <w:r w:rsidR="005D316F">
        <w:rPr>
          <w:lang w:val="es-MX"/>
        </w:rPr>
        <w:t>,</w:t>
      </w:r>
      <w:r w:rsidR="00A46306">
        <w:rPr>
          <w:lang w:val="es-MX"/>
        </w:rPr>
        <w:t>712</w:t>
      </w:r>
      <w:r w:rsidR="005D316F">
        <w:rPr>
          <w:lang w:val="es-MX"/>
        </w:rPr>
        <w:t xml:space="preserve"> </w:t>
      </w:r>
      <w:r>
        <w:rPr>
          <w:lang w:val="es-MX"/>
        </w:rPr>
        <w:t>colocándose dicho importe en la cuenta de Rectificaciones a Resultados de Ejercicios Anteriores</w:t>
      </w:r>
    </w:p>
    <w:p w14:paraId="7554A380" w14:textId="77777777" w:rsidR="009D2D4E" w:rsidRPr="00163D6C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</w:p>
    <w:p w14:paraId="4B116314" w14:textId="77777777"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14:paraId="7512E096" w14:textId="77777777"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A40F14" w:rsidRPr="00B368BA" w14:paraId="6E13DA92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ED107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E12B" w14:textId="79629D11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660E" w14:textId="0C7D3A8E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20</w:t>
            </w:r>
          </w:p>
        </w:tc>
      </w:tr>
      <w:tr w:rsidR="00A40F14" w:rsidRPr="00B368BA" w14:paraId="301DB671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FBDE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2B9E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4F72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A40F14" w:rsidRPr="00B368BA" w14:paraId="28B7C383" w14:textId="77777777" w:rsidTr="00DF32A4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CB63" w14:textId="77777777" w:rsidR="00A40F14" w:rsidRPr="00163D6C" w:rsidRDefault="00A40F14" w:rsidP="00A40F14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99F6" w14:textId="2183B723" w:rsidR="00A40F14" w:rsidRPr="00CB38DA" w:rsidRDefault="00A40F14" w:rsidP="00A40F1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>
              <w:rPr>
                <w:lang w:val="es-MX"/>
              </w:rPr>
              <w:t xml:space="preserve"> 3,372,242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ADDF" w14:textId="3B3C0485" w:rsidR="00A40F14" w:rsidRPr="00CB38DA" w:rsidRDefault="00A40F14" w:rsidP="00A40F14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>$</w:t>
            </w:r>
            <w:r>
              <w:rPr>
                <w:lang w:val="es-MX"/>
              </w:rPr>
              <w:t xml:space="preserve"> 1,581,709</w:t>
            </w:r>
          </w:p>
        </w:tc>
      </w:tr>
    </w:tbl>
    <w:p w14:paraId="2CD4344F" w14:textId="77777777"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63E78B9F" w14:textId="77777777" w:rsidR="00AE025C" w:rsidRDefault="00AE025C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44E43332" w14:textId="77777777" w:rsidR="00D643D8" w:rsidRPr="00163D6C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14:paraId="018CD63E" w14:textId="77777777" w:rsidR="00D643D8" w:rsidRPr="00163D6C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1303AA2B" w14:textId="77777777" w:rsidR="00D643D8" w:rsidRDefault="00D643D8" w:rsidP="00DC6ECF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0EA3FC75" w14:textId="77777777" w:rsidR="001F6A60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p w14:paraId="4418C266" w14:textId="77777777"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14:paraId="04E6937E" w14:textId="77777777"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14:paraId="1CB50F0F" w14:textId="77777777"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p w14:paraId="690F7475" w14:textId="77777777" w:rsidR="00BA0007" w:rsidRDefault="00BA0007" w:rsidP="00DC6EC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89"/>
        <w:gridCol w:w="2114"/>
      </w:tblGrid>
      <w:tr w:rsidR="00611D6C" w:rsidRPr="00611D6C" w14:paraId="74744B70" w14:textId="77777777" w:rsidTr="00AE025C">
        <w:trPr>
          <w:trHeight w:val="83"/>
          <w:jc w:val="center"/>
        </w:trPr>
        <w:tc>
          <w:tcPr>
            <w:tcW w:w="8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24C6A9FE" w14:textId="77777777" w:rsidR="00611D6C" w:rsidRPr="00611D6C" w:rsidRDefault="002B4AB5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14:paraId="1FB7CF14" w14:textId="77777777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2C7F038C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611D6C" w:rsidRPr="00611D6C" w14:paraId="619200A3" w14:textId="77777777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698FF519" w14:textId="3EF43072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</w:t>
            </w:r>
            <w:r w:rsidR="004222F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</w:t>
            </w:r>
            <w:r w:rsidR="00C3419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</w:p>
          <w:p w14:paraId="52BAC12F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14:paraId="2352C1BA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392F61E1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69CAC775" w14:textId="16560221" w:rsidR="00611D6C" w:rsidRPr="00611D6C" w:rsidRDefault="00611D6C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7418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4,368,766</w:t>
            </w:r>
          </w:p>
        </w:tc>
      </w:tr>
      <w:tr w:rsidR="00611D6C" w:rsidRPr="00611D6C" w14:paraId="1ED49579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8DEB77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14:paraId="5331213A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40819FDA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0FE8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A2606" w14:textId="77777777" w:rsidR="00611D6C" w:rsidRPr="00611D6C" w:rsidRDefault="00974188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4EE57D9A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E48B5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31C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79F5" w14:textId="77777777" w:rsidR="00611D6C" w:rsidRPr="00974188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073F199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104F5E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9B7E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2284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74DF62D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87E02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DD4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E2BA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75FD1EA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E9F8E2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DC73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2C9F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43BA826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04C51D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D1D6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D297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322FA6F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AE839B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BCE4B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C5D3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935E24E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EE3271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14:paraId="3011E2C8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35207681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A765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BE75" w14:textId="77777777" w:rsidR="00611D6C" w:rsidRPr="00611D6C" w:rsidRDefault="008E5BF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583E75B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6F1133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9F4D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33BA4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14522EE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F73AA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FFEC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DF4B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239A13" w14:textId="77777777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9C067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7153F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6E609" w14:textId="77777777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882BE81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7DA843A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4" w:space="0" w:color="auto"/>
            </w:tcBorders>
          </w:tcPr>
          <w:p w14:paraId="650F56D3" w14:textId="77777777"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2848D006" w14:textId="77777777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6AD30798" w14:textId="77777777"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CD73CEB" w14:textId="3CA68964"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4,368,766</w:t>
            </w:r>
          </w:p>
        </w:tc>
      </w:tr>
    </w:tbl>
    <w:p w14:paraId="0C61490E" w14:textId="77777777" w:rsidR="00D643D8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0B3C4D85" w14:textId="77777777"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237699F8" w14:textId="77777777"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17FD90D8" w14:textId="77777777"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611D6C" w:rsidRPr="00611D6C" w14:paraId="25766756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75AA6876" w14:textId="77777777"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14:paraId="706E56D6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4A671A72" w14:textId="77777777" w:rsidR="00611D6C" w:rsidRPr="00611D6C" w:rsidRDefault="00611D6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611D6C" w:rsidRPr="00611D6C" w14:paraId="2E763D8F" w14:textId="77777777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4063E43" w14:textId="0D9CCA0A" w:rsidR="00AE025C" w:rsidRPr="00611D6C" w:rsidRDefault="00AE025C" w:rsidP="00AE025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01 de enero al 3</w:t>
            </w:r>
            <w:r w:rsidR="00C3419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marzo</w:t>
            </w:r>
            <w:r w:rsidR="00BA000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202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</w:t>
            </w:r>
          </w:p>
          <w:p w14:paraId="0E8F672F" w14:textId="77777777" w:rsidR="00611D6C" w:rsidRPr="00611D6C" w:rsidRDefault="00AE025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11D6C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14:paraId="5AC0D97E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0924555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51EBB663" w14:textId="07F58C6B"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4222F6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1,285,221</w:t>
            </w:r>
          </w:p>
        </w:tc>
      </w:tr>
      <w:tr w:rsidR="00611D6C" w:rsidRPr="00611D6C" w14:paraId="08051042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3649556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14:paraId="34C1C08F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44899975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D737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28A1F" w14:textId="77E09AD0"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</w:p>
        </w:tc>
      </w:tr>
      <w:tr w:rsidR="00611D6C" w:rsidRPr="00611D6C" w14:paraId="70AF5B2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D1014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0B7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BC80" w14:textId="77777777"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23A2332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8F38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2A45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3B9F" w14:textId="77777777" w:rsidR="00611D6C" w:rsidRPr="00611D6C" w:rsidRDefault="000F137A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AD1A6E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65063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1A2B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1AC74" w14:textId="00FB935F"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4B08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89,975</w:t>
            </w:r>
          </w:p>
        </w:tc>
      </w:tr>
      <w:tr w:rsidR="00611D6C" w:rsidRPr="00611D6C" w14:paraId="2431AF7D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FC875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00E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7D45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7B19761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2605B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CC8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B787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D42D51C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0915D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7BC6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EF4B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DF8B55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643E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C4C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454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D3A08A5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51A59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994B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AC87C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6767AE9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6AACB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084E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7F82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FDB239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630E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171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C3A4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E8DBB6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F1873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17C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8F0E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7ECE844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C670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E30C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F2DD" w14:textId="1494C600" w:rsidR="00611D6C" w:rsidRPr="00611D6C" w:rsidRDefault="007B2C77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$ </w:t>
            </w:r>
            <w:r w:rsidR="004B085B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198,722</w:t>
            </w:r>
          </w:p>
        </w:tc>
      </w:tr>
      <w:tr w:rsidR="00611D6C" w:rsidRPr="00611D6C" w14:paraId="4B38C715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76CB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1A30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56DA" w14:textId="425F3122" w:rsidR="00611D6C" w:rsidRPr="00611D6C" w:rsidRDefault="007B2C77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307709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</w:t>
            </w:r>
          </w:p>
        </w:tc>
      </w:tr>
      <w:tr w:rsidR="00611D6C" w:rsidRPr="00611D6C" w14:paraId="03B195F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3A3AF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4AA0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FDBB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A067E2B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D33D4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2EC7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6DFE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0E7E06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2309B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99AD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6C5C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2E57EB4E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056307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DBE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63DD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94F3FBE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AD6E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493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1ED0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BCF2F6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4D552E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BAF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C6A4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78BE925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5B957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852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958A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EA4F7AF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01283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F9AC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4F88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94CDE24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BEE857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14:paraId="3BE41D82" w14:textId="77777777"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597A2A22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E3B8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6DF1E" w14:textId="77777777" w:rsidR="00611D6C" w:rsidRPr="000F137A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525550B9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F48F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49A6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C4810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8E0B020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06AAE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A774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DBD0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B867E84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D1955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0829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EE87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30E83937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B0871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327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B06D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03E9C05A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E7B0F2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1611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886F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702589C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84EEC0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7FC1D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FBF81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663C9BE8" w14:textId="77777777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0E1A9C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BD85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71E9" w14:textId="77777777"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14:paraId="1C16320C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361030" w14:textId="77777777"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14:paraId="3B17D369" w14:textId="77777777"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14:paraId="746F8EEA" w14:textId="77777777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1A8AB41A" w14:textId="77777777"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62C16B2" w14:textId="78E93442"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4B085B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996,524</w:t>
            </w:r>
          </w:p>
        </w:tc>
      </w:tr>
    </w:tbl>
    <w:p w14:paraId="76CAA88E" w14:textId="77777777" w:rsidR="0095293D" w:rsidRDefault="0095293D" w:rsidP="00D643D8">
      <w:pPr>
        <w:jc w:val="center"/>
        <w:rPr>
          <w:rFonts w:ascii="Arial" w:hAnsi="Arial" w:cs="Arial"/>
          <w:sz w:val="18"/>
          <w:szCs w:val="18"/>
        </w:rPr>
      </w:pPr>
    </w:p>
    <w:p w14:paraId="57B15209" w14:textId="77777777" w:rsidR="00D643D8" w:rsidRDefault="005010A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2F4D9D5D">
          <v:shape id="_x0000_s1056" type="#_x0000_t202" style="position:absolute;left:0;text-align:left;margin-left:-19.55pt;margin-top:8.3pt;width:230.35pt;height:71.7pt;z-index:25167769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3105E5D8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4A4F6BC8" w14:textId="6CDCEF78" w:rsidR="001F20C7" w:rsidRPr="00307709" w:rsidRDefault="001F20C7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7" w:name="_Hlk59949711"/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bookmarkEnd w:id="7"/>
                <w:p w14:paraId="63E6A91A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4F9AB613">
          <v:shape id="_x0000_s1058" type="#_x0000_t202" style="position:absolute;left:0;text-align:left;margin-left:340.45pt;margin-top:8.3pt;width:230.35pt;height:71.7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0F358D6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52A3D45F" w14:textId="29A61F92" w:rsidR="001F20C7" w:rsidRPr="00307709" w:rsidRDefault="001F20C7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7217170D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D47E711">
          <v:shape id="_x0000_s1059" type="#_x0000_t32" style="position:absolute;left:0;text-align:left;margin-left:382.3pt;margin-top:14.15pt;width:182.7pt;height:0;z-index:251680768" o:connectortype="straight"/>
        </w:pict>
      </w:r>
      <w:r>
        <w:rPr>
          <w:rFonts w:ascii="Calibri" w:hAnsi="Calibri" w:cs="Times New Roman"/>
        </w:rPr>
        <w:pict w14:anchorId="4A787428">
          <v:shape id="_x0000_s1057" type="#_x0000_t32" style="position:absolute;left:0;text-align:left;margin-left:11pt;margin-top:14.15pt;width:209.05pt;height:0;z-index:251678720" o:connectortype="straight"/>
        </w:pict>
      </w:r>
    </w:p>
    <w:p w14:paraId="48A50640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7DED9D10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FAF6A85" w14:textId="77777777" w:rsidR="00CB38DA" w:rsidRDefault="00D643D8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163D6C">
        <w:rPr>
          <w:szCs w:val="18"/>
        </w:rPr>
        <w:t xml:space="preserve"> </w:t>
      </w:r>
    </w:p>
    <w:p w14:paraId="279645F6" w14:textId="77777777" w:rsidR="0022585A" w:rsidRDefault="0022585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B06B972" w14:textId="77777777" w:rsidR="0034715D" w:rsidRDefault="0034715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C052467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C526307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FADD4B2" w14:textId="77777777" w:rsidR="00B210FF" w:rsidRDefault="00B210FF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AC55947" w14:textId="77777777" w:rsidR="00CB38DA" w:rsidRDefault="00CB38D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FFEBD81" w14:textId="77777777"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14:paraId="0AB8C6FF" w14:textId="77777777"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DB6E2E6" w14:textId="77777777"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1C2B8F96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4E30350C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2A6FF91C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14:paraId="24B4624B" w14:textId="77777777"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14:paraId="372B96C9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14:paraId="1E44780F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</w:p>
    <w:p w14:paraId="43BEA58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14:paraId="03E0E9DD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14:paraId="66787124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14:paraId="3599523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14:paraId="55F3BD2E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14:paraId="02AD6635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14:paraId="5136A039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14:paraId="37AD818D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14:paraId="164FDCB6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14:paraId="10D2E778" w14:textId="77777777"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14:paraId="0606A6A9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4834607C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C664CA4" w14:textId="77777777" w:rsidR="00D643D8" w:rsidRDefault="005010A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0A0CFB7A">
          <v:shape id="_x0000_s1060" type="#_x0000_t202" style="position:absolute;left:0;text-align:left;margin-left:-19.55pt;margin-top:8.3pt;width:230.35pt;height:71.7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6F787C7F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1C64CED2" w14:textId="77777777" w:rsidR="001F20C7" w:rsidRPr="00307709" w:rsidRDefault="001F20C7" w:rsidP="0030770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31F5B7AB" w14:textId="77777777" w:rsidR="001F20C7" w:rsidRPr="00307709" w:rsidRDefault="001F20C7" w:rsidP="00D643D8">
                  <w:pPr>
                    <w:jc w:val="center"/>
                  </w:pPr>
                  <w:r w:rsidRPr="00307709"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2F181BBD">
          <v:shape id="_x0000_s1062" type="#_x0000_t202" style="position:absolute;left:0;text-align:left;margin-left:340.45pt;margin-top:8.3pt;width:230.35pt;height:71.7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5585FCF1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10457B73" w14:textId="5AA49447" w:rsidR="001F20C7" w:rsidRPr="00B10A9E" w:rsidRDefault="001F20C7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C.P. </w:t>
                  </w: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14:paraId="549DB2B5" w14:textId="77777777" w:rsidR="001F20C7" w:rsidRDefault="001F20C7" w:rsidP="00D643D8">
                  <w:pPr>
                    <w:jc w:val="center"/>
                    <w:rPr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</w:p>
    <w:p w14:paraId="1B96F005" w14:textId="77777777" w:rsidR="00D643D8" w:rsidRDefault="005010A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4AECDFC6">
          <v:shape id="_x0000_s1063" type="#_x0000_t32" style="position:absolute;left:0;text-align:left;margin-left:382.3pt;margin-top:13.75pt;width:182.7pt;height:0;z-index:251685888" o:connectortype="straight"/>
        </w:pict>
      </w:r>
      <w:r>
        <w:rPr>
          <w:rFonts w:ascii="Calibri" w:hAnsi="Calibri" w:cs="Times New Roman"/>
        </w:rPr>
        <w:pict w14:anchorId="7C519F05">
          <v:shape id="_x0000_s1061" type="#_x0000_t32" style="position:absolute;left:0;text-align:left;margin-left:11pt;margin-top:13.75pt;width:209.05pt;height:0;z-index:251683840" o:connectortype="straight"/>
        </w:pict>
      </w:r>
    </w:p>
    <w:p w14:paraId="0882AB63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17F5B7F4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489ECDF4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0F4FD9F8" w14:textId="77777777"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14:paraId="0569A7C9" w14:textId="77777777" w:rsidR="00D643D8" w:rsidRDefault="00D643D8" w:rsidP="00D643D8">
      <w:pPr>
        <w:pStyle w:val="Texto"/>
        <w:spacing w:after="0" w:line="240" w:lineRule="exact"/>
        <w:rPr>
          <w:szCs w:val="18"/>
        </w:rPr>
      </w:pPr>
    </w:p>
    <w:p w14:paraId="41566F56" w14:textId="77777777"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14:paraId="2BF9FB41" w14:textId="77777777"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14:paraId="370FDBA4" w14:textId="77777777"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c) NOTAS DE GESTIÓN ADMINISTRATIVA</w:t>
      </w:r>
    </w:p>
    <w:p w14:paraId="766A0242" w14:textId="77777777" w:rsidR="00D643D8" w:rsidRPr="00163D6C" w:rsidRDefault="00D643D8" w:rsidP="00D643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5BE59C74" w14:textId="77777777" w:rsidR="00D643D8" w:rsidRPr="00DA244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14:paraId="12AFFF5C" w14:textId="0DBFBAD5" w:rsidR="00D643D8" w:rsidRDefault="00D643D8" w:rsidP="00C475DE">
      <w:pPr>
        <w:pStyle w:val="Texto"/>
        <w:spacing w:after="0" w:line="240" w:lineRule="exact"/>
        <w:ind w:left="288" w:firstLine="0"/>
        <w:rPr>
          <w:szCs w:val="18"/>
        </w:rPr>
      </w:pPr>
      <w:r w:rsidRPr="00A36B00">
        <w:rPr>
          <w:szCs w:val="18"/>
        </w:rPr>
        <w:t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C475DE">
        <w:rPr>
          <w:szCs w:val="18"/>
        </w:rPr>
        <w:t>o</w:t>
      </w:r>
      <w:r w:rsidRPr="00A36B00">
        <w:rPr>
          <w:szCs w:val="18"/>
        </w:rPr>
        <w:t xml:space="preserve">s mantos señalados y en el mediano plazo, problemas de abasto.   </w:t>
      </w:r>
      <w:r w:rsidR="004222F6" w:rsidRPr="00A36B00">
        <w:rPr>
          <w:szCs w:val="18"/>
        </w:rPr>
        <w:t>Los municipios</w:t>
      </w:r>
      <w:r w:rsidRPr="00A36B00">
        <w:rPr>
          <w:szCs w:val="18"/>
        </w:rPr>
        <w:t xml:space="preserve"> y comunidades aún desconocen de forma precisa y clara el funcionamiento de sus sistemas de abastecimiento de agua potable, como acceder a los beneficios de los </w:t>
      </w:r>
      <w:r w:rsidR="004222F6" w:rsidRPr="00A36B00">
        <w:rPr>
          <w:szCs w:val="18"/>
        </w:rPr>
        <w:t>programas de</w:t>
      </w:r>
      <w:r w:rsidRPr="00A36B00">
        <w:rPr>
          <w:szCs w:val="18"/>
        </w:rPr>
        <w:t xml:space="preserve">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14:paraId="0F6F2F36" w14:textId="77777777" w:rsidR="00C475DE" w:rsidRDefault="00C475DE" w:rsidP="00C475DE">
      <w:pPr>
        <w:pStyle w:val="Texto"/>
        <w:spacing w:after="0" w:line="240" w:lineRule="exact"/>
        <w:ind w:left="288" w:firstLine="0"/>
        <w:rPr>
          <w:szCs w:val="18"/>
        </w:rPr>
      </w:pPr>
    </w:p>
    <w:p w14:paraId="04E43182" w14:textId="77777777" w:rsidR="00D643D8" w:rsidRPr="00832DB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14:paraId="414C0DD6" w14:textId="543C6ED1" w:rsidR="00D643D8" w:rsidRDefault="00D643D8" w:rsidP="00C475DE">
      <w:pPr>
        <w:pStyle w:val="Texto"/>
        <w:spacing w:after="0" w:line="240" w:lineRule="exact"/>
        <w:ind w:left="288" w:firstLine="0"/>
      </w:pPr>
      <w:r>
        <w:t>La comisión Estatal de Agua de Tlaxcala cuenta con recursos por participaciones estatales y realiza convenios con los municipios para llevar a cabo el Programa de Rehabilitación a la Infraestructura Hidráulica del Estado.</w:t>
      </w:r>
    </w:p>
    <w:p w14:paraId="4B8B7E3A" w14:textId="77777777" w:rsidR="00C475DE" w:rsidRDefault="00C475DE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14:paraId="1DBB9AC5" w14:textId="3772D614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14:paraId="412D2ABE" w14:textId="25F242D1" w:rsidR="00D643D8" w:rsidRDefault="00D643D8" w:rsidP="00D643D8">
      <w:pPr>
        <w:pStyle w:val="INCISO"/>
        <w:spacing w:after="0" w:line="240" w:lineRule="exact"/>
        <w:ind w:left="720" w:firstLine="0"/>
      </w:pPr>
      <w:r>
        <w:t xml:space="preserve">La Comisión Estatal de Agua de Tlaxcala se crea el 29 de </w:t>
      </w:r>
      <w:r w:rsidR="004222F6">
        <w:t>diciembre</w:t>
      </w:r>
      <w:r>
        <w:t xml:space="preserve"> de 2009.</w:t>
      </w:r>
    </w:p>
    <w:p w14:paraId="7CCD972F" w14:textId="77777777" w:rsidR="00D643D8" w:rsidRPr="00163D6C" w:rsidRDefault="00D643D8" w:rsidP="00D643D8">
      <w:pPr>
        <w:pStyle w:val="INCISO"/>
        <w:spacing w:after="0" w:line="240" w:lineRule="exact"/>
      </w:pPr>
    </w:p>
    <w:p w14:paraId="762DCFF2" w14:textId="77777777" w:rsidR="00D643D8" w:rsidRDefault="00D643D8" w:rsidP="00D643D8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14:paraId="568F6A14" w14:textId="77777777" w:rsidR="00D643D8" w:rsidRPr="00163D6C" w:rsidRDefault="00D643D8" w:rsidP="00D643D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14:paraId="56E56226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14:paraId="38F32053" w14:textId="77777777" w:rsidR="00D643D8" w:rsidRPr="00163D6C" w:rsidRDefault="00D643D8" w:rsidP="00D643D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14:paraId="622BE5CB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14:paraId="491B8E30" w14:textId="77777777" w:rsidR="00D643D8" w:rsidRDefault="00D643D8" w:rsidP="00D643D8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14:paraId="412AA16D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14:paraId="1B7FB235" w14:textId="47FDC5E9" w:rsidR="00D643D8" w:rsidRPr="00163D6C" w:rsidRDefault="00BC1671" w:rsidP="00D643D8">
      <w:pPr>
        <w:pStyle w:val="INCISO"/>
        <w:spacing w:after="0" w:line="240" w:lineRule="exact"/>
        <w:ind w:firstLine="0"/>
      </w:pPr>
      <w:r>
        <w:t>20</w:t>
      </w:r>
      <w:r w:rsidR="00A6662F">
        <w:t>21</w:t>
      </w:r>
    </w:p>
    <w:p w14:paraId="0CE46C68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14:paraId="321F7A65" w14:textId="77777777" w:rsidR="00D643D8" w:rsidRPr="00163D6C" w:rsidRDefault="00D643D8" w:rsidP="00D643D8">
      <w:pPr>
        <w:pStyle w:val="INCISO"/>
        <w:spacing w:after="0" w:line="240" w:lineRule="exact"/>
        <w:ind w:firstLine="0"/>
      </w:pPr>
      <w:r>
        <w:t>Ley de Aguas para el Estado de Tlaxcala</w:t>
      </w:r>
    </w:p>
    <w:p w14:paraId="7CA73966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14:paraId="3651ED8D" w14:textId="3BC1F00A" w:rsidR="00D643D8" w:rsidRDefault="00D643D8" w:rsidP="00D643D8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 xml:space="preserve">retiene el ISR sobre los sueldos y </w:t>
      </w:r>
      <w:r w:rsidR="004222F6">
        <w:t>salarios, el</w:t>
      </w:r>
      <w:r>
        <w:t xml:space="preserve"> 5 al millar de las Obras realizadas y el Fondo de Ahorro Aportación trabajador.</w:t>
      </w:r>
    </w:p>
    <w:p w14:paraId="0012F87E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14:paraId="72D3AB13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14:paraId="3D56E5AD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Administración y Finanzas</w:t>
      </w:r>
    </w:p>
    <w:p w14:paraId="49B5E302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Planeación</w:t>
      </w:r>
    </w:p>
    <w:p w14:paraId="61D2904D" w14:textId="77777777"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Informática</w:t>
      </w:r>
    </w:p>
    <w:p w14:paraId="65F6CC3C" w14:textId="77777777"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14:paraId="48061A13" w14:textId="77777777" w:rsidR="00D643D8" w:rsidRDefault="00D643D8" w:rsidP="00D643D8">
      <w:pPr>
        <w:pStyle w:val="INCISO"/>
        <w:spacing w:after="0" w:line="240" w:lineRule="exact"/>
        <w:ind w:firstLine="0"/>
      </w:pPr>
      <w:r>
        <w:t>No aplica</w:t>
      </w:r>
    </w:p>
    <w:p w14:paraId="2D23238B" w14:textId="77777777" w:rsidR="00D643D8" w:rsidRPr="00163D6C" w:rsidRDefault="00D643D8" w:rsidP="00D643D8">
      <w:pPr>
        <w:pStyle w:val="INCISO"/>
        <w:spacing w:after="0" w:line="240" w:lineRule="exact"/>
        <w:ind w:firstLine="0"/>
      </w:pPr>
    </w:p>
    <w:p w14:paraId="381760C4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14:paraId="73E80DCD" w14:textId="77777777" w:rsidR="00D643D8" w:rsidRDefault="00D643D8" w:rsidP="00D643D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14:paraId="28666012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14:paraId="7A8049E8" w14:textId="77777777" w:rsidR="00146456" w:rsidRDefault="00D643D8" w:rsidP="00D643D8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 w:rsidR="00ED00A0">
        <w:rPr>
          <w:lang w:val="es-MX"/>
        </w:rPr>
        <w:t>La Comisión Estatal de Agua no tiene Políticas de inversión Significativas</w:t>
      </w:r>
    </w:p>
    <w:p w14:paraId="26A05267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14:paraId="6F85FC7A" w14:textId="77777777" w:rsidR="00146456" w:rsidRPr="00ED00A0" w:rsidRDefault="00ED00A0" w:rsidP="00D643D8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 w:rsidRPr="00ED00A0">
        <w:rPr>
          <w:lang w:val="es-MX"/>
        </w:rPr>
        <w:t xml:space="preserve"> </w:t>
      </w:r>
    </w:p>
    <w:p w14:paraId="0233C3F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D05E92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14:paraId="16F1A716" w14:textId="77777777" w:rsidR="00146456" w:rsidRDefault="00ED00A0" w:rsidP="00D643D8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</w:t>
      </w:r>
    </w:p>
    <w:p w14:paraId="4FA3ADFE" w14:textId="77777777" w:rsidR="00D643D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14:paraId="5556C030" w14:textId="77777777" w:rsidR="00ED00A0" w:rsidRDefault="00ED00A0" w:rsidP="00D643D8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</w:t>
      </w:r>
    </w:p>
    <w:p w14:paraId="7C17E63F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14:paraId="3BE905E8" w14:textId="77777777" w:rsidR="00D643D8" w:rsidRDefault="00D643D8" w:rsidP="00D643D8">
      <w:pPr>
        <w:pStyle w:val="INCISO"/>
        <w:spacing w:after="0" w:line="240" w:lineRule="exact"/>
      </w:pPr>
      <w:r>
        <w:t xml:space="preserve">La recaudación de los ingresos del CEAT se obtienen de la siguiente manera, el recurso de </w:t>
      </w:r>
      <w:r w:rsidR="00AF2DFB">
        <w:t>Transferencias y asignaciones</w:t>
      </w:r>
      <w:r>
        <w:t xml:space="preserve"> se radica de forma mensual.</w:t>
      </w:r>
    </w:p>
    <w:p w14:paraId="75947B6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14:paraId="5C4F34B9" w14:textId="77777777" w:rsidR="00146456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</w:t>
      </w:r>
    </w:p>
    <w:p w14:paraId="65A6856E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12. </w:t>
      </w:r>
      <w:r w:rsidR="00D05E92">
        <w:rPr>
          <w:b/>
          <w:szCs w:val="18"/>
          <w:lang w:val="es-MX"/>
        </w:rPr>
        <w:t xml:space="preserve">  </w:t>
      </w:r>
      <w:r w:rsidRPr="00163D6C">
        <w:rPr>
          <w:b/>
          <w:szCs w:val="18"/>
          <w:lang w:val="es-MX"/>
        </w:rPr>
        <w:t>Calificaciones otorgadas</w:t>
      </w:r>
    </w:p>
    <w:p w14:paraId="4059C033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</w:t>
      </w:r>
    </w:p>
    <w:p w14:paraId="4E2F4C4D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14:paraId="078F15C5" w14:textId="77777777" w:rsidR="00D643D8" w:rsidRPr="00ED00A0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</w:t>
      </w:r>
    </w:p>
    <w:p w14:paraId="1742DA58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14:paraId="7ABF2926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</w:t>
      </w:r>
    </w:p>
    <w:p w14:paraId="129A8614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14:paraId="4D1656B3" w14:textId="77777777"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</w:t>
      </w:r>
    </w:p>
    <w:p w14:paraId="6D08FC06" w14:textId="77777777"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14:paraId="0CB95AB5" w14:textId="77777777"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14:paraId="3DD99437" w14:textId="77777777" w:rsidR="00D05E92" w:rsidRDefault="00D05E92" w:rsidP="00D643D8">
      <w:pPr>
        <w:jc w:val="center"/>
        <w:rPr>
          <w:rFonts w:ascii="Arial" w:hAnsi="Arial" w:cs="Arial"/>
          <w:sz w:val="18"/>
          <w:szCs w:val="18"/>
        </w:rPr>
      </w:pPr>
    </w:p>
    <w:p w14:paraId="5F17E03D" w14:textId="77777777" w:rsidR="00D643D8" w:rsidRDefault="005010AC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 w14:anchorId="624E78D4">
          <v:shape id="_x0000_s1053" type="#_x0000_t32" style="position:absolute;left:0;text-align:left;margin-left:11pt;margin-top:35pt;width:209.05pt;height:0;z-index:251673600" o:connectortype="straight"/>
        </w:pict>
      </w:r>
      <w:r>
        <w:rPr>
          <w:rFonts w:ascii="Calibri" w:hAnsi="Calibri" w:cs="Times New Roman"/>
        </w:rPr>
        <w:pict w14:anchorId="777E3A26">
          <v:shape id="_x0000_s1055" type="#_x0000_t32" style="position:absolute;left:0;text-align:left;margin-left:382.3pt;margin-top:35pt;width:182.7pt;height:0;z-index:251675648" o:connectortype="straight"/>
        </w:pict>
      </w:r>
      <w:r>
        <w:rPr>
          <w:rFonts w:ascii="Calibri" w:hAnsi="Calibri" w:cs="Times New Roman"/>
        </w:rPr>
        <w:pict w14:anchorId="4089BB8A">
          <v:shape id="_x0000_s1052" type="#_x0000_t202" style="position:absolute;left:0;text-align:left;margin-left:-19.55pt;margin-top:8.3pt;width:230.35pt;height:71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1401B710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1A488318" w14:textId="77777777" w:rsidR="001F20C7" w:rsidRPr="00307709" w:rsidRDefault="001F20C7" w:rsidP="0030770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31D45480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 w14:anchorId="7EEC8129">
          <v:shape id="_x0000_s1054" type="#_x0000_t202" style="position:absolute;left:0;text-align:left;margin-left:340.45pt;margin-top:8.3pt;width:230.35pt;height:71.7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44B236C3" w14:textId="77777777" w:rsidR="001F20C7" w:rsidRDefault="001F20C7" w:rsidP="00D643D8">
                  <w:pPr>
                    <w:rPr>
                      <w:lang w:val="en-US"/>
                    </w:rPr>
                  </w:pPr>
                </w:p>
                <w:p w14:paraId="03EB9FC0" w14:textId="1CAEED40" w:rsidR="001F20C7" w:rsidRPr="00307709" w:rsidRDefault="001F20C7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C.P. Maribel Flores Guevara</w:t>
                  </w:r>
                </w:p>
                <w:p w14:paraId="015C321D" w14:textId="77777777" w:rsidR="001F20C7" w:rsidRPr="00307709" w:rsidRDefault="001F20C7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07709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</w:p>
    <w:sectPr w:rsidR="00D643D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1F5D1" w14:textId="77777777" w:rsidR="005010AC" w:rsidRDefault="005010AC" w:rsidP="00EA5418">
      <w:pPr>
        <w:spacing w:after="0" w:line="240" w:lineRule="auto"/>
      </w:pPr>
      <w:r>
        <w:separator/>
      </w:r>
    </w:p>
  </w:endnote>
  <w:endnote w:type="continuationSeparator" w:id="0">
    <w:p w14:paraId="797C3137" w14:textId="77777777" w:rsidR="005010AC" w:rsidRDefault="005010A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1F6A" w14:textId="77777777" w:rsidR="001F20C7" w:rsidRPr="0013011C" w:rsidRDefault="005010A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8424D2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1F20C7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F20C7" w:rsidRPr="0013011C">
          <w:rPr>
            <w:rFonts w:ascii="Soberana Sans Light" w:hAnsi="Soberana Sans Light"/>
          </w:rPr>
          <w:fldChar w:fldCharType="begin"/>
        </w:r>
        <w:r w:rsidR="001F20C7" w:rsidRPr="0013011C">
          <w:rPr>
            <w:rFonts w:ascii="Soberana Sans Light" w:hAnsi="Soberana Sans Light"/>
          </w:rPr>
          <w:instrText>PAGE   \* MERGEFORMAT</w:instrText>
        </w:r>
        <w:r w:rsidR="001F20C7" w:rsidRPr="0013011C">
          <w:rPr>
            <w:rFonts w:ascii="Soberana Sans Light" w:hAnsi="Soberana Sans Light"/>
          </w:rPr>
          <w:fldChar w:fldCharType="separate"/>
        </w:r>
        <w:r w:rsidR="001F20C7" w:rsidRPr="00AB208A">
          <w:rPr>
            <w:rFonts w:ascii="Soberana Sans Light" w:hAnsi="Soberana Sans Light"/>
            <w:noProof/>
            <w:lang w:val="es-ES"/>
          </w:rPr>
          <w:t>18</w:t>
        </w:r>
        <w:r w:rsidR="001F20C7" w:rsidRPr="0013011C">
          <w:rPr>
            <w:rFonts w:ascii="Soberana Sans Light" w:hAnsi="Soberana Sans Light"/>
          </w:rPr>
          <w:fldChar w:fldCharType="end"/>
        </w:r>
      </w:sdtContent>
    </w:sdt>
  </w:p>
  <w:p w14:paraId="491500EC" w14:textId="77777777" w:rsidR="001F20C7" w:rsidRDefault="001F20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36E76" w14:textId="77777777" w:rsidR="001F20C7" w:rsidRPr="008E3652" w:rsidRDefault="005010A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296A11F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F20C7" w:rsidRPr="008E3652">
          <w:rPr>
            <w:rFonts w:ascii="Soberana Sans Light" w:hAnsi="Soberana Sans Light"/>
          </w:rPr>
          <w:t xml:space="preserve">Contable / </w:t>
        </w:r>
        <w:r w:rsidR="001F20C7" w:rsidRPr="008E3652">
          <w:rPr>
            <w:rFonts w:ascii="Soberana Sans Light" w:hAnsi="Soberana Sans Light"/>
          </w:rPr>
          <w:fldChar w:fldCharType="begin"/>
        </w:r>
        <w:r w:rsidR="001F20C7" w:rsidRPr="008E3652">
          <w:rPr>
            <w:rFonts w:ascii="Soberana Sans Light" w:hAnsi="Soberana Sans Light"/>
          </w:rPr>
          <w:instrText>PAGE   \* MERGEFORMAT</w:instrText>
        </w:r>
        <w:r w:rsidR="001F20C7" w:rsidRPr="008E3652">
          <w:rPr>
            <w:rFonts w:ascii="Soberana Sans Light" w:hAnsi="Soberana Sans Light"/>
          </w:rPr>
          <w:fldChar w:fldCharType="separate"/>
        </w:r>
        <w:r w:rsidR="001F20C7" w:rsidRPr="00AB208A">
          <w:rPr>
            <w:rFonts w:ascii="Soberana Sans Light" w:hAnsi="Soberana Sans Light"/>
            <w:noProof/>
            <w:lang w:val="es-ES"/>
          </w:rPr>
          <w:t>19</w:t>
        </w:r>
        <w:r w:rsidR="001F20C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2122C" w14:textId="77777777" w:rsidR="005010AC" w:rsidRDefault="005010AC" w:rsidP="00EA5418">
      <w:pPr>
        <w:spacing w:after="0" w:line="240" w:lineRule="auto"/>
      </w:pPr>
      <w:r>
        <w:separator/>
      </w:r>
    </w:p>
  </w:footnote>
  <w:footnote w:type="continuationSeparator" w:id="0">
    <w:p w14:paraId="4EA13ACC" w14:textId="77777777" w:rsidR="005010AC" w:rsidRDefault="005010A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F3EC2" w14:textId="77777777" w:rsidR="001F20C7" w:rsidRDefault="005010AC">
    <w:pPr>
      <w:pStyle w:val="Encabezado"/>
    </w:pPr>
    <w:r>
      <w:rPr>
        <w:noProof/>
        <w:lang w:eastAsia="es-MX"/>
      </w:rPr>
      <w:pict w14:anchorId="09333370"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190A415" w14:textId="77777777" w:rsidR="001F20C7" w:rsidRDefault="001F20C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4F38B01" w14:textId="77777777" w:rsidR="001F20C7" w:rsidRDefault="001F20C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7E2862E0" w14:textId="77777777" w:rsidR="001F20C7" w:rsidRPr="00275FC6" w:rsidRDefault="001F20C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15D7608" w14:textId="7F2D9D1C" w:rsidR="001F20C7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B085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985EB0B" w14:textId="77777777" w:rsidR="001F20C7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196F28C" w14:textId="77777777" w:rsidR="001F20C7" w:rsidRPr="00275FC6" w:rsidRDefault="001F20C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0C490B2F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BBC84" w14:textId="77777777" w:rsidR="001F20C7" w:rsidRPr="0013011C" w:rsidRDefault="005010A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93EC61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F20C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35E"/>
    <w:rsid w:val="00002B9D"/>
    <w:rsid w:val="00005CB9"/>
    <w:rsid w:val="0001782E"/>
    <w:rsid w:val="0003125A"/>
    <w:rsid w:val="00032B6C"/>
    <w:rsid w:val="000354BC"/>
    <w:rsid w:val="00035E16"/>
    <w:rsid w:val="00040466"/>
    <w:rsid w:val="00045A10"/>
    <w:rsid w:val="0005364A"/>
    <w:rsid w:val="00054251"/>
    <w:rsid w:val="00054523"/>
    <w:rsid w:val="000623D6"/>
    <w:rsid w:val="000773F4"/>
    <w:rsid w:val="000803C3"/>
    <w:rsid w:val="00092250"/>
    <w:rsid w:val="000A6A04"/>
    <w:rsid w:val="000B0B94"/>
    <w:rsid w:val="000B1ED8"/>
    <w:rsid w:val="000B2513"/>
    <w:rsid w:val="000B4898"/>
    <w:rsid w:val="000B649A"/>
    <w:rsid w:val="000C1479"/>
    <w:rsid w:val="000C6C2C"/>
    <w:rsid w:val="000D2D18"/>
    <w:rsid w:val="000D76F6"/>
    <w:rsid w:val="000E2F28"/>
    <w:rsid w:val="000F0810"/>
    <w:rsid w:val="000F137A"/>
    <w:rsid w:val="0010149B"/>
    <w:rsid w:val="00107729"/>
    <w:rsid w:val="0011694C"/>
    <w:rsid w:val="00117418"/>
    <w:rsid w:val="001178F8"/>
    <w:rsid w:val="0012411B"/>
    <w:rsid w:val="00126A9C"/>
    <w:rsid w:val="0013011C"/>
    <w:rsid w:val="001408D8"/>
    <w:rsid w:val="0014358B"/>
    <w:rsid w:val="00146456"/>
    <w:rsid w:val="00155411"/>
    <w:rsid w:val="0015792E"/>
    <w:rsid w:val="00165BB4"/>
    <w:rsid w:val="001728C8"/>
    <w:rsid w:val="001841A8"/>
    <w:rsid w:val="00190F3D"/>
    <w:rsid w:val="0019329F"/>
    <w:rsid w:val="001955DE"/>
    <w:rsid w:val="001A1F57"/>
    <w:rsid w:val="001A6443"/>
    <w:rsid w:val="001B1B72"/>
    <w:rsid w:val="001B358E"/>
    <w:rsid w:val="001B5A34"/>
    <w:rsid w:val="001B67CE"/>
    <w:rsid w:val="001C6FD8"/>
    <w:rsid w:val="001D42C3"/>
    <w:rsid w:val="001E7072"/>
    <w:rsid w:val="001F20C7"/>
    <w:rsid w:val="001F24F6"/>
    <w:rsid w:val="001F6A60"/>
    <w:rsid w:val="001F6EA1"/>
    <w:rsid w:val="00202D51"/>
    <w:rsid w:val="00204C86"/>
    <w:rsid w:val="00211D32"/>
    <w:rsid w:val="00212B54"/>
    <w:rsid w:val="00215B9E"/>
    <w:rsid w:val="002205B0"/>
    <w:rsid w:val="002214C8"/>
    <w:rsid w:val="0022585A"/>
    <w:rsid w:val="00232059"/>
    <w:rsid w:val="002404F3"/>
    <w:rsid w:val="0025013A"/>
    <w:rsid w:val="00254B78"/>
    <w:rsid w:val="0026020A"/>
    <w:rsid w:val="002603A3"/>
    <w:rsid w:val="00261C73"/>
    <w:rsid w:val="002636EF"/>
    <w:rsid w:val="002639AA"/>
    <w:rsid w:val="00264426"/>
    <w:rsid w:val="00264B3B"/>
    <w:rsid w:val="00280E5F"/>
    <w:rsid w:val="002923F3"/>
    <w:rsid w:val="002961E7"/>
    <w:rsid w:val="002A449B"/>
    <w:rsid w:val="002A450A"/>
    <w:rsid w:val="002A70B3"/>
    <w:rsid w:val="002B1322"/>
    <w:rsid w:val="002B4AB5"/>
    <w:rsid w:val="002B72D5"/>
    <w:rsid w:val="002C26FF"/>
    <w:rsid w:val="002E07C2"/>
    <w:rsid w:val="002F5EF5"/>
    <w:rsid w:val="002F692F"/>
    <w:rsid w:val="00303DE7"/>
    <w:rsid w:val="00307709"/>
    <w:rsid w:val="00312C5F"/>
    <w:rsid w:val="00314D5C"/>
    <w:rsid w:val="003173D6"/>
    <w:rsid w:val="00320503"/>
    <w:rsid w:val="00327F9F"/>
    <w:rsid w:val="00333661"/>
    <w:rsid w:val="0034150B"/>
    <w:rsid w:val="003445EA"/>
    <w:rsid w:val="0034715D"/>
    <w:rsid w:val="003473D5"/>
    <w:rsid w:val="00347BA2"/>
    <w:rsid w:val="003501D7"/>
    <w:rsid w:val="003513FF"/>
    <w:rsid w:val="00351583"/>
    <w:rsid w:val="00351CCB"/>
    <w:rsid w:val="00355D70"/>
    <w:rsid w:val="0036014F"/>
    <w:rsid w:val="0036229C"/>
    <w:rsid w:val="00366D0A"/>
    <w:rsid w:val="00372F40"/>
    <w:rsid w:val="00377333"/>
    <w:rsid w:val="00391735"/>
    <w:rsid w:val="0039317C"/>
    <w:rsid w:val="003942E2"/>
    <w:rsid w:val="003956CE"/>
    <w:rsid w:val="00396C2B"/>
    <w:rsid w:val="003A0303"/>
    <w:rsid w:val="003B397F"/>
    <w:rsid w:val="003C2B78"/>
    <w:rsid w:val="003D0136"/>
    <w:rsid w:val="003D15D4"/>
    <w:rsid w:val="003D259A"/>
    <w:rsid w:val="003D5DBF"/>
    <w:rsid w:val="003D7522"/>
    <w:rsid w:val="003E1E9D"/>
    <w:rsid w:val="003E3696"/>
    <w:rsid w:val="003E7FD0"/>
    <w:rsid w:val="003F0EA4"/>
    <w:rsid w:val="004018B6"/>
    <w:rsid w:val="00421190"/>
    <w:rsid w:val="004222F6"/>
    <w:rsid w:val="0042281B"/>
    <w:rsid w:val="0042303A"/>
    <w:rsid w:val="0042540E"/>
    <w:rsid w:val="0042555C"/>
    <w:rsid w:val="00427CE8"/>
    <w:rsid w:val="004311BE"/>
    <w:rsid w:val="00436767"/>
    <w:rsid w:val="0044253C"/>
    <w:rsid w:val="004447BD"/>
    <w:rsid w:val="00454FBD"/>
    <w:rsid w:val="00456295"/>
    <w:rsid w:val="004575BB"/>
    <w:rsid w:val="004610C3"/>
    <w:rsid w:val="00464F23"/>
    <w:rsid w:val="0047128C"/>
    <w:rsid w:val="004714CF"/>
    <w:rsid w:val="0047666A"/>
    <w:rsid w:val="0047674E"/>
    <w:rsid w:val="0047717E"/>
    <w:rsid w:val="00480D80"/>
    <w:rsid w:val="00484C0D"/>
    <w:rsid w:val="00485D57"/>
    <w:rsid w:val="00490F0D"/>
    <w:rsid w:val="004970E8"/>
    <w:rsid w:val="00497625"/>
    <w:rsid w:val="00497D8B"/>
    <w:rsid w:val="004A0C29"/>
    <w:rsid w:val="004A4176"/>
    <w:rsid w:val="004B085B"/>
    <w:rsid w:val="004B3111"/>
    <w:rsid w:val="004B611C"/>
    <w:rsid w:val="004C1576"/>
    <w:rsid w:val="004C2D14"/>
    <w:rsid w:val="004D2833"/>
    <w:rsid w:val="004D2B12"/>
    <w:rsid w:val="004D41B8"/>
    <w:rsid w:val="004E4C17"/>
    <w:rsid w:val="004F5641"/>
    <w:rsid w:val="004F6CFC"/>
    <w:rsid w:val="005010AC"/>
    <w:rsid w:val="005079CB"/>
    <w:rsid w:val="00520A6E"/>
    <w:rsid w:val="00522632"/>
    <w:rsid w:val="00522EF3"/>
    <w:rsid w:val="005278C7"/>
    <w:rsid w:val="005302DC"/>
    <w:rsid w:val="00530B88"/>
    <w:rsid w:val="00533C3C"/>
    <w:rsid w:val="00540418"/>
    <w:rsid w:val="00552C3F"/>
    <w:rsid w:val="0055359B"/>
    <w:rsid w:val="00553B90"/>
    <w:rsid w:val="00557AB9"/>
    <w:rsid w:val="00557B83"/>
    <w:rsid w:val="00557CF5"/>
    <w:rsid w:val="00563A6A"/>
    <w:rsid w:val="005673C4"/>
    <w:rsid w:val="00567B50"/>
    <w:rsid w:val="00567EB5"/>
    <w:rsid w:val="005705BE"/>
    <w:rsid w:val="00571C13"/>
    <w:rsid w:val="00574266"/>
    <w:rsid w:val="0057779E"/>
    <w:rsid w:val="00584335"/>
    <w:rsid w:val="0058779C"/>
    <w:rsid w:val="00591BBE"/>
    <w:rsid w:val="005A2FC2"/>
    <w:rsid w:val="005A787A"/>
    <w:rsid w:val="005B27FC"/>
    <w:rsid w:val="005B2845"/>
    <w:rsid w:val="005C273B"/>
    <w:rsid w:val="005C4715"/>
    <w:rsid w:val="005C5DB7"/>
    <w:rsid w:val="005D316F"/>
    <w:rsid w:val="005D3D25"/>
    <w:rsid w:val="005F07D3"/>
    <w:rsid w:val="005F1FB7"/>
    <w:rsid w:val="0060032F"/>
    <w:rsid w:val="006038FA"/>
    <w:rsid w:val="00606A40"/>
    <w:rsid w:val="006110D4"/>
    <w:rsid w:val="00611D6C"/>
    <w:rsid w:val="00625D16"/>
    <w:rsid w:val="0062701B"/>
    <w:rsid w:val="006302B5"/>
    <w:rsid w:val="0063687B"/>
    <w:rsid w:val="0065055B"/>
    <w:rsid w:val="006528D4"/>
    <w:rsid w:val="00652B1F"/>
    <w:rsid w:val="00666A4E"/>
    <w:rsid w:val="0067740A"/>
    <w:rsid w:val="0068244F"/>
    <w:rsid w:val="00686A22"/>
    <w:rsid w:val="006908B1"/>
    <w:rsid w:val="00691ABB"/>
    <w:rsid w:val="0069545C"/>
    <w:rsid w:val="006A35D1"/>
    <w:rsid w:val="006B1FE7"/>
    <w:rsid w:val="006B3923"/>
    <w:rsid w:val="006D6949"/>
    <w:rsid w:val="006E1205"/>
    <w:rsid w:val="006E48DF"/>
    <w:rsid w:val="006E5749"/>
    <w:rsid w:val="006E77DD"/>
    <w:rsid w:val="006E7AC6"/>
    <w:rsid w:val="006F2E68"/>
    <w:rsid w:val="007156B3"/>
    <w:rsid w:val="00716853"/>
    <w:rsid w:val="00716C8C"/>
    <w:rsid w:val="00730213"/>
    <w:rsid w:val="00744F64"/>
    <w:rsid w:val="0074746F"/>
    <w:rsid w:val="00753B60"/>
    <w:rsid w:val="00764195"/>
    <w:rsid w:val="00776DA7"/>
    <w:rsid w:val="00782879"/>
    <w:rsid w:val="00787777"/>
    <w:rsid w:val="0079169D"/>
    <w:rsid w:val="0079582C"/>
    <w:rsid w:val="00796269"/>
    <w:rsid w:val="00797041"/>
    <w:rsid w:val="007A0E1E"/>
    <w:rsid w:val="007A7639"/>
    <w:rsid w:val="007B2C77"/>
    <w:rsid w:val="007D31ED"/>
    <w:rsid w:val="007D355C"/>
    <w:rsid w:val="007D6E9A"/>
    <w:rsid w:val="007E14F9"/>
    <w:rsid w:val="007E6D31"/>
    <w:rsid w:val="007E7CDD"/>
    <w:rsid w:val="007F0D35"/>
    <w:rsid w:val="007F64ED"/>
    <w:rsid w:val="007F7B1A"/>
    <w:rsid w:val="00802DF8"/>
    <w:rsid w:val="00804875"/>
    <w:rsid w:val="008071B0"/>
    <w:rsid w:val="00811DAC"/>
    <w:rsid w:val="00820B9C"/>
    <w:rsid w:val="00823E5A"/>
    <w:rsid w:val="0083460D"/>
    <w:rsid w:val="00836DE6"/>
    <w:rsid w:val="00846B31"/>
    <w:rsid w:val="00851B86"/>
    <w:rsid w:val="00856F61"/>
    <w:rsid w:val="00872182"/>
    <w:rsid w:val="00877889"/>
    <w:rsid w:val="00880CA4"/>
    <w:rsid w:val="008871C0"/>
    <w:rsid w:val="0089054E"/>
    <w:rsid w:val="00891405"/>
    <w:rsid w:val="00894A99"/>
    <w:rsid w:val="00896A7E"/>
    <w:rsid w:val="008A0B26"/>
    <w:rsid w:val="008A2E97"/>
    <w:rsid w:val="008A453D"/>
    <w:rsid w:val="008A5E1E"/>
    <w:rsid w:val="008A685A"/>
    <w:rsid w:val="008A6E4D"/>
    <w:rsid w:val="008A793D"/>
    <w:rsid w:val="008B0017"/>
    <w:rsid w:val="008B6BE3"/>
    <w:rsid w:val="008B7734"/>
    <w:rsid w:val="008C2E1B"/>
    <w:rsid w:val="008C3CB8"/>
    <w:rsid w:val="008C4D46"/>
    <w:rsid w:val="008C701A"/>
    <w:rsid w:val="008D29AA"/>
    <w:rsid w:val="008D2CD0"/>
    <w:rsid w:val="008D6078"/>
    <w:rsid w:val="008E3652"/>
    <w:rsid w:val="008E5BFD"/>
    <w:rsid w:val="008F093A"/>
    <w:rsid w:val="008F0F22"/>
    <w:rsid w:val="008F18C4"/>
    <w:rsid w:val="008F27EB"/>
    <w:rsid w:val="008F6D58"/>
    <w:rsid w:val="008F7337"/>
    <w:rsid w:val="009065A5"/>
    <w:rsid w:val="00907525"/>
    <w:rsid w:val="00910339"/>
    <w:rsid w:val="00911464"/>
    <w:rsid w:val="00915AD7"/>
    <w:rsid w:val="0091753B"/>
    <w:rsid w:val="0092586A"/>
    <w:rsid w:val="00930864"/>
    <w:rsid w:val="00932A12"/>
    <w:rsid w:val="0093492C"/>
    <w:rsid w:val="00946056"/>
    <w:rsid w:val="0095293D"/>
    <w:rsid w:val="009548A4"/>
    <w:rsid w:val="00956A7B"/>
    <w:rsid w:val="00957043"/>
    <w:rsid w:val="00967808"/>
    <w:rsid w:val="0097257E"/>
    <w:rsid w:val="0097372F"/>
    <w:rsid w:val="00974188"/>
    <w:rsid w:val="00977106"/>
    <w:rsid w:val="00980780"/>
    <w:rsid w:val="00980D7E"/>
    <w:rsid w:val="0098306B"/>
    <w:rsid w:val="0099079E"/>
    <w:rsid w:val="00991F3C"/>
    <w:rsid w:val="00992F2D"/>
    <w:rsid w:val="00996DB7"/>
    <w:rsid w:val="009A4BAC"/>
    <w:rsid w:val="009B2C8E"/>
    <w:rsid w:val="009B6114"/>
    <w:rsid w:val="009B619A"/>
    <w:rsid w:val="009C110F"/>
    <w:rsid w:val="009C1890"/>
    <w:rsid w:val="009C2A28"/>
    <w:rsid w:val="009C2ED5"/>
    <w:rsid w:val="009C6789"/>
    <w:rsid w:val="009C7D0B"/>
    <w:rsid w:val="009D2D4E"/>
    <w:rsid w:val="009D5D4C"/>
    <w:rsid w:val="009D6575"/>
    <w:rsid w:val="009D6F76"/>
    <w:rsid w:val="009D7B55"/>
    <w:rsid w:val="009E6507"/>
    <w:rsid w:val="009F23C4"/>
    <w:rsid w:val="009F2FA6"/>
    <w:rsid w:val="009F7541"/>
    <w:rsid w:val="00A10BF9"/>
    <w:rsid w:val="00A147F6"/>
    <w:rsid w:val="00A20403"/>
    <w:rsid w:val="00A20AAF"/>
    <w:rsid w:val="00A351AA"/>
    <w:rsid w:val="00A35AAF"/>
    <w:rsid w:val="00A35C1D"/>
    <w:rsid w:val="00A363B6"/>
    <w:rsid w:val="00A40F14"/>
    <w:rsid w:val="00A42231"/>
    <w:rsid w:val="00A46306"/>
    <w:rsid w:val="00A46BF5"/>
    <w:rsid w:val="00A56A82"/>
    <w:rsid w:val="00A56ADD"/>
    <w:rsid w:val="00A64AEF"/>
    <w:rsid w:val="00A6662F"/>
    <w:rsid w:val="00A677C7"/>
    <w:rsid w:val="00A83845"/>
    <w:rsid w:val="00A9022F"/>
    <w:rsid w:val="00A9409A"/>
    <w:rsid w:val="00A95297"/>
    <w:rsid w:val="00A95378"/>
    <w:rsid w:val="00A97527"/>
    <w:rsid w:val="00AA0A70"/>
    <w:rsid w:val="00AA6DD8"/>
    <w:rsid w:val="00AB1662"/>
    <w:rsid w:val="00AB208A"/>
    <w:rsid w:val="00AB2B0B"/>
    <w:rsid w:val="00AB4BE5"/>
    <w:rsid w:val="00AB5168"/>
    <w:rsid w:val="00AC0216"/>
    <w:rsid w:val="00AD108C"/>
    <w:rsid w:val="00AD4998"/>
    <w:rsid w:val="00AE025C"/>
    <w:rsid w:val="00AE1B30"/>
    <w:rsid w:val="00AE31C0"/>
    <w:rsid w:val="00AE479D"/>
    <w:rsid w:val="00AF001C"/>
    <w:rsid w:val="00AF2DFB"/>
    <w:rsid w:val="00B01992"/>
    <w:rsid w:val="00B02F38"/>
    <w:rsid w:val="00B054BC"/>
    <w:rsid w:val="00B06F30"/>
    <w:rsid w:val="00B10A9E"/>
    <w:rsid w:val="00B13E4A"/>
    <w:rsid w:val="00B14542"/>
    <w:rsid w:val="00B146E0"/>
    <w:rsid w:val="00B146E2"/>
    <w:rsid w:val="00B210FF"/>
    <w:rsid w:val="00B267F2"/>
    <w:rsid w:val="00B44F73"/>
    <w:rsid w:val="00B511C1"/>
    <w:rsid w:val="00B5286E"/>
    <w:rsid w:val="00B53846"/>
    <w:rsid w:val="00B53FC4"/>
    <w:rsid w:val="00B550AA"/>
    <w:rsid w:val="00B7001F"/>
    <w:rsid w:val="00B83C3C"/>
    <w:rsid w:val="00B849EE"/>
    <w:rsid w:val="00B84C51"/>
    <w:rsid w:val="00B84D02"/>
    <w:rsid w:val="00B854A9"/>
    <w:rsid w:val="00B85AC5"/>
    <w:rsid w:val="00B9217D"/>
    <w:rsid w:val="00B9776A"/>
    <w:rsid w:val="00BA0007"/>
    <w:rsid w:val="00BA2940"/>
    <w:rsid w:val="00BA428A"/>
    <w:rsid w:val="00BA4F82"/>
    <w:rsid w:val="00BB5043"/>
    <w:rsid w:val="00BB567C"/>
    <w:rsid w:val="00BC1671"/>
    <w:rsid w:val="00BC1C50"/>
    <w:rsid w:val="00BC27ED"/>
    <w:rsid w:val="00BD0420"/>
    <w:rsid w:val="00BF0964"/>
    <w:rsid w:val="00BF3F5F"/>
    <w:rsid w:val="00BF7EB9"/>
    <w:rsid w:val="00C00857"/>
    <w:rsid w:val="00C028AA"/>
    <w:rsid w:val="00C049A7"/>
    <w:rsid w:val="00C05AE1"/>
    <w:rsid w:val="00C07C23"/>
    <w:rsid w:val="00C13DC4"/>
    <w:rsid w:val="00C15CA4"/>
    <w:rsid w:val="00C16E53"/>
    <w:rsid w:val="00C277DF"/>
    <w:rsid w:val="00C33B2E"/>
    <w:rsid w:val="00C34192"/>
    <w:rsid w:val="00C431B4"/>
    <w:rsid w:val="00C475DE"/>
    <w:rsid w:val="00C60D91"/>
    <w:rsid w:val="00C72AB9"/>
    <w:rsid w:val="00C755BD"/>
    <w:rsid w:val="00C758E7"/>
    <w:rsid w:val="00C823EA"/>
    <w:rsid w:val="00C85F2D"/>
    <w:rsid w:val="00C86C59"/>
    <w:rsid w:val="00C871DF"/>
    <w:rsid w:val="00C91C5A"/>
    <w:rsid w:val="00C94627"/>
    <w:rsid w:val="00CA15CA"/>
    <w:rsid w:val="00CA4170"/>
    <w:rsid w:val="00CB38DA"/>
    <w:rsid w:val="00CC1100"/>
    <w:rsid w:val="00CC47C9"/>
    <w:rsid w:val="00CD3DAC"/>
    <w:rsid w:val="00CD6D9A"/>
    <w:rsid w:val="00CD7FF6"/>
    <w:rsid w:val="00CE7F2E"/>
    <w:rsid w:val="00CF2A44"/>
    <w:rsid w:val="00CF6F8D"/>
    <w:rsid w:val="00CF700E"/>
    <w:rsid w:val="00D00E92"/>
    <w:rsid w:val="00D02669"/>
    <w:rsid w:val="00D04DB4"/>
    <w:rsid w:val="00D0524E"/>
    <w:rsid w:val="00D055EC"/>
    <w:rsid w:val="00D05E92"/>
    <w:rsid w:val="00D14286"/>
    <w:rsid w:val="00D16750"/>
    <w:rsid w:val="00D20E99"/>
    <w:rsid w:val="00D26FC0"/>
    <w:rsid w:val="00D32BE8"/>
    <w:rsid w:val="00D34DA3"/>
    <w:rsid w:val="00D36EF5"/>
    <w:rsid w:val="00D37734"/>
    <w:rsid w:val="00D415E0"/>
    <w:rsid w:val="00D4353F"/>
    <w:rsid w:val="00D44728"/>
    <w:rsid w:val="00D45E2D"/>
    <w:rsid w:val="00D513F4"/>
    <w:rsid w:val="00D562FF"/>
    <w:rsid w:val="00D57F3E"/>
    <w:rsid w:val="00D643D8"/>
    <w:rsid w:val="00D6605B"/>
    <w:rsid w:val="00D72BB5"/>
    <w:rsid w:val="00D8215E"/>
    <w:rsid w:val="00D8251A"/>
    <w:rsid w:val="00D92502"/>
    <w:rsid w:val="00D92778"/>
    <w:rsid w:val="00D94FF2"/>
    <w:rsid w:val="00DA10DA"/>
    <w:rsid w:val="00DA2551"/>
    <w:rsid w:val="00DB2442"/>
    <w:rsid w:val="00DB481A"/>
    <w:rsid w:val="00DC0991"/>
    <w:rsid w:val="00DC5B78"/>
    <w:rsid w:val="00DC6ECF"/>
    <w:rsid w:val="00DE4EFE"/>
    <w:rsid w:val="00DE58A6"/>
    <w:rsid w:val="00DF09BA"/>
    <w:rsid w:val="00DF56C9"/>
    <w:rsid w:val="00DF79A2"/>
    <w:rsid w:val="00E03D17"/>
    <w:rsid w:val="00E04765"/>
    <w:rsid w:val="00E064ED"/>
    <w:rsid w:val="00E07356"/>
    <w:rsid w:val="00E156AC"/>
    <w:rsid w:val="00E2207F"/>
    <w:rsid w:val="00E237D3"/>
    <w:rsid w:val="00E30318"/>
    <w:rsid w:val="00E30409"/>
    <w:rsid w:val="00E32708"/>
    <w:rsid w:val="00E32B93"/>
    <w:rsid w:val="00E33AFD"/>
    <w:rsid w:val="00E4171E"/>
    <w:rsid w:val="00E42817"/>
    <w:rsid w:val="00E47741"/>
    <w:rsid w:val="00E5615F"/>
    <w:rsid w:val="00E56F80"/>
    <w:rsid w:val="00E60BE7"/>
    <w:rsid w:val="00E71C99"/>
    <w:rsid w:val="00E73383"/>
    <w:rsid w:val="00E7389A"/>
    <w:rsid w:val="00E74763"/>
    <w:rsid w:val="00E82E8E"/>
    <w:rsid w:val="00E873EE"/>
    <w:rsid w:val="00E9046E"/>
    <w:rsid w:val="00E951A7"/>
    <w:rsid w:val="00EA0FC9"/>
    <w:rsid w:val="00EA4717"/>
    <w:rsid w:val="00EA5418"/>
    <w:rsid w:val="00EB5E9B"/>
    <w:rsid w:val="00EC35EE"/>
    <w:rsid w:val="00EC3E6C"/>
    <w:rsid w:val="00ED00A0"/>
    <w:rsid w:val="00ED0A94"/>
    <w:rsid w:val="00ED2BCE"/>
    <w:rsid w:val="00EE2126"/>
    <w:rsid w:val="00EE46FB"/>
    <w:rsid w:val="00EF6FAB"/>
    <w:rsid w:val="00F02BE3"/>
    <w:rsid w:val="00F0469C"/>
    <w:rsid w:val="00F054B5"/>
    <w:rsid w:val="00F0674B"/>
    <w:rsid w:val="00F11403"/>
    <w:rsid w:val="00F17C0D"/>
    <w:rsid w:val="00F225BF"/>
    <w:rsid w:val="00F24AC0"/>
    <w:rsid w:val="00F36D24"/>
    <w:rsid w:val="00F4423D"/>
    <w:rsid w:val="00F45028"/>
    <w:rsid w:val="00F6383F"/>
    <w:rsid w:val="00F66810"/>
    <w:rsid w:val="00F73FCD"/>
    <w:rsid w:val="00F755D0"/>
    <w:rsid w:val="00F80B1A"/>
    <w:rsid w:val="00F93B3D"/>
    <w:rsid w:val="00F9548A"/>
    <w:rsid w:val="00FA148B"/>
    <w:rsid w:val="00FA7304"/>
    <w:rsid w:val="00FA7968"/>
    <w:rsid w:val="00FB1010"/>
    <w:rsid w:val="00FB5E77"/>
    <w:rsid w:val="00FC0429"/>
    <w:rsid w:val="00FC0C6F"/>
    <w:rsid w:val="00FC1D00"/>
    <w:rsid w:val="00FC6ACF"/>
    <w:rsid w:val="00FD59C5"/>
    <w:rsid w:val="00FD5A63"/>
    <w:rsid w:val="00FD7DDE"/>
    <w:rsid w:val="00FE1CFB"/>
    <w:rsid w:val="00FE723B"/>
    <w:rsid w:val="00FF3226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9"/>
        <o:r id="V:Rule2" type="connector" idref="#_x0000_s1059"/>
        <o:r id="V:Rule3" type="connector" idref="#_x0000_s1053"/>
        <o:r id="V:Rule4" type="connector" idref="#_x0000_s1063"/>
        <o:r id="V:Rule5" type="connector" idref="#_x0000_s1061"/>
        <o:r id="V:Rule6" type="connector" idref="#_x0000_s1047"/>
        <o:r id="V:Rule7" type="connector" idref="#_x0000_s1057"/>
        <o:r id="V:Rule8" type="connector" idref="#_x0000_s1055"/>
      </o:rules>
    </o:shapelayout>
  </w:shapeDefaults>
  <w:decimalSymbol w:val="."/>
  <w:listSeparator w:val=","/>
  <w14:docId w14:val="46DED39A"/>
  <w15:docId w15:val="{50DD2FEE-2752-45C1-A222-4B52CD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23F45-30DC-4E63-8ADC-8CD24323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18</Pages>
  <Words>1964</Words>
  <Characters>10804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384</cp:revision>
  <cp:lastPrinted>2021-01-06T16:46:00Z</cp:lastPrinted>
  <dcterms:created xsi:type="dcterms:W3CDTF">2014-08-29T13:13:00Z</dcterms:created>
  <dcterms:modified xsi:type="dcterms:W3CDTF">2021-04-06T18:45:00Z</dcterms:modified>
</cp:coreProperties>
</file>