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2815CD" w:rsidRDefault="002815CD" w:rsidP="002815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2815CD">
        <w:rPr>
          <w:rFonts w:ascii="Arial" w:hAnsi="Arial" w:cs="Arial"/>
          <w:b/>
          <w:sz w:val="18"/>
          <w:szCs w:val="18"/>
        </w:rPr>
        <w:t>Introducción</w:t>
      </w:r>
    </w:p>
    <w:p w:rsidR="002815CD" w:rsidRPr="00EF2519" w:rsidRDefault="002815CD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2815CD" w:rsidRPr="005061F3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6F0BF2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lastRenderedPageBreak/>
        <w:t>Información Pres</w:t>
      </w:r>
      <w:r w:rsidR="002815CD">
        <w:rPr>
          <w:rFonts w:ascii="Arial" w:hAnsi="Arial" w:cs="Arial"/>
          <w:b/>
          <w:sz w:val="18"/>
          <w:szCs w:val="18"/>
        </w:rPr>
        <w:t>upuestal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3C0669" w:rsidRDefault="003C0669" w:rsidP="003C066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3C0669" w:rsidRDefault="003C0669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 desagregado por concepto y estado de egresos desagregado por partida, del periodo</w:t>
      </w:r>
    </w:p>
    <w:p w:rsidR="003C0669" w:rsidRPr="003C0669" w:rsidRDefault="003C0669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Reporte de Avance físico-financiero de Programas </w:t>
      </w:r>
      <w:r w:rsidRPr="003C0669">
        <w:rPr>
          <w:rFonts w:ascii="Arial" w:hAnsi="Arial" w:cs="Arial"/>
          <w:b/>
          <w:sz w:val="18"/>
          <w:szCs w:val="18"/>
        </w:rPr>
        <w:t>(Este se encuentra relacionado en el apartado 4. Información Programática)</w:t>
      </w:r>
    </w:p>
    <w:p w:rsidR="003C0669" w:rsidRDefault="003C0669" w:rsidP="003A443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3C0669">
        <w:rPr>
          <w:rFonts w:ascii="Arial" w:hAnsi="Arial" w:cs="Arial"/>
          <w:sz w:val="18"/>
          <w:szCs w:val="18"/>
        </w:rPr>
        <w:t xml:space="preserve">Avance del Programa Operativo Anual </w:t>
      </w:r>
    </w:p>
    <w:p w:rsidR="003C0669" w:rsidRPr="003C0669" w:rsidRDefault="003C0669" w:rsidP="003A443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Inventario de Bienes Muebles, Inmuebles e Intangibles, codificado, clasificado y cuantificado </w:t>
      </w:r>
      <w:r w:rsidRPr="003C0669">
        <w:rPr>
          <w:rFonts w:ascii="Arial" w:hAnsi="Arial" w:cs="Arial"/>
          <w:b/>
          <w:sz w:val="18"/>
          <w:szCs w:val="18"/>
        </w:rPr>
        <w:t>(Este se encuentra relacionado en el inciso a del apartado 5. Anexos)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3C0669" w:rsidRDefault="003C0669" w:rsidP="003C066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lastRenderedPageBreak/>
        <w:t>Formatos de Ley de Disciplina Financiera</w:t>
      </w:r>
    </w:p>
    <w:p w:rsidR="002815CD" w:rsidRPr="0010497C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Detallado (Clasificación de Servicios Personales por Categoría) </w:t>
      </w: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sectPr w:rsidR="006F0BF2" w:rsidRPr="006F0BF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FE" w:rsidRDefault="005E63FE" w:rsidP="00EA5418">
      <w:pPr>
        <w:spacing w:after="0" w:line="240" w:lineRule="auto"/>
      </w:pPr>
      <w:r>
        <w:separator/>
      </w:r>
    </w:p>
  </w:endnote>
  <w:endnote w:type="continuationSeparator" w:id="0">
    <w:p w:rsidR="005E63FE" w:rsidRDefault="005E63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16C21" w:rsidRPr="00E16C2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16C21" w:rsidRPr="00E16C2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FE" w:rsidRDefault="005E63FE" w:rsidP="00EA5418">
      <w:pPr>
        <w:spacing w:after="0" w:line="240" w:lineRule="auto"/>
      </w:pPr>
      <w:r>
        <w:separator/>
      </w:r>
    </w:p>
  </w:footnote>
  <w:footnote w:type="continuationSeparator" w:id="0">
    <w:p w:rsidR="005E63FE" w:rsidRDefault="005E63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E416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D43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E416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D43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B4E65070"/>
    <w:lvl w:ilvl="0" w:tplc="4A922C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0F768240"/>
    <w:lvl w:ilvl="0" w:tplc="426C8B3E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5791E"/>
    <w:rsid w:val="001646D9"/>
    <w:rsid w:val="001845F5"/>
    <w:rsid w:val="001B1B72"/>
    <w:rsid w:val="001D6C2C"/>
    <w:rsid w:val="0024398C"/>
    <w:rsid w:val="002623A4"/>
    <w:rsid w:val="00265D8B"/>
    <w:rsid w:val="00276526"/>
    <w:rsid w:val="002815CD"/>
    <w:rsid w:val="002865A7"/>
    <w:rsid w:val="002A70B3"/>
    <w:rsid w:val="002E5897"/>
    <w:rsid w:val="002F35CA"/>
    <w:rsid w:val="00307635"/>
    <w:rsid w:val="00311AB8"/>
    <w:rsid w:val="0032150D"/>
    <w:rsid w:val="00327AFF"/>
    <w:rsid w:val="00347633"/>
    <w:rsid w:val="00355821"/>
    <w:rsid w:val="003575A4"/>
    <w:rsid w:val="003610E0"/>
    <w:rsid w:val="00361D5B"/>
    <w:rsid w:val="00372F40"/>
    <w:rsid w:val="00374DDE"/>
    <w:rsid w:val="003A2C21"/>
    <w:rsid w:val="003B0767"/>
    <w:rsid w:val="003C0669"/>
    <w:rsid w:val="003D5DBF"/>
    <w:rsid w:val="003E7FD0"/>
    <w:rsid w:val="0044253C"/>
    <w:rsid w:val="00466A11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5E63FE"/>
    <w:rsid w:val="006048D2"/>
    <w:rsid w:val="00611E39"/>
    <w:rsid w:val="00647057"/>
    <w:rsid w:val="00661474"/>
    <w:rsid w:val="0069332B"/>
    <w:rsid w:val="006B729B"/>
    <w:rsid w:val="006D3565"/>
    <w:rsid w:val="006E6B8E"/>
    <w:rsid w:val="006E77DD"/>
    <w:rsid w:val="006F0BF2"/>
    <w:rsid w:val="006F10E0"/>
    <w:rsid w:val="00706990"/>
    <w:rsid w:val="0077082A"/>
    <w:rsid w:val="0079582C"/>
    <w:rsid w:val="007A2EF2"/>
    <w:rsid w:val="007D4EC4"/>
    <w:rsid w:val="007D6E9A"/>
    <w:rsid w:val="008022BA"/>
    <w:rsid w:val="00821CE9"/>
    <w:rsid w:val="00850E90"/>
    <w:rsid w:val="00882DDC"/>
    <w:rsid w:val="008A6E4D"/>
    <w:rsid w:val="008B0017"/>
    <w:rsid w:val="008C3575"/>
    <w:rsid w:val="008D4272"/>
    <w:rsid w:val="008E3652"/>
    <w:rsid w:val="00914208"/>
    <w:rsid w:val="00933333"/>
    <w:rsid w:val="009506B4"/>
    <w:rsid w:val="009508C9"/>
    <w:rsid w:val="00952E76"/>
    <w:rsid w:val="009D076A"/>
    <w:rsid w:val="009D4346"/>
    <w:rsid w:val="00A14B74"/>
    <w:rsid w:val="00A56D1D"/>
    <w:rsid w:val="00AB13B7"/>
    <w:rsid w:val="00AC3699"/>
    <w:rsid w:val="00B17358"/>
    <w:rsid w:val="00B17423"/>
    <w:rsid w:val="00B42A02"/>
    <w:rsid w:val="00B849EE"/>
    <w:rsid w:val="00BF7D42"/>
    <w:rsid w:val="00C44F01"/>
    <w:rsid w:val="00C509E7"/>
    <w:rsid w:val="00C538C5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D230F"/>
    <w:rsid w:val="00E16C21"/>
    <w:rsid w:val="00E32708"/>
    <w:rsid w:val="00E373B3"/>
    <w:rsid w:val="00E41610"/>
    <w:rsid w:val="00E518A9"/>
    <w:rsid w:val="00E623C3"/>
    <w:rsid w:val="00E64B2D"/>
    <w:rsid w:val="00E832F2"/>
    <w:rsid w:val="00E94F1E"/>
    <w:rsid w:val="00EA5418"/>
    <w:rsid w:val="00EC55B6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4B9D-8164-4652-B8E4-5AFD44EE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</cp:revision>
  <cp:lastPrinted>2018-04-05T17:29:00Z</cp:lastPrinted>
  <dcterms:created xsi:type="dcterms:W3CDTF">2021-04-06T23:12:00Z</dcterms:created>
  <dcterms:modified xsi:type="dcterms:W3CDTF">2021-04-06T23:12:00Z</dcterms:modified>
</cp:coreProperties>
</file>