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11266C" w:rsidP="00460944">
      <w:pPr>
        <w:ind w:right="-1062"/>
        <w:jc w:val="center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65pt;height:419.1pt" o:ole="">
            <v:imagedata r:id="rId8" o:title=""/>
          </v:shape>
          <o:OLEObject Type="Embed" ProgID="Excel.Sheet.12" ShapeID="_x0000_i1025" DrawAspect="Content" ObjectID="_1695474220" r:id="rId9"/>
        </w:object>
      </w:r>
    </w:p>
    <w:bookmarkStart w:id="1" w:name="_MON_1592735719"/>
    <w:bookmarkEnd w:id="1"/>
    <w:p w:rsidR="00A06F69" w:rsidRDefault="0011266C" w:rsidP="00460944">
      <w:pPr>
        <w:ind w:right="-1062"/>
        <w:jc w:val="center"/>
      </w:pPr>
      <w:r>
        <w:rPr>
          <w:b/>
          <w:bCs/>
          <w:lang w:val="es-ES"/>
        </w:rPr>
        <w:object w:dxaOrig="23460" w:dyaOrig="20175">
          <v:shape id="_x0000_i1026" type="#_x0000_t75" style="width:627.6pt;height:418.55pt" o:ole="">
            <v:imagedata r:id="rId10" o:title=""/>
          </v:shape>
          <o:OLEObject Type="Embed" ProgID="Excel.Sheet.12" ShapeID="_x0000_i1026" DrawAspect="Content" ObjectID="_1695474221" r:id="rId11"/>
        </w:object>
      </w:r>
    </w:p>
    <w:p w:rsidR="00DA308C" w:rsidRDefault="00DA308C" w:rsidP="004C12BB">
      <w:pPr>
        <w:jc w:val="center"/>
      </w:pPr>
    </w:p>
    <w:p w:rsidR="00DA308C" w:rsidRDefault="0084567F" w:rsidP="004C12BB">
      <w:pPr>
        <w:jc w:val="center"/>
      </w:pPr>
      <w:bookmarkStart w:id="2" w:name="_GoBack"/>
      <w:r>
        <w:rPr>
          <w:noProof/>
        </w:rPr>
        <w:object w:dxaOrig="1440" w:dyaOrig="1440">
          <v:shape id="_x0000_s1183" type="#_x0000_t75" style="position:absolute;left:0;text-align:left;margin-left:-8.2pt;margin-top:29.2pt;width:757.6pt;height:347.35pt;z-index:251689984;mso-position-horizontal-relative:text;mso-position-vertical-relative:text">
            <v:imagedata r:id="rId12" o:title=""/>
            <w10:wrap type="square" side="right"/>
          </v:shape>
          <o:OLEObject Type="Embed" ProgID="Excel.Sheet.12" ShapeID="_x0000_s1183" DrawAspect="Content" ObjectID="_1695474225" r:id="rId13"/>
        </w:object>
      </w:r>
      <w:bookmarkEnd w:id="2"/>
    </w:p>
    <w:p w:rsidR="00DA308C" w:rsidRDefault="00DA308C" w:rsidP="004C12BB">
      <w:pPr>
        <w:jc w:val="center"/>
      </w:pPr>
    </w:p>
    <w:p w:rsidR="00DA308C" w:rsidRDefault="00DA308C" w:rsidP="004C12BB">
      <w:pPr>
        <w:jc w:val="center"/>
      </w:pPr>
    </w:p>
    <w:p w:rsidR="00DA308C" w:rsidRDefault="000B0C6D" w:rsidP="004C12BB">
      <w:pPr>
        <w:jc w:val="center"/>
      </w:pPr>
      <w:bookmarkStart w:id="3" w:name="_MON_1470807348"/>
      <w:bookmarkEnd w:id="3"/>
      <w:r>
        <w:t xml:space="preserve">           </w:t>
      </w:r>
    </w:p>
    <w:p w:rsidR="00DA308C" w:rsidRDefault="0084567F" w:rsidP="004C12BB">
      <w:pPr>
        <w:jc w:val="center"/>
      </w:pPr>
      <w:r>
        <w:rPr>
          <w:noProof/>
        </w:rPr>
        <w:object w:dxaOrig="1440" w:dyaOrig="1440">
          <v:shape id="_x0000_s1170" type="#_x0000_t75" style="position:absolute;left:0;text-align:left;margin-left:11.95pt;margin-top:-377.35pt;width:715.15pt;height:321.2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95474226" r:id="rId15"/>
        </w:object>
      </w:r>
    </w:p>
    <w:bookmarkStart w:id="4" w:name="_MON_1470809138"/>
    <w:bookmarkEnd w:id="4"/>
    <w:p w:rsidR="00E32708" w:rsidRDefault="00880E7D" w:rsidP="004C12BB">
      <w:pPr>
        <w:jc w:val="center"/>
      </w:pPr>
      <w:r>
        <w:object w:dxaOrig="17805" w:dyaOrig="12354">
          <v:shape id="_x0000_i1029" type="#_x0000_t75" style="width:721.05pt;height:408.35pt" o:ole="">
            <v:imagedata r:id="rId16" o:title=""/>
          </v:shape>
          <o:OLEObject Type="Embed" ProgID="Excel.Sheet.12" ShapeID="_x0000_i1029" DrawAspect="Content" ObjectID="_1695474222" r:id="rId17"/>
        </w:object>
      </w:r>
      <w:bookmarkStart w:id="5" w:name="_MON_1553862292"/>
      <w:bookmarkStart w:id="6" w:name="_MON_1553862361"/>
      <w:bookmarkStart w:id="7" w:name="_MON_1553862398"/>
      <w:bookmarkStart w:id="8" w:name="_MON_1553862467"/>
      <w:bookmarkEnd w:id="5"/>
      <w:bookmarkEnd w:id="6"/>
      <w:bookmarkEnd w:id="7"/>
      <w:bookmarkEnd w:id="8"/>
      <w:bookmarkStart w:id="9" w:name="_MON_1470814596"/>
      <w:bookmarkEnd w:id="9"/>
      <w:r w:rsidR="0011266C">
        <w:rPr>
          <w:b/>
          <w:bCs/>
          <w:lang w:val="es-ES"/>
        </w:rPr>
        <w:object w:dxaOrig="19479" w:dyaOrig="9336">
          <v:shape id="_x0000_i1030" type="#_x0000_t75" style="width:689.35pt;height:407.8pt" o:ole="">
            <v:imagedata r:id="rId18" o:title=""/>
          </v:shape>
          <o:OLEObject Type="Embed" ProgID="Excel.Sheet.12" ShapeID="_x0000_i1030" DrawAspect="Content" ObjectID="_1695474223" r:id="rId19"/>
        </w:object>
      </w:r>
      <w:bookmarkStart w:id="10" w:name="_MON_1553862534"/>
      <w:bookmarkEnd w:id="10"/>
      <w:bookmarkStart w:id="11" w:name="_MON_1470810366"/>
      <w:bookmarkEnd w:id="11"/>
      <w:r w:rsidR="006A2E69">
        <w:rPr>
          <w:lang w:val="es-ES"/>
        </w:rPr>
        <w:object w:dxaOrig="25922" w:dyaOrig="16990">
          <v:shape id="_x0000_i1031" type="#_x0000_t75" style="width:749pt;height:416.95pt" o:ole="">
            <v:imagedata r:id="rId20" o:title=""/>
          </v:shape>
          <o:OLEObject Type="Embed" ProgID="Excel.Sheet.12" ShapeID="_x0000_i1031" DrawAspect="Content" ObjectID="_1695474224" r:id="rId21"/>
        </w:object>
      </w:r>
    </w:p>
    <w:p w:rsidR="00372F40" w:rsidRDefault="00372F40"/>
    <w:p w:rsidR="007824AA" w:rsidRDefault="007824AA" w:rsidP="007824AA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Informe de Pasivos Contingentes</w:t>
      </w:r>
    </w:p>
    <w:p w:rsidR="007824AA" w:rsidRDefault="007824AA" w:rsidP="007824AA">
      <w:pPr>
        <w:rPr>
          <w:rFonts w:ascii="Courier New" w:hAnsi="Courier New" w:cs="Courier New"/>
        </w:rPr>
      </w:pPr>
    </w:p>
    <w:p w:rsidR="007824AA" w:rsidRDefault="007824AA" w:rsidP="007824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 Tribunal Electoral tiene pasivos conti</w:t>
      </w:r>
      <w:r w:rsidR="00BB6251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gentes, siendo el “Fondo de Haber del Retiro a Funcionarios” (por conclusión de cargo de Magistrado), por la cantidad de $371,686.00 (Trescientos setenta y un mil seiscientos ochenta y seis pesos 00/100 m.n.) y el “Fondo de Liquidación al personal” por la cantidad de $</w:t>
      </w:r>
      <w:r w:rsidR="000017FD">
        <w:rPr>
          <w:rFonts w:ascii="Courier New" w:hAnsi="Courier New" w:cs="Courier New"/>
        </w:rPr>
        <w:t>1,858</w:t>
      </w:r>
      <w:r>
        <w:rPr>
          <w:rFonts w:ascii="Courier New" w:hAnsi="Courier New" w:cs="Courier New"/>
        </w:rPr>
        <w:t>.00 (</w:t>
      </w:r>
      <w:r w:rsidR="000017FD">
        <w:rPr>
          <w:rFonts w:ascii="Courier New" w:hAnsi="Courier New" w:cs="Courier New"/>
        </w:rPr>
        <w:t>mil ochocientos cincuenta y ocho</w:t>
      </w:r>
      <w:r>
        <w:rPr>
          <w:rFonts w:ascii="Courier New" w:hAnsi="Courier New" w:cs="Courier New"/>
        </w:rPr>
        <w:t xml:space="preserve"> pesos 00/100 m.n.</w:t>
      </w:r>
      <w:r w:rsidR="00176A5D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 xml:space="preserve">dando un total de $ </w:t>
      </w:r>
      <w:r w:rsidR="00870F6E">
        <w:rPr>
          <w:rFonts w:ascii="Courier New" w:hAnsi="Courier New" w:cs="Courier New"/>
        </w:rPr>
        <w:t>373,544</w:t>
      </w:r>
      <w:r>
        <w:rPr>
          <w:rFonts w:ascii="Courier New" w:hAnsi="Courier New" w:cs="Courier New"/>
        </w:rPr>
        <w:t>.00 (</w:t>
      </w:r>
      <w:r w:rsidR="00870F6E">
        <w:rPr>
          <w:rFonts w:ascii="Courier New" w:hAnsi="Courier New" w:cs="Courier New"/>
        </w:rPr>
        <w:t xml:space="preserve">trescientos setenta </w:t>
      </w:r>
      <w:r w:rsidR="00F84B96">
        <w:rPr>
          <w:rFonts w:ascii="Courier New" w:hAnsi="Courier New" w:cs="Courier New"/>
        </w:rPr>
        <w:t>y tres mil quinientos cuarenta y cuatro</w:t>
      </w:r>
      <w:r>
        <w:rPr>
          <w:rFonts w:ascii="Courier New" w:hAnsi="Courier New" w:cs="Courier New"/>
        </w:rPr>
        <w:t xml:space="preserve"> pesos 00/100 m.n.) por ambos fondos, con fundamento en el artículo 11 fracciones XXIII y XXV, de la Ley Orgánica del Tribunal Electoral de Tlaxcala, recurso que corresponde</w:t>
      </w:r>
      <w:r w:rsidR="00395FA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a</w:t>
      </w:r>
      <w:r w:rsidR="009E543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9E543C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 xml:space="preserve"> ejercicio</w:t>
      </w:r>
      <w:r w:rsidR="00395FA9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fiscal</w:t>
      </w:r>
      <w:r w:rsidR="00395FA9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20</w:t>
      </w:r>
      <w:r w:rsidR="00176A5D">
        <w:rPr>
          <w:rFonts w:ascii="Courier New" w:hAnsi="Courier New" w:cs="Courier New"/>
        </w:rPr>
        <w:t>19 y 2020</w:t>
      </w:r>
      <w:r>
        <w:rPr>
          <w:rFonts w:ascii="Courier New" w:hAnsi="Courier New" w:cs="Courier New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176A5D" w:rsidRDefault="00176A5D" w:rsidP="006D0FEA">
      <w:pPr>
        <w:jc w:val="center"/>
        <w:rPr>
          <w:rFonts w:ascii="Courier New" w:hAnsi="Courier New" w:cs="Courier New"/>
          <w:b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511FF6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511FF6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511FF6">
        <w:rPr>
          <w:rFonts w:ascii="Courier New" w:hAnsi="Courier New" w:cs="Courier New"/>
          <w:sz w:val="22"/>
          <w:szCs w:val="22"/>
          <w:lang w:val="es-MX"/>
        </w:rPr>
        <w:tab/>
        <w:t xml:space="preserve">El monto reflejado al mes de </w:t>
      </w:r>
      <w:r w:rsidR="00B52B49">
        <w:rPr>
          <w:rFonts w:ascii="Courier New" w:hAnsi="Courier New" w:cs="Courier New"/>
          <w:sz w:val="22"/>
          <w:szCs w:val="22"/>
          <w:lang w:val="es-MX"/>
        </w:rPr>
        <w:t xml:space="preserve">septiembre </w:t>
      </w:r>
      <w:r w:rsidRPr="00511FF6">
        <w:rPr>
          <w:rFonts w:ascii="Courier New" w:hAnsi="Courier New" w:cs="Courier New"/>
          <w:sz w:val="22"/>
          <w:szCs w:val="22"/>
          <w:lang w:val="es-MX"/>
        </w:rPr>
        <w:t>es de $</w:t>
      </w:r>
      <w:r w:rsidR="003876F1">
        <w:rPr>
          <w:rFonts w:ascii="Courier New" w:hAnsi="Courier New" w:cs="Courier New"/>
          <w:sz w:val="22"/>
          <w:szCs w:val="22"/>
          <w:lang w:val="es-MX"/>
        </w:rPr>
        <w:t>607,778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pesos, saldo que se tiene reflejado en la cuenta de cheques a nombre del Tribunal Electoral de Tlaxcala, mismos que se aplicarán para la operatividad administrativa, en los rubros de servicios personales, 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materiales y 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suministros,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 así como en el pago de </w:t>
      </w:r>
      <w:r w:rsidRPr="00511FF6">
        <w:rPr>
          <w:rFonts w:ascii="Courier New" w:hAnsi="Courier New" w:cs="Courier New"/>
          <w:sz w:val="22"/>
          <w:szCs w:val="22"/>
          <w:lang w:val="es-MX"/>
        </w:rPr>
        <w:t>servicios generales.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511FF6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 a Recibir</w:t>
      </w:r>
    </w:p>
    <w:p w:rsidR="008F7FE4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cuenta con </w:t>
      </w:r>
      <w:r w:rsidR="00B04CBB">
        <w:rPr>
          <w:rFonts w:ascii="Courier New" w:hAnsi="Courier New" w:cs="Courier New"/>
          <w:sz w:val="22"/>
          <w:szCs w:val="22"/>
          <w:lang w:val="es-MX"/>
        </w:rPr>
        <w:t>la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disponi</w:t>
      </w:r>
      <w:r w:rsidR="00B04CBB">
        <w:rPr>
          <w:rFonts w:ascii="Courier New" w:hAnsi="Courier New" w:cs="Courier New"/>
          <w:sz w:val="22"/>
          <w:szCs w:val="22"/>
          <w:lang w:val="es-MX"/>
        </w:rPr>
        <w:t xml:space="preserve">bilidad </w:t>
      </w:r>
      <w:r w:rsidR="00327333">
        <w:rPr>
          <w:rFonts w:ascii="Courier New" w:hAnsi="Courier New" w:cs="Courier New"/>
          <w:sz w:val="22"/>
          <w:szCs w:val="22"/>
          <w:lang w:val="es-MX"/>
        </w:rPr>
        <w:t>en inversiones por la cantidad de $</w:t>
      </w:r>
      <w:r w:rsidR="00284B47">
        <w:rPr>
          <w:rFonts w:ascii="Courier New" w:hAnsi="Courier New" w:cs="Courier New"/>
          <w:sz w:val="22"/>
          <w:szCs w:val="22"/>
          <w:lang w:val="es-MX"/>
        </w:rPr>
        <w:t>6,</w:t>
      </w:r>
      <w:r w:rsidR="003876F1">
        <w:rPr>
          <w:rFonts w:ascii="Courier New" w:hAnsi="Courier New" w:cs="Courier New"/>
          <w:sz w:val="22"/>
          <w:szCs w:val="22"/>
          <w:lang w:val="es-MX"/>
        </w:rPr>
        <w:t>747,675.00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B5A4A">
        <w:rPr>
          <w:rFonts w:ascii="Courier New" w:hAnsi="Courier New" w:cs="Courier New"/>
          <w:sz w:val="22"/>
          <w:szCs w:val="22"/>
          <w:lang w:val="es-MX"/>
        </w:rPr>
        <w:t>recurso que es integrado</w:t>
      </w:r>
      <w:r w:rsidR="008F7FE4">
        <w:rPr>
          <w:rFonts w:ascii="Courier New" w:hAnsi="Courier New" w:cs="Courier New"/>
          <w:sz w:val="22"/>
          <w:szCs w:val="22"/>
          <w:lang w:val="es-MX"/>
        </w:rPr>
        <w:t xml:space="preserve"> de la siguiente manera:</w:t>
      </w:r>
    </w:p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7"/>
        <w:gridCol w:w="1669"/>
        <w:gridCol w:w="1933"/>
        <w:gridCol w:w="1801"/>
        <w:gridCol w:w="1933"/>
        <w:gridCol w:w="5221"/>
      </w:tblGrid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Importe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</w:t>
            </w:r>
            <w:r w:rsidR="00360834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inicial 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acumulado al trimestre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2021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Rendimientos del </w:t>
            </w:r>
            <w:r w:rsidR="003876F1">
              <w:rPr>
                <w:rFonts w:ascii="Courier New" w:hAnsi="Courier New" w:cs="Courier New"/>
                <w:sz w:val="22"/>
                <w:szCs w:val="22"/>
                <w:lang w:val="es-MX"/>
              </w:rPr>
              <w:t>3er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trimestre</w:t>
            </w:r>
            <w:r w:rsidR="007652B2">
              <w:rPr>
                <w:rFonts w:ascii="Courier New" w:hAnsi="Courier New" w:cs="Courier New"/>
                <w:sz w:val="22"/>
                <w:szCs w:val="22"/>
                <w:lang w:val="es-MX"/>
              </w:rPr>
              <w:t>/e incremento de inversión</w:t>
            </w:r>
          </w:p>
        </w:tc>
        <w:tc>
          <w:tcPr>
            <w:tcW w:w="1621" w:type="dxa"/>
          </w:tcPr>
          <w:p w:rsidR="006A5EFF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Saldo al trimestre</w:t>
            </w:r>
          </w:p>
        </w:tc>
        <w:tc>
          <w:tcPr>
            <w:tcW w:w="5665" w:type="dxa"/>
          </w:tcPr>
          <w:p w:rsidR="006A5EFF" w:rsidRDefault="006A5EFF" w:rsidP="00B04CBB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Comentarios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2019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6A5EFF">
              <w:rPr>
                <w:rFonts w:ascii="Courier New" w:hAnsi="Courier New" w:cs="Courier New"/>
                <w:sz w:val="22"/>
                <w:szCs w:val="22"/>
                <w:lang w:val="es-MX"/>
              </w:rPr>
              <w:t>5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 w:rsidR="003876F1">
              <w:rPr>
                <w:rFonts w:ascii="Courier New" w:hAnsi="Courier New" w:cs="Courier New"/>
                <w:sz w:val="22"/>
                <w:szCs w:val="22"/>
                <w:lang w:val="es-MX"/>
              </w:rPr>
              <w:t>,302.00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 w:rsidR="00902724">
              <w:rPr>
                <w:rFonts w:ascii="Courier New" w:hAnsi="Courier New" w:cs="Courier New"/>
                <w:sz w:val="22"/>
                <w:szCs w:val="22"/>
                <w:lang w:val="es-MX"/>
              </w:rPr>
              <w:t>86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</w:tc>
        <w:tc>
          <w:tcPr>
            <w:tcW w:w="162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6A5EFF">
              <w:rPr>
                <w:rFonts w:ascii="Courier New" w:hAnsi="Courier New" w:cs="Courier New"/>
                <w:sz w:val="22"/>
                <w:szCs w:val="22"/>
                <w:lang w:val="es-MX"/>
              </w:rPr>
              <w:t>52,</w:t>
            </w:r>
            <w:r w:rsidR="00902724">
              <w:rPr>
                <w:rFonts w:ascii="Courier New" w:hAnsi="Courier New" w:cs="Courier New"/>
                <w:sz w:val="22"/>
                <w:szCs w:val="22"/>
                <w:lang w:val="es-MX"/>
              </w:rPr>
              <w:t>588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</w:tc>
        <w:tc>
          <w:tcPr>
            <w:tcW w:w="5665" w:type="dxa"/>
          </w:tcPr>
          <w:p w:rsidR="006A5EFF" w:rsidRPr="00511FF6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Recurso que corresponde al haber de retiro</w:t>
            </w:r>
            <w:r w:rsidR="00B04CBB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2019.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2020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902724">
              <w:rPr>
                <w:rFonts w:ascii="Courier New" w:hAnsi="Courier New" w:cs="Courier New"/>
                <w:sz w:val="22"/>
                <w:szCs w:val="22"/>
                <w:lang w:val="es-MX"/>
              </w:rPr>
              <w:t>592,839.00</w:t>
            </w:r>
          </w:p>
          <w:p w:rsidR="00902724" w:rsidRDefault="00902724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902724">
              <w:rPr>
                <w:rFonts w:ascii="Courier New" w:hAnsi="Courier New" w:cs="Courier New"/>
                <w:sz w:val="22"/>
                <w:szCs w:val="22"/>
                <w:lang w:val="es-MX"/>
              </w:rPr>
              <w:t>2,388.00</w:t>
            </w:r>
          </w:p>
        </w:tc>
        <w:tc>
          <w:tcPr>
            <w:tcW w:w="1621" w:type="dxa"/>
          </w:tcPr>
          <w:p w:rsidR="006A5EFF" w:rsidRDefault="00201B57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4E1DA6">
              <w:rPr>
                <w:rFonts w:ascii="Courier New" w:hAnsi="Courier New" w:cs="Courier New"/>
                <w:sz w:val="22"/>
                <w:szCs w:val="22"/>
                <w:lang w:val="es-MX"/>
              </w:rPr>
              <w:t>361,323.00</w:t>
            </w:r>
          </w:p>
        </w:tc>
        <w:tc>
          <w:tcPr>
            <w:tcW w:w="5665" w:type="dxa"/>
          </w:tcPr>
          <w:p w:rsidR="006A5EFF" w:rsidRPr="00511FF6" w:rsidRDefault="00B04CBB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El recurso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inicial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de inversión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C86926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está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integrado en 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$233,902.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para pago de pasivo por el desarrollo del sistema de juicio en línea y la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cantidad de $</w:t>
            </w:r>
            <w:r w:rsidR="00D90CF9">
              <w:rPr>
                <w:rFonts w:ascii="Courier New" w:hAnsi="Courier New" w:cs="Courier New"/>
                <w:sz w:val="20"/>
                <w:szCs w:val="22"/>
                <w:lang w:val="es-MX"/>
              </w:rPr>
              <w:t>354,304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al Fondo de Haber del retiro 2020</w:t>
            </w:r>
            <w:r w:rsidR="00F0382B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y Fondo de liqui</w:t>
            </w:r>
            <w:r w:rsidR="00E90C02">
              <w:rPr>
                <w:rFonts w:ascii="Courier New" w:hAnsi="Courier New" w:cs="Courier New"/>
                <w:sz w:val="20"/>
                <w:szCs w:val="22"/>
                <w:lang w:val="es-MX"/>
              </w:rPr>
              <w:t>dación al personal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, así como los rendimientos generados durante el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primer y segundo trimestre</w:t>
            </w:r>
            <w:r w:rsidR="004848F2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de 2021</w:t>
            </w:r>
            <w:r w:rsidR="004E1DA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D90CF9">
              <w:rPr>
                <w:rFonts w:ascii="Courier New" w:hAnsi="Courier New" w:cs="Courier New"/>
                <w:sz w:val="20"/>
                <w:szCs w:val="22"/>
                <w:lang w:val="es-MX"/>
              </w:rPr>
              <w:t>por $4,632.0</w:t>
            </w:r>
            <w:r w:rsidR="004E1DA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0. En el tercer trimestre </w:t>
            </w:r>
            <w:r w:rsidR="004E1DA6">
              <w:rPr>
                <w:rFonts w:ascii="Courier New" w:hAnsi="Courier New" w:cs="Courier New"/>
                <w:sz w:val="20"/>
                <w:szCs w:val="22"/>
                <w:lang w:val="es-MX"/>
              </w:rPr>
              <w:lastRenderedPageBreak/>
              <w:t>se paga en el mes de agosto el pasivo por $233,902.00 y se obtiene un rendimiento de 2,388.00 de julio a septiembre, quedando un con saldo final de inversión de $361,323.00</w:t>
            </w:r>
          </w:p>
        </w:tc>
      </w:tr>
      <w:tr w:rsidR="00FB7D5C" w:rsidTr="00FB7D5C">
        <w:tc>
          <w:tcPr>
            <w:tcW w:w="747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2021</w:t>
            </w:r>
          </w:p>
        </w:tc>
        <w:tc>
          <w:tcPr>
            <w:tcW w:w="1669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201B57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A2A10">
              <w:rPr>
                <w:rFonts w:ascii="Courier New" w:hAnsi="Courier New" w:cs="Courier New"/>
                <w:sz w:val="22"/>
                <w:szCs w:val="22"/>
                <w:lang w:val="es-MX"/>
              </w:rPr>
              <w:t>6,215,933.00</w:t>
            </w:r>
          </w:p>
        </w:tc>
        <w:tc>
          <w:tcPr>
            <w:tcW w:w="1801" w:type="dxa"/>
          </w:tcPr>
          <w:p w:rsidR="00201B57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A2A10">
              <w:rPr>
                <w:rFonts w:ascii="Courier New" w:hAnsi="Courier New" w:cs="Courier New"/>
                <w:sz w:val="22"/>
                <w:szCs w:val="22"/>
                <w:lang w:val="es-MX"/>
              </w:rPr>
              <w:t>46,513</w:t>
            </w:r>
            <w:r w:rsidR="009D23C6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  <w:p w:rsidR="00D90CF9" w:rsidRDefault="00D90CF9" w:rsidP="0033467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de Inversión</w:t>
            </w:r>
          </w:p>
          <w:p w:rsidR="00D90CF9" w:rsidRDefault="001332EF" w:rsidP="0033467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90CF9">
              <w:rPr>
                <w:rFonts w:ascii="Courier New" w:hAnsi="Courier New" w:cs="Courier New"/>
                <w:sz w:val="22"/>
                <w:szCs w:val="22"/>
                <w:lang w:val="es-MX"/>
              </w:rPr>
              <w:t>4</w:t>
            </w:r>
            <w:r w:rsidR="008C1593">
              <w:rPr>
                <w:rFonts w:ascii="Courier New" w:hAnsi="Courier New" w:cs="Courier New"/>
                <w:sz w:val="22"/>
                <w:szCs w:val="22"/>
                <w:lang w:val="es-MX"/>
              </w:rPr>
              <w:t>8,394</w:t>
            </w:r>
            <w:r w:rsidR="00D90CF9">
              <w:rPr>
                <w:rFonts w:ascii="Courier New" w:hAnsi="Courier New" w:cs="Courier New"/>
                <w:sz w:val="22"/>
                <w:szCs w:val="22"/>
                <w:lang w:val="es-MX"/>
              </w:rPr>
              <w:t>.</w:t>
            </w:r>
            <w:r w:rsidR="007652B2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621" w:type="dxa"/>
          </w:tcPr>
          <w:p w:rsidR="00201B57" w:rsidRP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90CF9">
              <w:rPr>
                <w:rFonts w:ascii="Courier New" w:hAnsi="Courier New" w:cs="Courier New"/>
                <w:sz w:val="22"/>
                <w:szCs w:val="22"/>
                <w:lang w:val="es-MX"/>
              </w:rPr>
              <w:t>6,</w:t>
            </w:r>
            <w:r w:rsidR="00DA2A10">
              <w:rPr>
                <w:rFonts w:ascii="Courier New" w:hAnsi="Courier New" w:cs="Courier New"/>
                <w:sz w:val="22"/>
                <w:szCs w:val="22"/>
                <w:lang w:val="es-MX"/>
              </w:rPr>
              <w:t>310,840.00</w:t>
            </w:r>
          </w:p>
        </w:tc>
        <w:tc>
          <w:tcPr>
            <w:tcW w:w="5665" w:type="dxa"/>
          </w:tcPr>
          <w:p w:rsidR="00201B57" w:rsidRPr="00511FF6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Durante el </w:t>
            </w:r>
            <w:r w:rsidR="008C1593">
              <w:rPr>
                <w:rFonts w:ascii="Courier New" w:hAnsi="Courier New" w:cs="Courier New"/>
                <w:sz w:val="20"/>
                <w:szCs w:val="22"/>
                <w:lang w:val="es-MX"/>
              </w:rPr>
              <w:t>tercer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trimestre se realizaron compra y venta de fondos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os rendimientos generados serán </w:t>
            </w:r>
            <w:r w:rsidR="00511FF6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utilizados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conforme a lo estipulado en el presupuesto de egresos del del Tribunal Electoral de Tlaxcala 2021.</w:t>
            </w:r>
          </w:p>
        </w:tc>
      </w:tr>
    </w:tbl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FB7D5C" w:rsidP="00FB7D5C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F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inalmente se cuenta </w:t>
      </w:r>
      <w:r>
        <w:rPr>
          <w:rFonts w:ascii="Courier New" w:hAnsi="Courier New" w:cs="Courier New"/>
          <w:sz w:val="22"/>
          <w:szCs w:val="22"/>
          <w:lang w:val="es-MX"/>
        </w:rPr>
        <w:t>un saldo a comprobar por $22,</w:t>
      </w:r>
      <w:r w:rsidR="004B0128">
        <w:rPr>
          <w:rFonts w:ascii="Courier New" w:hAnsi="Courier New" w:cs="Courier New"/>
          <w:sz w:val="22"/>
          <w:szCs w:val="22"/>
          <w:lang w:val="es-MX"/>
        </w:rPr>
        <w:t>922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corresponden al ejercicio 2020 </w:t>
      </w:r>
      <w:r w:rsidR="00C341A3">
        <w:rPr>
          <w:rFonts w:ascii="Courier New" w:hAnsi="Courier New" w:cs="Courier New"/>
          <w:sz w:val="22"/>
          <w:szCs w:val="22"/>
          <w:lang w:val="es-MX"/>
        </w:rPr>
        <w:t xml:space="preserve">por la cantidad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$17,760.00 </w:t>
      </w:r>
      <w:r w:rsidR="001332EF">
        <w:rPr>
          <w:rFonts w:ascii="Courier New" w:hAnsi="Courier New" w:cs="Courier New"/>
          <w:sz w:val="22"/>
          <w:szCs w:val="22"/>
          <w:lang w:val="es-MX"/>
        </w:rPr>
        <w:t>del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ejercicio 2021</w:t>
      </w:r>
      <w:r w:rsidR="001332EF">
        <w:rPr>
          <w:rFonts w:ascii="Courier New" w:hAnsi="Courier New" w:cs="Courier New"/>
          <w:sz w:val="22"/>
          <w:szCs w:val="22"/>
          <w:lang w:val="es-MX"/>
        </w:rPr>
        <w:t xml:space="preserve">, los </w:t>
      </w:r>
      <w:r>
        <w:rPr>
          <w:rFonts w:ascii="Courier New" w:hAnsi="Courier New" w:cs="Courier New"/>
          <w:sz w:val="22"/>
          <w:szCs w:val="22"/>
          <w:lang w:val="es-MX"/>
        </w:rPr>
        <w:t>importe</w:t>
      </w:r>
      <w:r w:rsidR="001332EF">
        <w:rPr>
          <w:rFonts w:ascii="Courier New" w:hAnsi="Courier New" w:cs="Courier New"/>
          <w:sz w:val="22"/>
          <w:szCs w:val="22"/>
          <w:lang w:val="es-MX"/>
        </w:rPr>
        <w:t>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1332EF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5,0</w:t>
      </w:r>
      <w:r w:rsidR="0038114E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1332EF">
        <w:rPr>
          <w:rFonts w:ascii="Courier New" w:hAnsi="Courier New" w:cs="Courier New"/>
          <w:sz w:val="22"/>
          <w:szCs w:val="22"/>
          <w:lang w:val="es-MX"/>
        </w:rPr>
        <w:t>y $</w:t>
      </w:r>
      <w:r w:rsidR="00394DC2">
        <w:rPr>
          <w:rFonts w:ascii="Courier New" w:hAnsi="Courier New" w:cs="Courier New"/>
          <w:sz w:val="22"/>
          <w:szCs w:val="22"/>
          <w:lang w:val="es-MX"/>
        </w:rPr>
        <w:t>162</w:t>
      </w:r>
      <w:r w:rsidR="001332EF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tiene inversiones financieras</w:t>
      </w:r>
      <w:r w:rsidR="0038114E">
        <w:rPr>
          <w:rFonts w:ascii="Courier New" w:hAnsi="Courier New" w:cs="Courier New"/>
          <w:sz w:val="22"/>
          <w:szCs w:val="22"/>
          <w:lang w:val="es-MX"/>
        </w:rPr>
        <w:t xml:space="preserve"> al cierre del </w:t>
      </w:r>
      <w:r w:rsidR="00CB0DD3">
        <w:rPr>
          <w:rFonts w:ascii="Courier New" w:hAnsi="Courier New" w:cs="Courier New"/>
          <w:sz w:val="22"/>
          <w:szCs w:val="22"/>
          <w:lang w:val="es-MX"/>
        </w:rPr>
        <w:t>tercer</w:t>
      </w:r>
      <w:r w:rsidR="0038114E">
        <w:rPr>
          <w:rFonts w:ascii="Courier New" w:hAnsi="Courier New" w:cs="Courier New"/>
          <w:sz w:val="22"/>
          <w:szCs w:val="22"/>
          <w:lang w:val="es-MX"/>
        </w:rPr>
        <w:t xml:space="preserve"> trimestre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 corto plazo</w:t>
      </w:r>
      <w:r w:rsidR="00E90C02">
        <w:rPr>
          <w:rFonts w:ascii="Courier New" w:hAnsi="Courier New" w:cs="Courier New"/>
          <w:sz w:val="22"/>
          <w:szCs w:val="22"/>
          <w:lang w:val="es-MX"/>
        </w:rPr>
        <w:t xml:space="preserve"> por la cantidad de $</w:t>
      </w:r>
      <w:r w:rsidR="00394DC2">
        <w:rPr>
          <w:rFonts w:ascii="Courier New" w:hAnsi="Courier New" w:cs="Courier New"/>
          <w:sz w:val="22"/>
          <w:szCs w:val="22"/>
          <w:lang w:val="es-MX"/>
        </w:rPr>
        <w:t>6,747,675</w:t>
      </w:r>
      <w:r w:rsidR="0038114E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394DC2">
        <w:rPr>
          <w:rFonts w:ascii="Courier New" w:hAnsi="Courier New" w:cs="Courier New"/>
          <w:sz w:val="22"/>
          <w:szCs w:val="22"/>
          <w:lang w:val="es-MX"/>
        </w:rPr>
        <w:t>septiembre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</w:t>
      </w:r>
      <w:r w:rsidR="00C341A3">
        <w:rPr>
          <w:rFonts w:ascii="Courier New" w:hAnsi="Courier New" w:cs="Courier New"/>
          <w:sz w:val="22"/>
          <w:szCs w:val="22"/>
          <w:lang w:val="es-MX"/>
        </w:rPr>
        <w:t>21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 w:rsidR="00A50B9D">
        <w:rPr>
          <w:rFonts w:ascii="Courier New" w:hAnsi="Courier New" w:cs="Courier New"/>
          <w:sz w:val="22"/>
          <w:szCs w:val="22"/>
          <w:lang w:val="es-MX"/>
        </w:rPr>
        <w:t>2,</w:t>
      </w:r>
      <w:r w:rsidR="0038114E">
        <w:rPr>
          <w:rFonts w:ascii="Courier New" w:hAnsi="Courier New" w:cs="Courier New"/>
          <w:sz w:val="22"/>
          <w:szCs w:val="22"/>
          <w:lang w:val="es-MX"/>
        </w:rPr>
        <w:t>109,990</w:t>
      </w:r>
      <w:r w:rsidR="00A50B9D"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 por concepto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394DC2" w:rsidRDefault="00A2163D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En el rubro de Bienes muebles,</w:t>
      </w:r>
      <w:r w:rsidR="00394DC2">
        <w:rPr>
          <w:rFonts w:ascii="Courier New" w:hAnsi="Courier New" w:cs="Courier New"/>
          <w:sz w:val="22"/>
          <w:szCs w:val="22"/>
          <w:lang w:val="es-MX"/>
        </w:rPr>
        <w:t xml:space="preserve"> en este trimestre no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394DC2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>
        <w:rPr>
          <w:rFonts w:ascii="Courier New" w:hAnsi="Courier New" w:cs="Courier New"/>
          <w:sz w:val="22"/>
          <w:szCs w:val="22"/>
          <w:lang w:val="es-MX"/>
        </w:rPr>
        <w:t>realiz</w:t>
      </w:r>
      <w:r w:rsidR="00394DC2">
        <w:rPr>
          <w:rFonts w:ascii="Courier New" w:hAnsi="Courier New" w:cs="Courier New"/>
          <w:sz w:val="22"/>
          <w:szCs w:val="22"/>
          <w:lang w:val="es-MX"/>
        </w:rPr>
        <w:t>ado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394DC2">
        <w:rPr>
          <w:rFonts w:ascii="Courier New" w:hAnsi="Courier New" w:cs="Courier New"/>
          <w:sz w:val="22"/>
          <w:szCs w:val="22"/>
          <w:lang w:val="es-MX"/>
        </w:rPr>
        <w:t>adquisiciones de bienes muebles.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Default="00D06BD1" w:rsidP="00AF7646">
      <w:pPr>
        <w:pStyle w:val="ROMANOS"/>
        <w:tabs>
          <w:tab w:val="left" w:pos="3178"/>
        </w:tabs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C5BD8" w:rsidRDefault="00CC5BD8" w:rsidP="00AF7646">
      <w:pPr>
        <w:pStyle w:val="ROMANOS"/>
        <w:tabs>
          <w:tab w:val="left" w:pos="3178"/>
        </w:tabs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C5BD8" w:rsidRPr="00C80DE2" w:rsidRDefault="00CC5BD8" w:rsidP="00AF7646">
      <w:pPr>
        <w:pStyle w:val="ROMANOS"/>
        <w:tabs>
          <w:tab w:val="left" w:pos="3178"/>
        </w:tabs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1. El pasivo que se refleja en el </w:t>
      </w:r>
      <w:r w:rsidR="00395FA9">
        <w:rPr>
          <w:rFonts w:ascii="Courier New" w:hAnsi="Courier New" w:cs="Courier New"/>
          <w:sz w:val="22"/>
          <w:szCs w:val="22"/>
          <w:lang w:val="es-MX"/>
        </w:rPr>
        <w:t>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stado de </w:t>
      </w:r>
      <w:r w:rsidR="00395FA9">
        <w:rPr>
          <w:rFonts w:ascii="Courier New" w:hAnsi="Courier New" w:cs="Courier New"/>
          <w:sz w:val="22"/>
          <w:szCs w:val="22"/>
          <w:lang w:val="es-MX"/>
        </w:rPr>
        <w:t>S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ituación </w:t>
      </w:r>
      <w:r w:rsidR="00395FA9">
        <w:rPr>
          <w:rFonts w:ascii="Courier New" w:hAnsi="Courier New" w:cs="Courier New"/>
          <w:sz w:val="22"/>
          <w:szCs w:val="22"/>
          <w:lang w:val="es-MX"/>
        </w:rPr>
        <w:t>F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inanciera por un monto de $</w:t>
      </w:r>
      <w:r w:rsidR="00FA7C1A">
        <w:rPr>
          <w:rFonts w:ascii="Courier New" w:hAnsi="Courier New" w:cs="Courier New"/>
          <w:sz w:val="22"/>
          <w:szCs w:val="22"/>
          <w:lang w:val="es-MX"/>
        </w:rPr>
        <w:t>1,438,311</w:t>
      </w:r>
      <w:r w:rsidR="000E0596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00 pesos, </w:t>
      </w:r>
      <w:r w:rsidR="000E0596">
        <w:rPr>
          <w:rFonts w:ascii="Courier New" w:hAnsi="Courier New" w:cs="Courier New"/>
          <w:sz w:val="22"/>
          <w:szCs w:val="22"/>
          <w:lang w:val="es-MX"/>
        </w:rPr>
        <w:t>es por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</w:t>
      </w:r>
      <w:r w:rsidR="000E0596">
        <w:rPr>
          <w:rFonts w:ascii="Courier New" w:hAnsi="Courier New" w:cs="Courier New"/>
          <w:sz w:val="22"/>
          <w:szCs w:val="22"/>
          <w:lang w:val="es-MX"/>
        </w:rPr>
        <w:t>agregado,</w:t>
      </w:r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90C02">
        <w:rPr>
          <w:rFonts w:ascii="Courier New" w:hAnsi="Courier New" w:cs="Courier New"/>
          <w:sz w:val="22"/>
          <w:szCs w:val="22"/>
          <w:lang w:val="es-MX"/>
        </w:rPr>
        <w:t>al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mes de </w:t>
      </w:r>
      <w:r w:rsidR="00FA7C1A">
        <w:rPr>
          <w:rFonts w:ascii="Courier New" w:hAnsi="Courier New" w:cs="Courier New"/>
          <w:sz w:val="22"/>
          <w:szCs w:val="22"/>
          <w:lang w:val="es-MX"/>
        </w:rPr>
        <w:t>septiembre de 2021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D06BD1" w:rsidRDefault="00D06BD1" w:rsidP="0065388F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el rubro de resultados de ejercicios anteriores se refleja un monto de $</w:t>
      </w:r>
      <w:r w:rsidR="00131DF9">
        <w:rPr>
          <w:rFonts w:ascii="Courier New" w:hAnsi="Courier New" w:cs="Courier New"/>
          <w:sz w:val="22"/>
          <w:szCs w:val="22"/>
          <w:lang w:val="es-MX"/>
        </w:rPr>
        <w:t>1,420,924</w:t>
      </w:r>
      <w:r w:rsidR="002B2C02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Resultado del ejercicio </w:t>
      </w:r>
      <w:r w:rsidR="002B2C02">
        <w:rPr>
          <w:rFonts w:ascii="Courier New" w:hAnsi="Courier New" w:cs="Courier New"/>
          <w:sz w:val="22"/>
          <w:szCs w:val="22"/>
          <w:lang w:val="es-MX"/>
        </w:rPr>
        <w:t>(ahorro/</w:t>
      </w:r>
      <w:r w:rsidR="00B44C05">
        <w:rPr>
          <w:rFonts w:ascii="Courier New" w:hAnsi="Courier New" w:cs="Courier New"/>
          <w:sz w:val="22"/>
          <w:szCs w:val="22"/>
          <w:lang w:val="es-MX"/>
        </w:rPr>
        <w:t>desahorro) $</w:t>
      </w:r>
      <w:r w:rsidR="00D065BA">
        <w:rPr>
          <w:rFonts w:ascii="Courier New" w:hAnsi="Courier New" w:cs="Courier New"/>
          <w:sz w:val="22"/>
          <w:szCs w:val="22"/>
          <w:lang w:val="es-MX"/>
        </w:rPr>
        <w:t>5</w:t>
      </w:r>
      <w:r w:rsidR="00364440">
        <w:rPr>
          <w:rFonts w:ascii="Courier New" w:hAnsi="Courier New" w:cs="Courier New"/>
          <w:sz w:val="22"/>
          <w:szCs w:val="22"/>
          <w:lang w:val="es-MX"/>
        </w:rPr>
        <w:t>,</w:t>
      </w:r>
      <w:r w:rsidR="0065388F">
        <w:rPr>
          <w:rFonts w:ascii="Courier New" w:hAnsi="Courier New" w:cs="Courier New"/>
          <w:sz w:val="22"/>
          <w:szCs w:val="22"/>
          <w:lang w:val="es-MX"/>
        </w:rPr>
        <w:t>545,905.00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</w:p>
    <w:p w:rsidR="00364440" w:rsidRPr="00C80DE2" w:rsidRDefault="00364440" w:rsidP="00511FF6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Se realiza el registro de Rectificaciones de Resultados de Ejercicios Anteriores $2,820.00 originado por devolución de </w:t>
      </w:r>
      <w:r w:rsidR="007C4E09">
        <w:rPr>
          <w:rFonts w:ascii="Courier New" w:hAnsi="Courier New" w:cs="Courier New"/>
          <w:sz w:val="22"/>
          <w:szCs w:val="22"/>
          <w:lang w:val="es-MX"/>
        </w:rPr>
        <w:t xml:space="preserve">recurso respecto a la </w:t>
      </w:r>
      <w:r>
        <w:rPr>
          <w:rFonts w:ascii="Courier New" w:hAnsi="Courier New" w:cs="Courier New"/>
          <w:sz w:val="22"/>
          <w:szCs w:val="22"/>
          <w:lang w:val="es-MX"/>
        </w:rPr>
        <w:t>póliza de seguro del ejercicio 2020.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D2220B">
        <w:rPr>
          <w:rFonts w:ascii="Courier New" w:hAnsi="Courier New" w:cs="Courier New"/>
          <w:sz w:val="22"/>
          <w:szCs w:val="22"/>
          <w:lang w:val="es-MX"/>
        </w:rPr>
        <w:t>79,804.00</w:t>
      </w:r>
      <w:r>
        <w:rPr>
          <w:rFonts w:ascii="Courier New" w:hAnsi="Courier New" w:cs="Courier New"/>
          <w:sz w:val="22"/>
          <w:szCs w:val="22"/>
          <w:lang w:val="es-MX"/>
        </w:rPr>
        <w:t>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</w:t>
      </w:r>
      <w:r w:rsidR="00BB6CAE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1527DF">
        <w:rPr>
          <w:rFonts w:ascii="Courier New" w:hAnsi="Courier New" w:cs="Courier New"/>
          <w:sz w:val="22"/>
          <w:szCs w:val="22"/>
          <w:lang w:val="es-MX"/>
        </w:rPr>
        <w:t>31,160,166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1527DF">
        <w:rPr>
          <w:rFonts w:ascii="Courier New" w:hAnsi="Courier New" w:cs="Courier New"/>
          <w:sz w:val="22"/>
          <w:szCs w:val="22"/>
          <w:lang w:val="es-MX"/>
        </w:rPr>
        <w:t>25,694,066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1527DF">
        <w:rPr>
          <w:rFonts w:ascii="Courier New" w:hAnsi="Courier New" w:cs="Courier New"/>
          <w:sz w:val="22"/>
          <w:szCs w:val="22"/>
          <w:lang w:val="es-MX"/>
        </w:rPr>
        <w:t>24,280,922</w:t>
      </w:r>
      <w:r w:rsidR="00D33AE3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1527DF">
        <w:rPr>
          <w:rFonts w:ascii="Courier New" w:hAnsi="Courier New" w:cs="Courier New"/>
          <w:sz w:val="22"/>
          <w:szCs w:val="22"/>
          <w:lang w:val="es-MX"/>
        </w:rPr>
        <w:t>329,360</w:t>
      </w:r>
      <w:r w:rsidR="00711BAD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1527DF">
        <w:rPr>
          <w:rFonts w:ascii="Courier New" w:hAnsi="Courier New" w:cs="Courier New"/>
          <w:sz w:val="22"/>
          <w:szCs w:val="22"/>
          <w:lang w:val="es-MX"/>
        </w:rPr>
        <w:t>1,083,784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  <w:r w:rsidR="00743EDF">
        <w:rPr>
          <w:rFonts w:ascii="Courier New" w:hAnsi="Courier New" w:cs="Courier New"/>
          <w:b/>
          <w:smallCaps/>
          <w:sz w:val="22"/>
          <w:szCs w:val="22"/>
        </w:rPr>
        <w:t>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1527DF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CF0020">
        <w:rPr>
          <w:rFonts w:ascii="Courier New" w:hAnsi="Courier New" w:cs="Courier New"/>
          <w:sz w:val="22"/>
          <w:szCs w:val="22"/>
          <w:lang w:val="es-MX"/>
        </w:rPr>
        <w:t xml:space="preserve"> l</w:t>
      </w:r>
      <w:r>
        <w:rPr>
          <w:rFonts w:ascii="Courier New" w:hAnsi="Courier New" w:cs="Courier New"/>
          <w:sz w:val="22"/>
          <w:szCs w:val="22"/>
          <w:lang w:val="es-MX"/>
        </w:rPr>
        <w:t xml:space="preserve">e correspondió a la cantidad de </w:t>
      </w:r>
      <w:r w:rsidR="00D065BA">
        <w:rPr>
          <w:rFonts w:ascii="Courier New" w:hAnsi="Courier New" w:cs="Courier New"/>
          <w:sz w:val="22"/>
          <w:szCs w:val="22"/>
          <w:lang w:val="es-MX"/>
        </w:rPr>
        <w:t>$</w:t>
      </w:r>
      <w:r w:rsidR="001527DF">
        <w:rPr>
          <w:rFonts w:ascii="Courier New" w:hAnsi="Courier New" w:cs="Courier New"/>
          <w:sz w:val="22"/>
          <w:szCs w:val="22"/>
          <w:lang w:val="es-MX"/>
        </w:rPr>
        <w:t>5,54</w:t>
      </w:r>
      <w:r w:rsidR="004F2423">
        <w:rPr>
          <w:rFonts w:ascii="Courier New" w:hAnsi="Courier New" w:cs="Courier New"/>
          <w:sz w:val="22"/>
          <w:szCs w:val="22"/>
          <w:lang w:val="es-MX"/>
        </w:rPr>
        <w:t>5</w:t>
      </w:r>
      <w:r w:rsidR="00211F5E">
        <w:rPr>
          <w:rFonts w:ascii="Courier New" w:hAnsi="Courier New" w:cs="Courier New"/>
          <w:sz w:val="22"/>
          <w:szCs w:val="22"/>
          <w:lang w:val="es-MX"/>
        </w:rPr>
        <w:t>,</w:t>
      </w:r>
      <w:r w:rsidR="004F2423">
        <w:rPr>
          <w:rFonts w:ascii="Courier New" w:hAnsi="Courier New" w:cs="Courier New"/>
          <w:sz w:val="22"/>
          <w:szCs w:val="22"/>
          <w:lang w:val="es-MX"/>
        </w:rPr>
        <w:t>9</w:t>
      </w:r>
      <w:r w:rsidR="00211F5E">
        <w:rPr>
          <w:rFonts w:ascii="Courier New" w:hAnsi="Courier New" w:cs="Courier New"/>
          <w:sz w:val="22"/>
          <w:szCs w:val="22"/>
          <w:lang w:val="es-MX"/>
        </w:rPr>
        <w:t>05</w:t>
      </w:r>
      <w:r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Flujos de Efectivo</w:t>
      </w:r>
      <w:r w:rsidR="000A0BF9">
        <w:rPr>
          <w:rFonts w:ascii="Courier New" w:hAnsi="Courier New" w:cs="Courier New"/>
          <w:b/>
          <w:smallCaps/>
          <w:sz w:val="22"/>
          <w:szCs w:val="22"/>
        </w:rPr>
        <w:t>.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 xml:space="preserve">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701"/>
        <w:gridCol w:w="1559"/>
      </w:tblGrid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4D37F6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607,779.00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Fondos con afectación específica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4D37F6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A57A31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="00236E40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4D37F6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607,779</w:t>
            </w:r>
            <w:r w:rsidR="00831212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En el concepto de bienes muebles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D37F6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4D37F6">
        <w:rPr>
          <w:rFonts w:ascii="Courier New" w:hAnsi="Courier New" w:cs="Courier New"/>
          <w:sz w:val="22"/>
          <w:szCs w:val="22"/>
          <w:lang w:val="es-MX"/>
        </w:rPr>
        <w:t>en el tercer trimestre de julio-septiembre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de 202</w:t>
      </w:r>
      <w:r w:rsidR="008043DF">
        <w:rPr>
          <w:rFonts w:ascii="Courier New" w:hAnsi="Courier New" w:cs="Courier New"/>
          <w:sz w:val="22"/>
          <w:szCs w:val="22"/>
          <w:lang w:val="es-MX"/>
        </w:rPr>
        <w:t>1</w:t>
      </w:r>
      <w:r w:rsidR="00236E40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84567F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137.35pt;margin-top:17.55pt;width:603.2pt;height:257.6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95474227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84567F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137.45pt;margin-top:20.65pt;width:500.9pt;height:293.1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95474228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incorporación en libros es necesaria con fines de recordatorio contable, de control y en general sobre los aspectos administrativos, o bien para consignar sus derechos o </w:t>
      </w: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C36D9">
        <w:rPr>
          <w:rFonts w:ascii="Courier New" w:hAnsi="Courier New" w:cs="Courier New"/>
          <w:sz w:val="22"/>
          <w:szCs w:val="22"/>
          <w:lang w:val="es-MX"/>
        </w:rPr>
        <w:t>9,848,071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627DE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CC36D9">
        <w:rPr>
          <w:rFonts w:ascii="Courier New" w:hAnsi="Courier New" w:cs="Courier New"/>
          <w:sz w:val="22"/>
          <w:szCs w:val="22"/>
          <w:lang w:val="es-MX"/>
        </w:rPr>
        <w:t>8,464,9</w:t>
      </w:r>
      <w:r w:rsidR="003B1FAC">
        <w:rPr>
          <w:rFonts w:ascii="Courier New" w:hAnsi="Courier New" w:cs="Courier New"/>
          <w:sz w:val="22"/>
          <w:szCs w:val="22"/>
          <w:lang w:val="es-MX"/>
        </w:rPr>
        <w:t>8</w:t>
      </w:r>
      <w:r w:rsidR="00CC36D9">
        <w:rPr>
          <w:rFonts w:ascii="Courier New" w:hAnsi="Courier New" w:cs="Courier New"/>
          <w:sz w:val="22"/>
          <w:szCs w:val="22"/>
          <w:lang w:val="es-MX"/>
        </w:rPr>
        <w:t>9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C36D9">
        <w:rPr>
          <w:rFonts w:ascii="Courier New" w:hAnsi="Courier New" w:cs="Courier New"/>
          <w:sz w:val="22"/>
          <w:szCs w:val="22"/>
          <w:lang w:val="es-MX"/>
        </w:rPr>
        <w:t>15,357,457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CC36D9">
        <w:rPr>
          <w:rFonts w:ascii="Courier New" w:hAnsi="Courier New" w:cs="Courier New"/>
          <w:sz w:val="22"/>
          <w:szCs w:val="22"/>
          <w:lang w:val="es-MX"/>
        </w:rPr>
        <w:t>8,464,989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 xml:space="preserve">  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.</w:t>
      </w:r>
      <w:r w:rsidR="00553F6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CC36D9">
        <w:rPr>
          <w:rFonts w:ascii="Courier New" w:hAnsi="Courier New" w:cs="Courier New"/>
          <w:sz w:val="22"/>
          <w:szCs w:val="22"/>
          <w:lang w:val="es-MX"/>
        </w:rPr>
        <w:t>102,177</w:t>
      </w:r>
      <w:r w:rsidR="00C75296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  0.00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CC36D9">
        <w:rPr>
          <w:rFonts w:ascii="Courier New" w:hAnsi="Courier New" w:cs="Courier New"/>
          <w:sz w:val="22"/>
          <w:szCs w:val="22"/>
          <w:lang w:val="es-MX"/>
        </w:rPr>
        <w:t>25,628,407</w:t>
      </w:r>
      <w:r w:rsidR="00C75296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De esta manera, se informa y explica la respuesta del gobierno </w:t>
      </w:r>
      <w:r w:rsidR="00D065BA">
        <w:rPr>
          <w:rFonts w:ascii="Courier New" w:hAnsi="Courier New" w:cs="Courier New"/>
          <w:sz w:val="22"/>
          <w:szCs w:val="22"/>
        </w:rPr>
        <w:t xml:space="preserve">abierto </w:t>
      </w:r>
      <w:r w:rsidRPr="00CF11F9">
        <w:rPr>
          <w:rFonts w:ascii="Courier New" w:hAnsi="Courier New" w:cs="Courier New"/>
          <w:sz w:val="22"/>
          <w:szCs w:val="22"/>
        </w:rPr>
        <w:t>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ejerció el presupuesto asignado al </w:t>
      </w:r>
      <w:r w:rsidR="00DE14C8">
        <w:rPr>
          <w:rFonts w:ascii="Courier New" w:hAnsi="Courier New" w:cs="Courier New"/>
          <w:sz w:val="22"/>
          <w:szCs w:val="22"/>
          <w:lang w:val="es-MX"/>
        </w:rPr>
        <w:t xml:space="preserve">30 de </w:t>
      </w:r>
      <w:r w:rsidR="00B041F4">
        <w:rPr>
          <w:rFonts w:ascii="Courier New" w:hAnsi="Courier New" w:cs="Courier New"/>
          <w:sz w:val="22"/>
          <w:szCs w:val="22"/>
          <w:lang w:val="es-MX"/>
        </w:rPr>
        <w:t>septiembre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>Impartición de Justicia en materia electoral</w:t>
      </w:r>
      <w:r w:rsidR="006873E7">
        <w:rPr>
          <w:rFonts w:ascii="Courier New" w:hAnsi="Courier New" w:cs="Courier New"/>
          <w:sz w:val="22"/>
          <w:szCs w:val="22"/>
        </w:rPr>
        <w:t>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14139D">
        <w:rPr>
          <w:rFonts w:ascii="Courier New" w:hAnsi="Courier New" w:cs="Courier New"/>
          <w:sz w:val="22"/>
          <w:szCs w:val="22"/>
        </w:rPr>
        <w:t>21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E47E53">
        <w:rPr>
          <w:rFonts w:ascii="Courier New" w:hAnsi="Courier New" w:cs="Courier New"/>
          <w:sz w:val="22"/>
          <w:szCs w:val="22"/>
        </w:rPr>
        <w:t xml:space="preserve">10% de </w:t>
      </w:r>
      <w:r w:rsidRPr="00CF11F9">
        <w:rPr>
          <w:rFonts w:ascii="Courier New" w:hAnsi="Courier New" w:cs="Courier New"/>
          <w:sz w:val="22"/>
          <w:szCs w:val="22"/>
        </w:rPr>
        <w:t>Retención</w:t>
      </w:r>
      <w:r w:rsidR="00E47E53">
        <w:rPr>
          <w:rFonts w:ascii="Courier New" w:hAnsi="Courier New" w:cs="Courier New"/>
          <w:sz w:val="22"/>
          <w:szCs w:val="22"/>
        </w:rPr>
        <w:t xml:space="preserve"> de Impuesto sobre la Renta (</w:t>
      </w:r>
      <w:r w:rsidRPr="00CF11F9">
        <w:rPr>
          <w:rFonts w:ascii="Courier New" w:hAnsi="Courier New" w:cs="Courier New"/>
          <w:sz w:val="22"/>
          <w:szCs w:val="22"/>
        </w:rPr>
        <w:t>ISR</w:t>
      </w:r>
      <w:r w:rsidR="00E47E53">
        <w:rPr>
          <w:rFonts w:ascii="Courier New" w:hAnsi="Courier New" w:cs="Courier New"/>
          <w:sz w:val="22"/>
          <w:szCs w:val="22"/>
        </w:rPr>
        <w:t>)</w:t>
      </w:r>
      <w:r w:rsidRPr="00CF11F9">
        <w:rPr>
          <w:rFonts w:ascii="Courier New" w:hAnsi="Courier New" w:cs="Courier New"/>
          <w:sz w:val="22"/>
          <w:szCs w:val="22"/>
        </w:rPr>
        <w:t xml:space="preserve"> por pago de salarios</w:t>
      </w:r>
      <w:r w:rsidR="00E47E53">
        <w:rPr>
          <w:rFonts w:ascii="Courier New" w:hAnsi="Courier New" w:cs="Courier New"/>
          <w:sz w:val="22"/>
          <w:szCs w:val="22"/>
        </w:rPr>
        <w:t xml:space="preserve"> y Retención de Impuesto al Valor Agregado (IVA)por honorarios.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</w:t>
      </w:r>
      <w:r w:rsidR="00DE14C8">
        <w:rPr>
          <w:rFonts w:ascii="Courier New" w:hAnsi="Courier New" w:cs="Courier New"/>
          <w:sz w:val="22"/>
          <w:szCs w:val="22"/>
        </w:rPr>
        <w:t xml:space="preserve">s, Contraloría, Unidad de Transparencia </w:t>
      </w:r>
      <w:r w:rsidRPr="00CF11F9">
        <w:rPr>
          <w:rFonts w:ascii="Courier New" w:hAnsi="Courier New" w:cs="Courier New"/>
          <w:sz w:val="22"/>
          <w:szCs w:val="22"/>
        </w:rPr>
        <w:t>y Jefaturas de Departamento</w:t>
      </w:r>
      <w:r w:rsidR="00E47E5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  <w:r w:rsidR="006873E7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FC01E1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Provisiones</w:t>
      </w:r>
      <w:r w:rsidR="00FC01E1">
        <w:rPr>
          <w:rFonts w:ascii="Courier New" w:hAnsi="Courier New" w:cs="Courier New"/>
          <w:sz w:val="22"/>
          <w:szCs w:val="22"/>
        </w:rPr>
        <w:t xml:space="preserve">. Existe el </w:t>
      </w:r>
      <w:r w:rsidR="00557F71" w:rsidRPr="00FC01E1">
        <w:rPr>
          <w:rFonts w:ascii="Courier New" w:hAnsi="Courier New" w:cs="Courier New"/>
          <w:sz w:val="22"/>
        </w:rPr>
        <w:t xml:space="preserve">“Fondo de Haber del Retiro a </w:t>
      </w:r>
      <w:proofErr w:type="gramStart"/>
      <w:r w:rsidR="00557F71" w:rsidRPr="00FC01E1">
        <w:rPr>
          <w:rFonts w:ascii="Courier New" w:hAnsi="Courier New" w:cs="Courier New"/>
          <w:sz w:val="22"/>
        </w:rPr>
        <w:t>Funcionarios</w:t>
      </w:r>
      <w:proofErr w:type="gramEnd"/>
      <w:r w:rsidR="00557F71" w:rsidRPr="00FC01E1">
        <w:rPr>
          <w:rFonts w:ascii="Courier New" w:hAnsi="Courier New" w:cs="Courier New"/>
          <w:sz w:val="22"/>
        </w:rPr>
        <w:t>” (por conclusión de cargo de Magistrado), por la cantidad de $371,686.00 y el “Fondo de Liquidación al personal” por la cantidad de $1,858.00, con fundamento en el artículo 11 fracciones XXIII y XXV, de la Ley Orgánica del Tribunal Electoral de Tlaxcala</w:t>
      </w:r>
      <w:r w:rsidR="00FC01E1" w:rsidRPr="00FC01E1">
        <w:rPr>
          <w:rFonts w:ascii="Courier New" w:hAnsi="Courier New" w:cs="Courier New"/>
          <w:sz w:val="22"/>
        </w:rPr>
        <w:t>.</w:t>
      </w:r>
    </w:p>
    <w:p w:rsidR="00FC01E1" w:rsidRPr="004F7A85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C01E1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xisten Reservas</w:t>
      </w:r>
      <w:r w:rsidR="00FC01E1">
        <w:rPr>
          <w:rFonts w:ascii="Courier New" w:hAnsi="Courier New" w:cs="Courier New"/>
          <w:sz w:val="22"/>
          <w:szCs w:val="22"/>
        </w:rPr>
        <w:t xml:space="preserve"> </w:t>
      </w:r>
      <w:r w:rsidR="00FC01E1" w:rsidRPr="004F7A85">
        <w:rPr>
          <w:rFonts w:ascii="Courier New" w:hAnsi="Courier New" w:cs="Courier New"/>
          <w:sz w:val="22"/>
          <w:szCs w:val="22"/>
        </w:rPr>
        <w:t>con un monto total de $ 373,544.00 por ambos fondos</w:t>
      </w:r>
      <w:r w:rsidR="004F7A85">
        <w:rPr>
          <w:rFonts w:ascii="Courier New" w:hAnsi="Courier New" w:cs="Courier New"/>
          <w:sz w:val="22"/>
          <w:szCs w:val="22"/>
        </w:rPr>
        <w:t xml:space="preserve"> descritos en el inciso f</w:t>
      </w:r>
      <w:r w:rsidR="00FC01E1" w:rsidRPr="004F7A85">
        <w:rPr>
          <w:rFonts w:ascii="Courier New" w:hAnsi="Courier New" w:cs="Courier New"/>
          <w:sz w:val="22"/>
          <w:szCs w:val="22"/>
        </w:rPr>
        <w:t>, recurso que corresponde al ejercicio fiscal 2019 y 2020.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</w:t>
      </w:r>
      <w:r w:rsidR="00C971FA">
        <w:rPr>
          <w:rFonts w:ascii="Courier New" w:hAnsi="Courier New" w:cs="Courier New"/>
          <w:sz w:val="22"/>
          <w:szCs w:val="22"/>
          <w:lang w:val="es-MX"/>
        </w:rPr>
        <w:t xml:space="preserve"> al cierre.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743EDF">
        <w:trPr>
          <w:jc w:val="center"/>
        </w:trPr>
        <w:tc>
          <w:tcPr>
            <w:tcW w:w="4781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2C062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M</w:t>
            </w:r>
            <w:r w:rsidR="00D06BD1"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agistrado </w:t>
            </w:r>
            <w:proofErr w:type="gramStart"/>
            <w:r w:rsidR="00D06BD1"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2C0621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45" w:rsidRDefault="00F91945" w:rsidP="00EA5418">
      <w:pPr>
        <w:spacing w:after="0" w:line="240" w:lineRule="auto"/>
      </w:pPr>
      <w:r>
        <w:separator/>
      </w:r>
    </w:p>
  </w:endnote>
  <w:endnote w:type="continuationSeparator" w:id="0">
    <w:p w:rsidR="00F91945" w:rsidRDefault="00F919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13011C" w:rsidRDefault="00743ED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9B722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43EDF" w:rsidRDefault="00743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8E3652" w:rsidRDefault="00743ED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ABAC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45" w:rsidRDefault="00F91945" w:rsidP="00EA5418">
      <w:pPr>
        <w:spacing w:after="0" w:line="240" w:lineRule="auto"/>
      </w:pPr>
      <w:r>
        <w:separator/>
      </w:r>
    </w:p>
  </w:footnote>
  <w:footnote w:type="continuationSeparator" w:id="0">
    <w:p w:rsidR="00F91945" w:rsidRDefault="00F919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43"/>
      <w:gridCol w:w="584"/>
      <w:gridCol w:w="1665"/>
      <w:gridCol w:w="4191"/>
    </w:tblGrid>
    <w:tr w:rsidR="00743EDF" w:rsidTr="00743EDF">
      <w:tc>
        <w:tcPr>
          <w:tcW w:w="4219" w:type="dxa"/>
        </w:tcPr>
        <w:p w:rsidR="00743EDF" w:rsidRDefault="0036363C" w:rsidP="008F36B9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271090</wp:posOffset>
                </wp:positionH>
                <wp:positionV relativeFrom="paragraph">
                  <wp:posOffset>-28161</wp:posOffset>
                </wp:positionV>
                <wp:extent cx="1868556" cy="504190"/>
                <wp:effectExtent l="0" t="0" r="0" b="0"/>
                <wp:wrapNone/>
                <wp:docPr id="14" name="Imagen 14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9" r="600"/>
                        <a:stretch/>
                      </pic:blipFill>
                      <pic:spPr>
                        <a:xfrm>
                          <a:off x="0" y="0"/>
                          <a:ext cx="1873137" cy="505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743EDF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Default="00743EDF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1C697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743EDF" w:rsidTr="008F36B9">
      <w:tc>
        <w:tcPr>
          <w:tcW w:w="4596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098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2021020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2021020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69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Pr="0013011C" w:rsidRDefault="007A58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278131</wp:posOffset>
          </wp:positionH>
          <wp:positionV relativeFrom="paragraph">
            <wp:posOffset>-506730</wp:posOffset>
          </wp:positionV>
          <wp:extent cx="2000250" cy="504190"/>
          <wp:effectExtent l="0" t="0" r="0" b="0"/>
          <wp:wrapNone/>
          <wp:docPr id="7" name="Imagen 7">
            <a:extLst xmlns:a="http://schemas.openxmlformats.org/drawingml/2006/ma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>
                    <a:extLst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" r="600"/>
                  <a:stretch/>
                </pic:blipFill>
                <pic:spPr>
                  <a:xfrm>
                    <a:off x="0" y="0"/>
                    <a:ext cx="20002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43ED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2F535" id="2 Conector recto" o:spid="_x0000_s1026" style="position:absolute;flip:y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017FD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53DE8"/>
    <w:rsid w:val="00064371"/>
    <w:rsid w:val="0006511E"/>
    <w:rsid w:val="00065A73"/>
    <w:rsid w:val="00065DCB"/>
    <w:rsid w:val="00070574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4FEE"/>
    <w:rsid w:val="00085A95"/>
    <w:rsid w:val="00087447"/>
    <w:rsid w:val="00090108"/>
    <w:rsid w:val="00092F0C"/>
    <w:rsid w:val="00093D85"/>
    <w:rsid w:val="00096999"/>
    <w:rsid w:val="00096B40"/>
    <w:rsid w:val="00097E86"/>
    <w:rsid w:val="000A0BF9"/>
    <w:rsid w:val="000A2165"/>
    <w:rsid w:val="000A23AB"/>
    <w:rsid w:val="000A2DB0"/>
    <w:rsid w:val="000B00F4"/>
    <w:rsid w:val="000B0C6D"/>
    <w:rsid w:val="000B2E50"/>
    <w:rsid w:val="000B5969"/>
    <w:rsid w:val="000B7368"/>
    <w:rsid w:val="000C1356"/>
    <w:rsid w:val="000C23DA"/>
    <w:rsid w:val="000C374B"/>
    <w:rsid w:val="000C5A10"/>
    <w:rsid w:val="000D27C5"/>
    <w:rsid w:val="000D358E"/>
    <w:rsid w:val="000E0596"/>
    <w:rsid w:val="000E0EEA"/>
    <w:rsid w:val="000E1E7B"/>
    <w:rsid w:val="000E2463"/>
    <w:rsid w:val="000E2F01"/>
    <w:rsid w:val="000E3520"/>
    <w:rsid w:val="000E4295"/>
    <w:rsid w:val="000E4A51"/>
    <w:rsid w:val="000E4FDE"/>
    <w:rsid w:val="000F04A2"/>
    <w:rsid w:val="000F1288"/>
    <w:rsid w:val="000F151E"/>
    <w:rsid w:val="000F2768"/>
    <w:rsid w:val="000F28EC"/>
    <w:rsid w:val="000F291A"/>
    <w:rsid w:val="000F2E00"/>
    <w:rsid w:val="000F38E2"/>
    <w:rsid w:val="000F5C39"/>
    <w:rsid w:val="001001AB"/>
    <w:rsid w:val="00100825"/>
    <w:rsid w:val="00101401"/>
    <w:rsid w:val="0010482C"/>
    <w:rsid w:val="00110B86"/>
    <w:rsid w:val="00111317"/>
    <w:rsid w:val="00111CAF"/>
    <w:rsid w:val="0011266C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926"/>
    <w:rsid w:val="00125BB4"/>
    <w:rsid w:val="00127151"/>
    <w:rsid w:val="001277F3"/>
    <w:rsid w:val="0013011C"/>
    <w:rsid w:val="001312AF"/>
    <w:rsid w:val="00131696"/>
    <w:rsid w:val="0013171B"/>
    <w:rsid w:val="00131DF9"/>
    <w:rsid w:val="0013201F"/>
    <w:rsid w:val="00132263"/>
    <w:rsid w:val="001332EF"/>
    <w:rsid w:val="001334E0"/>
    <w:rsid w:val="00133750"/>
    <w:rsid w:val="00136B1B"/>
    <w:rsid w:val="001379A0"/>
    <w:rsid w:val="00140134"/>
    <w:rsid w:val="0014139D"/>
    <w:rsid w:val="0014167D"/>
    <w:rsid w:val="001432BB"/>
    <w:rsid w:val="001460DA"/>
    <w:rsid w:val="00146789"/>
    <w:rsid w:val="0015148F"/>
    <w:rsid w:val="0015260E"/>
    <w:rsid w:val="001527DF"/>
    <w:rsid w:val="001539E5"/>
    <w:rsid w:val="00155B55"/>
    <w:rsid w:val="0015686F"/>
    <w:rsid w:val="00156996"/>
    <w:rsid w:val="0015746C"/>
    <w:rsid w:val="001574FD"/>
    <w:rsid w:val="00165BB4"/>
    <w:rsid w:val="00170DCF"/>
    <w:rsid w:val="00171D2C"/>
    <w:rsid w:val="00173484"/>
    <w:rsid w:val="00173D43"/>
    <w:rsid w:val="0017453E"/>
    <w:rsid w:val="001751E5"/>
    <w:rsid w:val="00176A5D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4E"/>
    <w:rsid w:val="001A2F69"/>
    <w:rsid w:val="001A58C5"/>
    <w:rsid w:val="001B1B72"/>
    <w:rsid w:val="001B386E"/>
    <w:rsid w:val="001B7783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1B57"/>
    <w:rsid w:val="002020C7"/>
    <w:rsid w:val="00204478"/>
    <w:rsid w:val="00204C86"/>
    <w:rsid w:val="00204CEE"/>
    <w:rsid w:val="00205201"/>
    <w:rsid w:val="00205F80"/>
    <w:rsid w:val="00206CB9"/>
    <w:rsid w:val="002070B1"/>
    <w:rsid w:val="002114D6"/>
    <w:rsid w:val="002117E9"/>
    <w:rsid w:val="00211F5E"/>
    <w:rsid w:val="002137B2"/>
    <w:rsid w:val="0022189C"/>
    <w:rsid w:val="00223DEF"/>
    <w:rsid w:val="0022416B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73"/>
    <w:rsid w:val="00276FE2"/>
    <w:rsid w:val="00277065"/>
    <w:rsid w:val="00281DDF"/>
    <w:rsid w:val="00283823"/>
    <w:rsid w:val="0028424D"/>
    <w:rsid w:val="002843E3"/>
    <w:rsid w:val="00284B47"/>
    <w:rsid w:val="00285E5C"/>
    <w:rsid w:val="00290E7B"/>
    <w:rsid w:val="0029166E"/>
    <w:rsid w:val="002935B7"/>
    <w:rsid w:val="00294193"/>
    <w:rsid w:val="0029762D"/>
    <w:rsid w:val="002A06A4"/>
    <w:rsid w:val="002A1B78"/>
    <w:rsid w:val="002A5119"/>
    <w:rsid w:val="002A56C2"/>
    <w:rsid w:val="002A56D8"/>
    <w:rsid w:val="002A60A2"/>
    <w:rsid w:val="002A6165"/>
    <w:rsid w:val="002A70B3"/>
    <w:rsid w:val="002B01E2"/>
    <w:rsid w:val="002B253C"/>
    <w:rsid w:val="002B2C02"/>
    <w:rsid w:val="002B4554"/>
    <w:rsid w:val="002B514E"/>
    <w:rsid w:val="002B518B"/>
    <w:rsid w:val="002B5A4A"/>
    <w:rsid w:val="002C0415"/>
    <w:rsid w:val="002C0621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32ED"/>
    <w:rsid w:val="002E63BC"/>
    <w:rsid w:val="002E74E8"/>
    <w:rsid w:val="002F035F"/>
    <w:rsid w:val="002F13A9"/>
    <w:rsid w:val="002F18A5"/>
    <w:rsid w:val="002F4C59"/>
    <w:rsid w:val="003026B4"/>
    <w:rsid w:val="00303224"/>
    <w:rsid w:val="0031298B"/>
    <w:rsid w:val="00320439"/>
    <w:rsid w:val="00325679"/>
    <w:rsid w:val="00327333"/>
    <w:rsid w:val="003333E1"/>
    <w:rsid w:val="00334679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0834"/>
    <w:rsid w:val="00361C97"/>
    <w:rsid w:val="0036363C"/>
    <w:rsid w:val="00364440"/>
    <w:rsid w:val="00365691"/>
    <w:rsid w:val="00370B2E"/>
    <w:rsid w:val="00372F40"/>
    <w:rsid w:val="0038114E"/>
    <w:rsid w:val="00382C0B"/>
    <w:rsid w:val="00385C60"/>
    <w:rsid w:val="00386701"/>
    <w:rsid w:val="003876F1"/>
    <w:rsid w:val="00390FDE"/>
    <w:rsid w:val="0039209A"/>
    <w:rsid w:val="00394DC2"/>
    <w:rsid w:val="00395135"/>
    <w:rsid w:val="00395FA9"/>
    <w:rsid w:val="00396C2B"/>
    <w:rsid w:val="003A0303"/>
    <w:rsid w:val="003A04F6"/>
    <w:rsid w:val="003A2D79"/>
    <w:rsid w:val="003A3B4D"/>
    <w:rsid w:val="003B1FAC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15598"/>
    <w:rsid w:val="0042164B"/>
    <w:rsid w:val="004229B4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0944"/>
    <w:rsid w:val="00461AA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8F2"/>
    <w:rsid w:val="00484C0D"/>
    <w:rsid w:val="004925A6"/>
    <w:rsid w:val="004937DA"/>
    <w:rsid w:val="00495286"/>
    <w:rsid w:val="00497D8B"/>
    <w:rsid w:val="004A4264"/>
    <w:rsid w:val="004A5ED3"/>
    <w:rsid w:val="004B0128"/>
    <w:rsid w:val="004B23E8"/>
    <w:rsid w:val="004B3782"/>
    <w:rsid w:val="004C0408"/>
    <w:rsid w:val="004C12BB"/>
    <w:rsid w:val="004C2D3F"/>
    <w:rsid w:val="004C2E41"/>
    <w:rsid w:val="004C3F86"/>
    <w:rsid w:val="004C5CC7"/>
    <w:rsid w:val="004C6846"/>
    <w:rsid w:val="004D16CE"/>
    <w:rsid w:val="004D37F6"/>
    <w:rsid w:val="004D3EBC"/>
    <w:rsid w:val="004D41B8"/>
    <w:rsid w:val="004D6610"/>
    <w:rsid w:val="004D72DC"/>
    <w:rsid w:val="004D7551"/>
    <w:rsid w:val="004E0BA7"/>
    <w:rsid w:val="004E0C62"/>
    <w:rsid w:val="004E0D44"/>
    <w:rsid w:val="004E17C5"/>
    <w:rsid w:val="004E1DA6"/>
    <w:rsid w:val="004E3FCD"/>
    <w:rsid w:val="004E4D13"/>
    <w:rsid w:val="004E72F4"/>
    <w:rsid w:val="004E77B1"/>
    <w:rsid w:val="004F2423"/>
    <w:rsid w:val="004F44AF"/>
    <w:rsid w:val="004F4E84"/>
    <w:rsid w:val="004F5641"/>
    <w:rsid w:val="004F7856"/>
    <w:rsid w:val="004F7A85"/>
    <w:rsid w:val="004F7D69"/>
    <w:rsid w:val="00501FA3"/>
    <w:rsid w:val="00502891"/>
    <w:rsid w:val="00503C4F"/>
    <w:rsid w:val="00504D02"/>
    <w:rsid w:val="0050548D"/>
    <w:rsid w:val="005061E4"/>
    <w:rsid w:val="00510784"/>
    <w:rsid w:val="00511FF6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A8F"/>
    <w:rsid w:val="00544B9E"/>
    <w:rsid w:val="005524CF"/>
    <w:rsid w:val="00552BD6"/>
    <w:rsid w:val="00553F61"/>
    <w:rsid w:val="0055414F"/>
    <w:rsid w:val="0055473A"/>
    <w:rsid w:val="00554A09"/>
    <w:rsid w:val="0055516A"/>
    <w:rsid w:val="00557E8E"/>
    <w:rsid w:val="00557F71"/>
    <w:rsid w:val="00560BE1"/>
    <w:rsid w:val="005628A4"/>
    <w:rsid w:val="00565636"/>
    <w:rsid w:val="00567825"/>
    <w:rsid w:val="005727BE"/>
    <w:rsid w:val="005741E2"/>
    <w:rsid w:val="00574266"/>
    <w:rsid w:val="0057544A"/>
    <w:rsid w:val="005755D9"/>
    <w:rsid w:val="00575833"/>
    <w:rsid w:val="00575B95"/>
    <w:rsid w:val="00584953"/>
    <w:rsid w:val="005863BC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8F6"/>
    <w:rsid w:val="005C3A9C"/>
    <w:rsid w:val="005C5F20"/>
    <w:rsid w:val="005C660C"/>
    <w:rsid w:val="005D0D47"/>
    <w:rsid w:val="005D1410"/>
    <w:rsid w:val="005D2012"/>
    <w:rsid w:val="005D2569"/>
    <w:rsid w:val="005D3D25"/>
    <w:rsid w:val="005D739B"/>
    <w:rsid w:val="005D7BBC"/>
    <w:rsid w:val="005E0919"/>
    <w:rsid w:val="005E34D4"/>
    <w:rsid w:val="005E554E"/>
    <w:rsid w:val="005F179A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1F0B"/>
    <w:rsid w:val="0062524E"/>
    <w:rsid w:val="0062531F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388F"/>
    <w:rsid w:val="00654291"/>
    <w:rsid w:val="0065537E"/>
    <w:rsid w:val="00655A13"/>
    <w:rsid w:val="00663351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3E7"/>
    <w:rsid w:val="00687C5B"/>
    <w:rsid w:val="00693E26"/>
    <w:rsid w:val="00694BBE"/>
    <w:rsid w:val="006A005D"/>
    <w:rsid w:val="006A1648"/>
    <w:rsid w:val="006A2E69"/>
    <w:rsid w:val="006A3097"/>
    <w:rsid w:val="006A57B5"/>
    <w:rsid w:val="006A5EFF"/>
    <w:rsid w:val="006A79AF"/>
    <w:rsid w:val="006B028D"/>
    <w:rsid w:val="006B18DE"/>
    <w:rsid w:val="006B1FE7"/>
    <w:rsid w:val="006C3585"/>
    <w:rsid w:val="006C597C"/>
    <w:rsid w:val="006C7727"/>
    <w:rsid w:val="006D0FEA"/>
    <w:rsid w:val="006D1CD7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6F5520"/>
    <w:rsid w:val="006F72A2"/>
    <w:rsid w:val="00703611"/>
    <w:rsid w:val="00703E02"/>
    <w:rsid w:val="0070484A"/>
    <w:rsid w:val="0070524B"/>
    <w:rsid w:val="007107D2"/>
    <w:rsid w:val="00711125"/>
    <w:rsid w:val="00711BAD"/>
    <w:rsid w:val="00711C63"/>
    <w:rsid w:val="00713945"/>
    <w:rsid w:val="007155B0"/>
    <w:rsid w:val="00716A24"/>
    <w:rsid w:val="00720139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3EDF"/>
    <w:rsid w:val="007457AF"/>
    <w:rsid w:val="0075496D"/>
    <w:rsid w:val="00762743"/>
    <w:rsid w:val="007652B2"/>
    <w:rsid w:val="007671B6"/>
    <w:rsid w:val="00767ABD"/>
    <w:rsid w:val="00767EDD"/>
    <w:rsid w:val="00781FD8"/>
    <w:rsid w:val="007824AA"/>
    <w:rsid w:val="007832C5"/>
    <w:rsid w:val="00785BEA"/>
    <w:rsid w:val="00787C2B"/>
    <w:rsid w:val="00787D97"/>
    <w:rsid w:val="00792FFD"/>
    <w:rsid w:val="0079332C"/>
    <w:rsid w:val="00794E50"/>
    <w:rsid w:val="0079582C"/>
    <w:rsid w:val="007A588F"/>
    <w:rsid w:val="007A6BFD"/>
    <w:rsid w:val="007B0AE7"/>
    <w:rsid w:val="007B1690"/>
    <w:rsid w:val="007B2D58"/>
    <w:rsid w:val="007B4F65"/>
    <w:rsid w:val="007B6CDF"/>
    <w:rsid w:val="007C3040"/>
    <w:rsid w:val="007C3243"/>
    <w:rsid w:val="007C4E09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3DF"/>
    <w:rsid w:val="00804F59"/>
    <w:rsid w:val="008061A0"/>
    <w:rsid w:val="008063CD"/>
    <w:rsid w:val="00806433"/>
    <w:rsid w:val="008108F7"/>
    <w:rsid w:val="00811DAC"/>
    <w:rsid w:val="008123DA"/>
    <w:rsid w:val="00814725"/>
    <w:rsid w:val="00816F36"/>
    <w:rsid w:val="008223F3"/>
    <w:rsid w:val="008227AF"/>
    <w:rsid w:val="00823E3A"/>
    <w:rsid w:val="00826442"/>
    <w:rsid w:val="008278F9"/>
    <w:rsid w:val="0082797A"/>
    <w:rsid w:val="00830DFF"/>
    <w:rsid w:val="00831212"/>
    <w:rsid w:val="00831FB5"/>
    <w:rsid w:val="008336ED"/>
    <w:rsid w:val="0083460C"/>
    <w:rsid w:val="00835143"/>
    <w:rsid w:val="008417FE"/>
    <w:rsid w:val="00842564"/>
    <w:rsid w:val="008449EC"/>
    <w:rsid w:val="00844D0D"/>
    <w:rsid w:val="0084567F"/>
    <w:rsid w:val="00845DAE"/>
    <w:rsid w:val="00845DCB"/>
    <w:rsid w:val="00850934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4C0A"/>
    <w:rsid w:val="0086515F"/>
    <w:rsid w:val="008659DB"/>
    <w:rsid w:val="00870154"/>
    <w:rsid w:val="00870F6E"/>
    <w:rsid w:val="00871B2E"/>
    <w:rsid w:val="00871EDE"/>
    <w:rsid w:val="0087371D"/>
    <w:rsid w:val="00874F24"/>
    <w:rsid w:val="00875B9B"/>
    <w:rsid w:val="00880482"/>
    <w:rsid w:val="00880E7D"/>
    <w:rsid w:val="00881DE8"/>
    <w:rsid w:val="008856B2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3A8"/>
    <w:rsid w:val="008B544C"/>
    <w:rsid w:val="008B7F9A"/>
    <w:rsid w:val="008C1593"/>
    <w:rsid w:val="008C1861"/>
    <w:rsid w:val="008D0D31"/>
    <w:rsid w:val="008D197F"/>
    <w:rsid w:val="008D1D20"/>
    <w:rsid w:val="008D289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36B9"/>
    <w:rsid w:val="008F6320"/>
    <w:rsid w:val="008F6C45"/>
    <w:rsid w:val="008F6D58"/>
    <w:rsid w:val="008F7B21"/>
    <w:rsid w:val="008F7FE4"/>
    <w:rsid w:val="00902724"/>
    <w:rsid w:val="0090284D"/>
    <w:rsid w:val="009033C1"/>
    <w:rsid w:val="00903DB0"/>
    <w:rsid w:val="00904471"/>
    <w:rsid w:val="0090600E"/>
    <w:rsid w:val="00910C31"/>
    <w:rsid w:val="009128CE"/>
    <w:rsid w:val="009132B2"/>
    <w:rsid w:val="0091335B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000D"/>
    <w:rsid w:val="00942118"/>
    <w:rsid w:val="00944F78"/>
    <w:rsid w:val="00946A1F"/>
    <w:rsid w:val="00947ED7"/>
    <w:rsid w:val="00957043"/>
    <w:rsid w:val="009579C6"/>
    <w:rsid w:val="00961530"/>
    <w:rsid w:val="009627DE"/>
    <w:rsid w:val="00963AFD"/>
    <w:rsid w:val="009649D6"/>
    <w:rsid w:val="00965EEA"/>
    <w:rsid w:val="00967562"/>
    <w:rsid w:val="00967637"/>
    <w:rsid w:val="00970CFF"/>
    <w:rsid w:val="00972475"/>
    <w:rsid w:val="00977BE5"/>
    <w:rsid w:val="00982151"/>
    <w:rsid w:val="0098235E"/>
    <w:rsid w:val="0098238E"/>
    <w:rsid w:val="00987D98"/>
    <w:rsid w:val="009904BC"/>
    <w:rsid w:val="00991D26"/>
    <w:rsid w:val="00992F9E"/>
    <w:rsid w:val="00993379"/>
    <w:rsid w:val="0099392B"/>
    <w:rsid w:val="00996D87"/>
    <w:rsid w:val="009A3C0E"/>
    <w:rsid w:val="009B0B15"/>
    <w:rsid w:val="009B37FC"/>
    <w:rsid w:val="009B3D5A"/>
    <w:rsid w:val="009B3FA9"/>
    <w:rsid w:val="009C00A0"/>
    <w:rsid w:val="009C0175"/>
    <w:rsid w:val="009C1007"/>
    <w:rsid w:val="009C4A21"/>
    <w:rsid w:val="009C4CAA"/>
    <w:rsid w:val="009D21E5"/>
    <w:rsid w:val="009D23C6"/>
    <w:rsid w:val="009D3B70"/>
    <w:rsid w:val="009D3BF0"/>
    <w:rsid w:val="009D3D13"/>
    <w:rsid w:val="009D5D4C"/>
    <w:rsid w:val="009D7424"/>
    <w:rsid w:val="009E3A8A"/>
    <w:rsid w:val="009E543C"/>
    <w:rsid w:val="009E6D54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63D"/>
    <w:rsid w:val="00A23D2C"/>
    <w:rsid w:val="00A32366"/>
    <w:rsid w:val="00A363B6"/>
    <w:rsid w:val="00A46BF5"/>
    <w:rsid w:val="00A50B9D"/>
    <w:rsid w:val="00A5157B"/>
    <w:rsid w:val="00A57A31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97307"/>
    <w:rsid w:val="00AA2682"/>
    <w:rsid w:val="00AA4572"/>
    <w:rsid w:val="00AA4EF0"/>
    <w:rsid w:val="00AA6F09"/>
    <w:rsid w:val="00AB00B9"/>
    <w:rsid w:val="00AB2467"/>
    <w:rsid w:val="00AB2C38"/>
    <w:rsid w:val="00AB31BA"/>
    <w:rsid w:val="00AB6348"/>
    <w:rsid w:val="00AB6A4B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646"/>
    <w:rsid w:val="00AF7B30"/>
    <w:rsid w:val="00B03FA8"/>
    <w:rsid w:val="00B041F4"/>
    <w:rsid w:val="00B04CBB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4C05"/>
    <w:rsid w:val="00B45341"/>
    <w:rsid w:val="00B45738"/>
    <w:rsid w:val="00B46678"/>
    <w:rsid w:val="00B500B9"/>
    <w:rsid w:val="00B52B4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2FB3"/>
    <w:rsid w:val="00B83FF8"/>
    <w:rsid w:val="00B849EE"/>
    <w:rsid w:val="00B84D02"/>
    <w:rsid w:val="00B86174"/>
    <w:rsid w:val="00B87661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51"/>
    <w:rsid w:val="00BB6283"/>
    <w:rsid w:val="00BB6CAE"/>
    <w:rsid w:val="00BC1565"/>
    <w:rsid w:val="00BC2D38"/>
    <w:rsid w:val="00BC4A94"/>
    <w:rsid w:val="00BC71D9"/>
    <w:rsid w:val="00BC782D"/>
    <w:rsid w:val="00BC7AD1"/>
    <w:rsid w:val="00BD057A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8B3"/>
    <w:rsid w:val="00C04DC1"/>
    <w:rsid w:val="00C06A03"/>
    <w:rsid w:val="00C06DFA"/>
    <w:rsid w:val="00C11127"/>
    <w:rsid w:val="00C16E53"/>
    <w:rsid w:val="00C17577"/>
    <w:rsid w:val="00C20AAA"/>
    <w:rsid w:val="00C223A9"/>
    <w:rsid w:val="00C22749"/>
    <w:rsid w:val="00C22ED1"/>
    <w:rsid w:val="00C236E3"/>
    <w:rsid w:val="00C27C4F"/>
    <w:rsid w:val="00C333F3"/>
    <w:rsid w:val="00C341A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3757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296"/>
    <w:rsid w:val="00C755AD"/>
    <w:rsid w:val="00C76297"/>
    <w:rsid w:val="00C80DE2"/>
    <w:rsid w:val="00C823D8"/>
    <w:rsid w:val="00C837C3"/>
    <w:rsid w:val="00C86926"/>
    <w:rsid w:val="00C86C59"/>
    <w:rsid w:val="00C90772"/>
    <w:rsid w:val="00C91C5A"/>
    <w:rsid w:val="00C92AB8"/>
    <w:rsid w:val="00C945F5"/>
    <w:rsid w:val="00C962D8"/>
    <w:rsid w:val="00C971FA"/>
    <w:rsid w:val="00CA247E"/>
    <w:rsid w:val="00CA6671"/>
    <w:rsid w:val="00CB0DD3"/>
    <w:rsid w:val="00CB1CBA"/>
    <w:rsid w:val="00CB495B"/>
    <w:rsid w:val="00CB542A"/>
    <w:rsid w:val="00CB549A"/>
    <w:rsid w:val="00CC0C4D"/>
    <w:rsid w:val="00CC226D"/>
    <w:rsid w:val="00CC36D9"/>
    <w:rsid w:val="00CC39F0"/>
    <w:rsid w:val="00CC4FFF"/>
    <w:rsid w:val="00CC592F"/>
    <w:rsid w:val="00CC5BD8"/>
    <w:rsid w:val="00CC7EF0"/>
    <w:rsid w:val="00CD01E7"/>
    <w:rsid w:val="00CD0A8E"/>
    <w:rsid w:val="00CD0C91"/>
    <w:rsid w:val="00CD262C"/>
    <w:rsid w:val="00CD3BFD"/>
    <w:rsid w:val="00CD6D9A"/>
    <w:rsid w:val="00CE05A0"/>
    <w:rsid w:val="00CF0020"/>
    <w:rsid w:val="00CF11F9"/>
    <w:rsid w:val="00CF3B1B"/>
    <w:rsid w:val="00D00E92"/>
    <w:rsid w:val="00D01755"/>
    <w:rsid w:val="00D02B53"/>
    <w:rsid w:val="00D02B81"/>
    <w:rsid w:val="00D04C8F"/>
    <w:rsid w:val="00D055EC"/>
    <w:rsid w:val="00D05732"/>
    <w:rsid w:val="00D065BA"/>
    <w:rsid w:val="00D06BD1"/>
    <w:rsid w:val="00D114BD"/>
    <w:rsid w:val="00D11D66"/>
    <w:rsid w:val="00D1208F"/>
    <w:rsid w:val="00D1393B"/>
    <w:rsid w:val="00D14366"/>
    <w:rsid w:val="00D14BDC"/>
    <w:rsid w:val="00D1510B"/>
    <w:rsid w:val="00D16375"/>
    <w:rsid w:val="00D2220B"/>
    <w:rsid w:val="00D26003"/>
    <w:rsid w:val="00D26929"/>
    <w:rsid w:val="00D27380"/>
    <w:rsid w:val="00D33283"/>
    <w:rsid w:val="00D33AE3"/>
    <w:rsid w:val="00D44728"/>
    <w:rsid w:val="00D454F6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2B0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71FA"/>
    <w:rsid w:val="00D90874"/>
    <w:rsid w:val="00D909AE"/>
    <w:rsid w:val="00D90CF9"/>
    <w:rsid w:val="00D93CA5"/>
    <w:rsid w:val="00D971E9"/>
    <w:rsid w:val="00D97431"/>
    <w:rsid w:val="00DA0120"/>
    <w:rsid w:val="00DA0E64"/>
    <w:rsid w:val="00DA2A10"/>
    <w:rsid w:val="00DA308C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14C8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810"/>
    <w:rsid w:val="00E43BD9"/>
    <w:rsid w:val="00E43C4B"/>
    <w:rsid w:val="00E47E53"/>
    <w:rsid w:val="00E524D6"/>
    <w:rsid w:val="00E53376"/>
    <w:rsid w:val="00E5449A"/>
    <w:rsid w:val="00E575A0"/>
    <w:rsid w:val="00E60845"/>
    <w:rsid w:val="00E62601"/>
    <w:rsid w:val="00E62C97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87B6D"/>
    <w:rsid w:val="00E90C02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C7246"/>
    <w:rsid w:val="00ED165B"/>
    <w:rsid w:val="00ED2D8A"/>
    <w:rsid w:val="00ED3D3F"/>
    <w:rsid w:val="00ED4AAB"/>
    <w:rsid w:val="00ED574A"/>
    <w:rsid w:val="00ED6AE0"/>
    <w:rsid w:val="00EE403C"/>
    <w:rsid w:val="00EE46FB"/>
    <w:rsid w:val="00EE4796"/>
    <w:rsid w:val="00EE4BFC"/>
    <w:rsid w:val="00EE55DE"/>
    <w:rsid w:val="00EE5B6C"/>
    <w:rsid w:val="00EF1094"/>
    <w:rsid w:val="00EF1CC1"/>
    <w:rsid w:val="00F02319"/>
    <w:rsid w:val="00F0382B"/>
    <w:rsid w:val="00F059A4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5E36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A98"/>
    <w:rsid w:val="00F53D03"/>
    <w:rsid w:val="00F65FB0"/>
    <w:rsid w:val="00F67D6F"/>
    <w:rsid w:val="00F706A0"/>
    <w:rsid w:val="00F72302"/>
    <w:rsid w:val="00F738E9"/>
    <w:rsid w:val="00F74006"/>
    <w:rsid w:val="00F755D0"/>
    <w:rsid w:val="00F75FDC"/>
    <w:rsid w:val="00F761CA"/>
    <w:rsid w:val="00F77682"/>
    <w:rsid w:val="00F82244"/>
    <w:rsid w:val="00F82FF5"/>
    <w:rsid w:val="00F84B96"/>
    <w:rsid w:val="00F870B0"/>
    <w:rsid w:val="00F91945"/>
    <w:rsid w:val="00F95521"/>
    <w:rsid w:val="00F96D24"/>
    <w:rsid w:val="00F97969"/>
    <w:rsid w:val="00FA1782"/>
    <w:rsid w:val="00FA59BF"/>
    <w:rsid w:val="00FA7121"/>
    <w:rsid w:val="00FA7C1A"/>
    <w:rsid w:val="00FB0CF4"/>
    <w:rsid w:val="00FB1010"/>
    <w:rsid w:val="00FB2D1A"/>
    <w:rsid w:val="00FB49CD"/>
    <w:rsid w:val="00FB50D9"/>
    <w:rsid w:val="00FB52F4"/>
    <w:rsid w:val="00FB5841"/>
    <w:rsid w:val="00FB7283"/>
    <w:rsid w:val="00FB7D5C"/>
    <w:rsid w:val="00FC01E1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31A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CAE5-6566-43F7-98EC-DCDDA417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20</Pages>
  <Words>2609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73</cp:revision>
  <cp:lastPrinted>2021-10-11T19:11:00Z</cp:lastPrinted>
  <dcterms:created xsi:type="dcterms:W3CDTF">2021-07-08T21:47:00Z</dcterms:created>
  <dcterms:modified xsi:type="dcterms:W3CDTF">2021-10-11T21:17:00Z</dcterms:modified>
</cp:coreProperties>
</file>