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bookmarkStart w:id="0" w:name="_GoBack"/>
      <w:bookmarkEnd w:id="0"/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:rsidR="003D52C5" w:rsidRPr="004558C9" w:rsidRDefault="003D52C5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p w:rsidR="004558C9" w:rsidRPr="004558C9" w:rsidRDefault="004558C9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:rsidTr="0025730A">
        <w:trPr>
          <w:trHeight w:val="48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COSSIES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DE SEGURIDAD PÚBLICA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FOSEG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INDUVIT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I.T.C.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ITPCD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lastRenderedPageBreak/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U.P.T. </w:t>
            </w:r>
            <w:proofErr w:type="gramStart"/>
            <w:r w:rsidRPr="004558C9">
              <w:rPr>
                <w:rFonts w:ascii="Arial" w:hAnsi="Arial" w:cs="Arial"/>
                <w:sz w:val="18"/>
                <w:szCs w:val="18"/>
              </w:rPr>
              <w:t>R.P</w:t>
            </w:r>
            <w:proofErr w:type="gramEnd"/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CEAT</w:t>
            </w:r>
          </w:p>
        </w:tc>
      </w:tr>
      <w:tr w:rsidR="004558C9" w:rsidRPr="004558C9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CSITARET</w:t>
            </w:r>
          </w:p>
        </w:tc>
      </w:tr>
    </w:tbl>
    <w:p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al </w:t>
      </w:r>
      <w:r w:rsidR="008B2559">
        <w:rPr>
          <w:rFonts w:ascii="Arial" w:hAnsi="Arial" w:cs="Arial"/>
          <w:sz w:val="18"/>
          <w:szCs w:val="18"/>
        </w:rPr>
        <w:t>tercer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573E49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Efectivo y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F534D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34D">
              <w:rPr>
                <w:rFonts w:ascii="Calibri" w:hAnsi="Calibri"/>
                <w:color w:val="000000"/>
                <w:sz w:val="22"/>
                <w:szCs w:val="22"/>
              </w:rPr>
              <w:t>1,076,850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80,890,989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15,101,485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168,223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2,742,772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F534D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34D">
              <w:rPr>
                <w:rFonts w:ascii="Calibri" w:hAnsi="Calibri"/>
                <w:color w:val="000000"/>
                <w:sz w:val="22"/>
                <w:szCs w:val="22"/>
              </w:rPr>
              <w:t>6,599,517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352,994</w:t>
            </w:r>
          </w:p>
        </w:tc>
      </w:tr>
      <w:tr w:rsidR="00AF4950" w:rsidRPr="00F06131" w:rsidTr="0025730A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109,040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F534D" w:rsidP="00EA25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34D">
              <w:rPr>
                <w:rFonts w:ascii="Calibri" w:hAnsi="Calibri"/>
                <w:color w:val="000000"/>
                <w:sz w:val="22"/>
                <w:szCs w:val="22"/>
              </w:rPr>
              <w:t>14,822,831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32,646,183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30,845,464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136,389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22,288,177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1,971,574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86,357,871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8,873,769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6,661,057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20,779,785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F534D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34D">
              <w:rPr>
                <w:rFonts w:ascii="Calibri" w:hAnsi="Calibri"/>
                <w:color w:val="000000"/>
                <w:sz w:val="22"/>
                <w:szCs w:val="22"/>
              </w:rPr>
              <w:t>13,373,879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23,623,166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282,095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10,969,622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210,124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25730A" w:rsidRDefault="006F058D" w:rsidP="008E55B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608,659,207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24,321,631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162,789,945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6F058D" w:rsidP="00403ED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058D">
              <w:rPr>
                <w:rFonts w:ascii="Calibri" w:hAnsi="Calibri"/>
                <w:color w:val="000000"/>
                <w:sz w:val="22"/>
                <w:szCs w:val="22"/>
              </w:rPr>
              <w:t>18,850,712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AF4950" w:rsidRPr="00F06131" w:rsidRDefault="00A75601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DF534D" w:rsidP="0088265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F534D">
              <w:rPr>
                <w:rFonts w:ascii="Calibri" w:hAnsi="Calibri"/>
                <w:color w:val="000000"/>
                <w:sz w:val="22"/>
                <w:szCs w:val="22"/>
              </w:rPr>
              <w:t>293,882</w:t>
            </w:r>
          </w:p>
        </w:tc>
      </w:tr>
      <w:tr w:rsidR="00AF4950" w:rsidRPr="00F06131" w:rsidTr="0025730A">
        <w:trPr>
          <w:trHeight w:val="240"/>
        </w:trPr>
        <w:tc>
          <w:tcPr>
            <w:tcW w:w="9355" w:type="dxa"/>
            <w:shd w:val="clear" w:color="auto" w:fill="auto"/>
          </w:tcPr>
          <w:p w:rsidR="00AF4950" w:rsidRPr="00A7560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A75601" w:rsidRDefault="00DF534D" w:rsidP="007932D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F534D">
              <w:rPr>
                <w:rFonts w:ascii="Calibri" w:hAnsi="Calibri"/>
                <w:b/>
                <w:color w:val="000000"/>
                <w:sz w:val="22"/>
                <w:szCs w:val="22"/>
              </w:rPr>
              <w:t>1,195,799,233</w:t>
            </w:r>
          </w:p>
        </w:tc>
      </w:tr>
    </w:tbl>
    <w:p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754F0E" w:rsidRDefault="00E34B26" w:rsidP="00754F0E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72461C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8B2559">
        <w:rPr>
          <w:rFonts w:ascii="Arial" w:hAnsi="Arial" w:cs="Arial"/>
          <w:sz w:val="18"/>
          <w:szCs w:val="18"/>
        </w:rPr>
        <w:t>septiembre</w:t>
      </w:r>
      <w:r w:rsidRPr="00232BD7">
        <w:rPr>
          <w:rFonts w:ascii="Arial" w:hAnsi="Arial" w:cs="Arial"/>
          <w:sz w:val="18"/>
          <w:szCs w:val="18"/>
        </w:rPr>
        <w:t xml:space="preserve"> 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7D7CA8" w:rsidRPr="00526770">
        <w:rPr>
          <w:rFonts w:ascii="Arial" w:hAnsi="Arial" w:cs="Arial"/>
          <w:sz w:val="18"/>
          <w:szCs w:val="18"/>
        </w:rPr>
        <w:t>220,</w:t>
      </w:r>
      <w:r w:rsidR="00526770">
        <w:rPr>
          <w:rFonts w:ascii="Arial" w:hAnsi="Arial" w:cs="Arial"/>
          <w:sz w:val="18"/>
          <w:szCs w:val="18"/>
        </w:rPr>
        <w:t>454,726.00</w:t>
      </w:r>
    </w:p>
    <w:p w:rsidR="00232BD7" w:rsidRDefault="00232BD7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59,593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216,248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139,059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6,799</w:t>
            </w:r>
          </w:p>
        </w:tc>
      </w:tr>
      <w:tr w:rsidR="00AF4950" w:rsidRPr="00D43A79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563,426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9E540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2,000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15,015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2,526,656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14,681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153,730,859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99,510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24,326,569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24,264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3,000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18,356,448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226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1,390,376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657,707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526770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26770">
              <w:rPr>
                <w:rFonts w:ascii="Calibri" w:hAnsi="Calibri"/>
                <w:color w:val="000000"/>
                <w:sz w:val="22"/>
                <w:szCs w:val="22"/>
              </w:rPr>
              <w:t>56,725,791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161,984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312,955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755,452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Default="00126486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color w:val="000000"/>
                <w:sz w:val="22"/>
                <w:szCs w:val="22"/>
              </w:rPr>
              <w:t>51,669</w:t>
            </w:r>
          </w:p>
        </w:tc>
      </w:tr>
      <w:tr w:rsidR="00AF4950" w:rsidRPr="00D43A79" w:rsidTr="000332CF">
        <w:trPr>
          <w:trHeight w:val="240"/>
        </w:trPr>
        <w:tc>
          <w:tcPr>
            <w:tcW w:w="9629" w:type="dxa"/>
            <w:shd w:val="clear" w:color="auto" w:fill="auto"/>
          </w:tcPr>
          <w:p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4950" w:rsidRPr="005D1D7E" w:rsidRDefault="00126486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26486">
              <w:rPr>
                <w:rFonts w:ascii="Calibri" w:hAnsi="Calibri"/>
                <w:b/>
                <w:color w:val="000000"/>
                <w:sz w:val="22"/>
                <w:szCs w:val="22"/>
              </w:rPr>
              <w:t>260,140,287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397A4E" w:rsidRDefault="00397A4E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E34B26" w:rsidRPr="001F38EF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D7053A" w:rsidRPr="00724DA5" w:rsidRDefault="00E34B26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8B2559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8B2559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397A4E">
        <w:rPr>
          <w:rFonts w:ascii="Arial" w:hAnsi="Arial" w:cs="Arial"/>
          <w:sz w:val="18"/>
          <w:szCs w:val="18"/>
        </w:rPr>
        <w:t xml:space="preserve"> </w:t>
      </w:r>
      <w:r w:rsidR="00A71B2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erechos a </w:t>
      </w:r>
      <w:r w:rsidR="00A71B2A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ecibir</w:t>
      </w:r>
      <w:r w:rsidR="00A71B2A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fectivo y </w:t>
      </w:r>
      <w:r w:rsidR="00A71B2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quivalentes por</w:t>
      </w:r>
      <w:r w:rsidR="00397A4E">
        <w:rPr>
          <w:rFonts w:ascii="Arial" w:hAnsi="Arial" w:cs="Arial"/>
          <w:sz w:val="18"/>
          <w:szCs w:val="18"/>
        </w:rPr>
        <w:t xml:space="preserve"> </w:t>
      </w:r>
      <w:r w:rsidR="00724DA5" w:rsidRPr="00724DA5">
        <w:rPr>
          <w:rFonts w:ascii="Arial" w:hAnsi="Arial" w:cs="Arial"/>
          <w:sz w:val="18"/>
          <w:szCs w:val="18"/>
        </w:rPr>
        <w:t>$</w:t>
      </w:r>
      <w:r w:rsidR="00526770" w:rsidRPr="00526770">
        <w:rPr>
          <w:rFonts w:ascii="Arial" w:hAnsi="Arial" w:cs="Arial"/>
          <w:sz w:val="18"/>
          <w:szCs w:val="18"/>
        </w:rPr>
        <w:t>6,061,662.00</w:t>
      </w:r>
    </w:p>
    <w:p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9F237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48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9F237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color w:val="000000"/>
                <w:sz w:val="22"/>
                <w:szCs w:val="22"/>
              </w:rPr>
              <w:t>17,472,228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9F237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color w:val="000000"/>
                <w:sz w:val="22"/>
                <w:szCs w:val="22"/>
              </w:rPr>
              <w:t>31,254,009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9F237F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color w:val="000000"/>
                <w:sz w:val="22"/>
                <w:szCs w:val="22"/>
              </w:rPr>
              <w:t>1,386,739</w:t>
            </w: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:rsidTr="00587A5F">
        <w:trPr>
          <w:trHeight w:val="240"/>
        </w:trPr>
        <w:tc>
          <w:tcPr>
            <w:tcW w:w="9355" w:type="dxa"/>
            <w:shd w:val="clear" w:color="auto" w:fill="auto"/>
          </w:tcPr>
          <w:p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lastRenderedPageBreak/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EE9" w:rsidRPr="00A75601" w:rsidRDefault="009F237F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b/>
                <w:color w:val="000000"/>
                <w:sz w:val="22"/>
                <w:szCs w:val="22"/>
              </w:rPr>
              <w:t>50,112,977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8B2559">
        <w:rPr>
          <w:rFonts w:ascii="Arial" w:hAnsi="Arial" w:cs="Arial"/>
          <w:sz w:val="18"/>
          <w:szCs w:val="18"/>
        </w:rPr>
        <w:t>septiembre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573E49">
        <w:rPr>
          <w:rFonts w:ascii="Arial" w:hAnsi="Arial" w:cs="Arial"/>
          <w:sz w:val="18"/>
          <w:szCs w:val="18"/>
        </w:rPr>
        <w:t>1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142,606,832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143,528,486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48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10,228,726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F237F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color w:val="000000"/>
                <w:sz w:val="22"/>
                <w:szCs w:val="22"/>
              </w:rPr>
              <w:t>119,504,307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166,103,494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23,639,322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44,894,262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22,582,579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14,094,167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F237F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F237F">
              <w:rPr>
                <w:rFonts w:ascii="Calibri" w:hAnsi="Calibri"/>
                <w:color w:val="000000"/>
                <w:sz w:val="22"/>
                <w:szCs w:val="22"/>
              </w:rPr>
              <w:t>2,629,097,384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311,993,748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444,159,847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62,651,218</w:t>
            </w:r>
          </w:p>
        </w:tc>
      </w:tr>
      <w:tr w:rsidR="00F3024B" w:rsidRPr="00F06131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C51623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51623">
              <w:rPr>
                <w:rFonts w:ascii="Calibri" w:hAnsi="Calibri"/>
                <w:color w:val="000000"/>
                <w:sz w:val="22"/>
                <w:szCs w:val="22"/>
              </w:rPr>
              <w:t>43,690,207</w:t>
            </w:r>
          </w:p>
        </w:tc>
      </w:tr>
    </w:tbl>
    <w:p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Pr="004558C9" w:rsidRDefault="004F6B5F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1E1E1F" w:rsidRPr="00B65AD2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555C6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A43759">
        <w:rPr>
          <w:rFonts w:ascii="Arial" w:hAnsi="Arial" w:cs="Arial"/>
          <w:sz w:val="18"/>
          <w:szCs w:val="18"/>
        </w:rPr>
        <w:t>1</w:t>
      </w:r>
      <w:r w:rsidRPr="00555C66">
        <w:rPr>
          <w:rFonts w:ascii="Arial" w:hAnsi="Arial" w:cs="Arial"/>
          <w:sz w:val="18"/>
          <w:szCs w:val="18"/>
        </w:rPr>
        <w:t xml:space="preserve"> de </w:t>
      </w:r>
      <w:r w:rsidR="008926D5">
        <w:rPr>
          <w:rFonts w:ascii="Arial" w:hAnsi="Arial" w:cs="Arial"/>
          <w:sz w:val="18"/>
          <w:szCs w:val="18"/>
        </w:rPr>
        <w:t>septiembre</w:t>
      </w:r>
      <w:r w:rsidRPr="00555C66">
        <w:rPr>
          <w:rFonts w:ascii="Arial" w:hAnsi="Arial" w:cs="Arial"/>
          <w:sz w:val="18"/>
          <w:szCs w:val="18"/>
        </w:rPr>
        <w:t xml:space="preserve"> presenta saldo en</w:t>
      </w:r>
      <w:r w:rsidR="001E1E1F" w:rsidRPr="00555C66">
        <w:rPr>
          <w:rFonts w:ascii="Arial" w:hAnsi="Arial" w:cs="Arial"/>
          <w:sz w:val="18"/>
          <w:szCs w:val="18"/>
        </w:rPr>
        <w:t xml:space="preserve"> B</w:t>
      </w:r>
      <w:r w:rsidRPr="00555C66">
        <w:rPr>
          <w:rFonts w:ascii="Arial" w:hAnsi="Arial" w:cs="Arial"/>
          <w:sz w:val="18"/>
          <w:szCs w:val="18"/>
        </w:rPr>
        <w:t>ienes</w:t>
      </w:r>
      <w:r w:rsidR="001E1E1F" w:rsidRPr="00555C66">
        <w:rPr>
          <w:rFonts w:ascii="Arial" w:hAnsi="Arial" w:cs="Arial"/>
          <w:sz w:val="18"/>
          <w:szCs w:val="18"/>
        </w:rPr>
        <w:t xml:space="preserve"> I</w:t>
      </w:r>
      <w:r w:rsidRPr="00555C66">
        <w:rPr>
          <w:rFonts w:ascii="Arial" w:hAnsi="Arial" w:cs="Arial"/>
          <w:sz w:val="18"/>
          <w:szCs w:val="18"/>
        </w:rPr>
        <w:t xml:space="preserve">nmuebles </w:t>
      </w:r>
      <w:r w:rsidRPr="00B65AD2">
        <w:rPr>
          <w:rFonts w:ascii="Arial" w:hAnsi="Arial" w:cs="Arial"/>
          <w:sz w:val="18"/>
          <w:szCs w:val="18"/>
        </w:rPr>
        <w:t>por</w:t>
      </w:r>
      <w:r w:rsidR="001E1E1F" w:rsidRPr="00B65AD2">
        <w:rPr>
          <w:rFonts w:ascii="Arial" w:hAnsi="Arial" w:cs="Arial"/>
          <w:sz w:val="18"/>
          <w:szCs w:val="18"/>
        </w:rPr>
        <w:t xml:space="preserve"> </w:t>
      </w:r>
      <w:r w:rsidR="00A44D8F" w:rsidRPr="00B65AD2">
        <w:rPr>
          <w:rFonts w:ascii="Arial" w:hAnsi="Arial" w:cs="Arial"/>
          <w:sz w:val="18"/>
          <w:szCs w:val="18"/>
        </w:rPr>
        <w:t>$</w:t>
      </w:r>
      <w:r w:rsidR="00A44D8F" w:rsidRPr="008D51D6">
        <w:rPr>
          <w:rFonts w:ascii="Arial" w:hAnsi="Arial" w:cs="Arial"/>
          <w:sz w:val="18"/>
          <w:szCs w:val="18"/>
        </w:rPr>
        <w:t>32,178,</w:t>
      </w:r>
      <w:r w:rsidR="00B65AD2" w:rsidRPr="008D51D6">
        <w:rPr>
          <w:rFonts w:ascii="Arial" w:hAnsi="Arial" w:cs="Arial"/>
          <w:sz w:val="18"/>
          <w:szCs w:val="18"/>
        </w:rPr>
        <w:t>8</w:t>
      </w:r>
      <w:r w:rsidR="00A44D8F" w:rsidRPr="008D51D6">
        <w:rPr>
          <w:rFonts w:ascii="Arial" w:hAnsi="Arial" w:cs="Arial"/>
          <w:sz w:val="18"/>
          <w:szCs w:val="18"/>
        </w:rPr>
        <w:t>08.00</w:t>
      </w:r>
    </w:p>
    <w:p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8926D5">
        <w:rPr>
          <w:rFonts w:ascii="Arial" w:hAnsi="Arial" w:cs="Arial"/>
          <w:sz w:val="18"/>
          <w:szCs w:val="18"/>
        </w:rPr>
        <w:t xml:space="preserve">septiembre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573E49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>:</w:t>
      </w:r>
    </w:p>
    <w:p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2,147,782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73,766,056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85,488,975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258,000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34,674,436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55,276,083</w:t>
            </w:r>
          </w:p>
        </w:tc>
      </w:tr>
      <w:tr w:rsidR="00F3024B" w:rsidRPr="00F06131" w:rsidTr="000332CF">
        <w:trPr>
          <w:trHeight w:val="48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269,758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CENTRO DE SERVICIOS INTEGRALES PARA EL TRATAMIENTO DE AGUAS RESIDUALES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7,605,479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57,839,229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25,340,550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5,195,285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10,122,022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5,554,343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16,407,363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7,232,285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39,498,550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2,550,091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27,188,800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11,072,400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124,155,724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4,511,275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D51D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D51D6">
              <w:rPr>
                <w:rFonts w:ascii="Calibri" w:hAnsi="Calibri"/>
                <w:color w:val="000000"/>
                <w:sz w:val="22"/>
                <w:szCs w:val="22"/>
              </w:rPr>
              <w:t>1,014,450,887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137,149,396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252,291,213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8E6B04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6B04">
              <w:rPr>
                <w:rFonts w:ascii="Calibri" w:hAnsi="Calibri"/>
                <w:color w:val="000000"/>
                <w:sz w:val="22"/>
                <w:szCs w:val="22"/>
              </w:rPr>
              <w:t>103,818,002</w:t>
            </w:r>
          </w:p>
        </w:tc>
      </w:tr>
      <w:tr w:rsidR="00F3024B" w:rsidRPr="00F06131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990126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90126">
              <w:rPr>
                <w:rFonts w:ascii="Calibri" w:hAnsi="Calibri"/>
                <w:color w:val="000000"/>
                <w:sz w:val="22"/>
                <w:szCs w:val="22"/>
              </w:rPr>
              <w:t>30,918,019</w:t>
            </w:r>
          </w:p>
        </w:tc>
      </w:tr>
    </w:tbl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F6B5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8926D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8926D5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915FA4">
        <w:rPr>
          <w:rFonts w:ascii="Arial" w:hAnsi="Arial" w:cs="Arial"/>
          <w:sz w:val="18"/>
          <w:szCs w:val="18"/>
        </w:rPr>
        <w:t>$</w:t>
      </w:r>
      <w:r w:rsidR="00915FA4" w:rsidRPr="00990126">
        <w:rPr>
          <w:rFonts w:ascii="Arial" w:hAnsi="Arial" w:cs="Arial"/>
          <w:sz w:val="18"/>
          <w:szCs w:val="18"/>
        </w:rPr>
        <w:t>739,270.00</w:t>
      </w:r>
    </w:p>
    <w:p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E3799" w:rsidRDefault="000E379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8926D5">
        <w:rPr>
          <w:rFonts w:ascii="Arial" w:hAnsi="Arial" w:cs="Arial"/>
          <w:sz w:val="18"/>
          <w:szCs w:val="18"/>
        </w:rPr>
        <w:t>septiembre</w:t>
      </w:r>
      <w:r w:rsidR="008828C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 AGUA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D062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062C">
              <w:rPr>
                <w:rFonts w:ascii="Calibri" w:hAnsi="Calibri"/>
                <w:color w:val="000000"/>
                <w:sz w:val="22"/>
                <w:szCs w:val="22"/>
              </w:rPr>
              <w:t>418,105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16,056,383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6,804,401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39,313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1,228,652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D062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062C">
              <w:rPr>
                <w:rFonts w:ascii="Calibri" w:hAnsi="Calibri"/>
                <w:color w:val="000000"/>
                <w:sz w:val="22"/>
                <w:szCs w:val="22"/>
              </w:rPr>
              <w:t>789,208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27,061</w:t>
            </w:r>
          </w:p>
        </w:tc>
      </w:tr>
      <w:tr w:rsidR="00F3024B" w:rsidRPr="00F06131" w:rsidTr="000D062C">
        <w:trPr>
          <w:trHeight w:val="48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SERVICIO SOCIAL DE ESTUDIANTES DE LAS INSTITUCIONES DE EDUCACIÓN SUPERIOR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SERVICIOS INTEGRALES PARA EL TRATAMIENTO DE AGUAS RESIDUALES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D062C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062C">
              <w:rPr>
                <w:rFonts w:ascii="Calibri" w:hAnsi="Calibri"/>
                <w:color w:val="000000"/>
                <w:sz w:val="22"/>
                <w:szCs w:val="22"/>
              </w:rPr>
              <w:t>316,674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776,024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8,145,090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10,841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27,120,677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1,871,178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169,175,707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541,382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12,648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PARA LA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812,872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INMOBILIARIO DE DESARROLLO URBANO Y VIVIENDA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D062C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062C">
              <w:rPr>
                <w:rFonts w:ascii="Calibri" w:hAnsi="Calibri"/>
                <w:color w:val="000000"/>
                <w:sz w:val="22"/>
                <w:szCs w:val="22"/>
              </w:rPr>
              <w:t>713,053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4,608,269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217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CULTURA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502,036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PERSONAS CON DISCAPACIDAD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97,914,027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7,036,869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42,576,314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332CF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332CF">
              <w:rPr>
                <w:rFonts w:ascii="Calibri" w:hAnsi="Calibri"/>
                <w:color w:val="000000"/>
                <w:sz w:val="22"/>
                <w:szCs w:val="22"/>
              </w:rPr>
              <w:t>2,937,980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Default="000D062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0D062C">
              <w:rPr>
                <w:rFonts w:ascii="Calibri" w:hAnsi="Calibri"/>
                <w:color w:val="000000"/>
                <w:sz w:val="22"/>
                <w:szCs w:val="22"/>
              </w:rPr>
              <w:t>423,791</w:t>
            </w:r>
          </w:p>
        </w:tc>
      </w:tr>
      <w:tr w:rsidR="00F3024B" w:rsidRPr="00F06131" w:rsidTr="000D062C">
        <w:trPr>
          <w:trHeight w:val="240"/>
        </w:trPr>
        <w:tc>
          <w:tcPr>
            <w:tcW w:w="10080" w:type="dxa"/>
            <w:shd w:val="clear" w:color="auto" w:fill="auto"/>
          </w:tcPr>
          <w:p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024B" w:rsidRPr="00C5506D" w:rsidRDefault="000D062C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D062C">
              <w:rPr>
                <w:rFonts w:ascii="Calibri" w:hAnsi="Calibri"/>
                <w:b/>
                <w:color w:val="000000"/>
                <w:sz w:val="22"/>
                <w:szCs w:val="22"/>
              </w:rPr>
              <w:t>390,858,772</w:t>
            </w:r>
          </w:p>
        </w:tc>
      </w:tr>
    </w:tbl>
    <w:p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87CD7" w:rsidRDefault="00287CD7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287CD7" w:rsidRDefault="00287CD7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:rsidR="004F6B5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Libertad Centro Cultural de Apizaco consolida su información con el Instituto Tlaxcalteca de la Cultura.</w:t>
      </w:r>
    </w:p>
    <w:p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:rsidR="009D5AAF" w:rsidRPr="004B7D4D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8926D5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8926D5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4B7D4D">
        <w:rPr>
          <w:rFonts w:ascii="Arial" w:hAnsi="Arial" w:cs="Arial"/>
          <w:sz w:val="18"/>
          <w:szCs w:val="18"/>
        </w:rPr>
        <w:t>$</w:t>
      </w:r>
      <w:r w:rsidR="006B1097" w:rsidRPr="000D062C">
        <w:rPr>
          <w:rFonts w:ascii="Arial" w:hAnsi="Arial" w:cs="Arial"/>
          <w:sz w:val="18"/>
          <w:szCs w:val="18"/>
        </w:rPr>
        <w:t>267,</w:t>
      </w:r>
      <w:r w:rsidR="000D062C" w:rsidRPr="000D062C">
        <w:rPr>
          <w:rFonts w:ascii="Arial" w:hAnsi="Arial" w:cs="Arial"/>
          <w:sz w:val="18"/>
          <w:szCs w:val="18"/>
        </w:rPr>
        <w:t>946,171.00</w:t>
      </w:r>
    </w:p>
    <w:p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3F2586" w:rsidRPr="004558C9" w:rsidRDefault="003F2586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8926D5">
        <w:rPr>
          <w:rFonts w:ascii="Arial" w:hAnsi="Arial" w:cs="Arial"/>
          <w:sz w:val="18"/>
          <w:szCs w:val="18"/>
        </w:rPr>
        <w:t>tercer</w:t>
      </w:r>
      <w:r w:rsidR="00704717">
        <w:rPr>
          <w:rFonts w:ascii="Arial" w:hAnsi="Arial" w:cs="Arial"/>
          <w:sz w:val="18"/>
          <w:szCs w:val="18"/>
        </w:rPr>
        <w:t xml:space="preserve"> 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0D062C" w:rsidRPr="000D062C">
        <w:rPr>
          <w:rFonts w:ascii="Arial" w:hAnsi="Arial" w:cs="Arial"/>
          <w:sz w:val="18"/>
          <w:szCs w:val="18"/>
        </w:rPr>
        <w:t>975,078,748</w:t>
      </w:r>
      <w:r w:rsidR="000D062C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B955B9" w:rsidRDefault="00B955B9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3F0B3E" w:rsidRDefault="003F0B3E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3F0B3E" w:rsidRDefault="003F0B3E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D062C" w:rsidRDefault="000D062C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D062C" w:rsidRDefault="000D062C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0D062C" w:rsidRDefault="000D062C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3F0B3E" w:rsidRDefault="003F0B3E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Flujo de Efectivo</w:t>
      </w:r>
    </w:p>
    <w:p w:rsidR="003F2586" w:rsidRPr="004558C9" w:rsidRDefault="003F2586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 xml:space="preserve">ingresos de gestión por la cantidad de </w:t>
      </w:r>
      <w:r w:rsidR="000D062C" w:rsidRPr="000D062C">
        <w:rPr>
          <w:rFonts w:ascii="Arial" w:hAnsi="Arial" w:cs="Arial"/>
          <w:sz w:val="18"/>
          <w:szCs w:val="18"/>
        </w:rPr>
        <w:t>7,731,521,984</w:t>
      </w:r>
      <w:r w:rsidR="000D062C">
        <w:rPr>
          <w:rFonts w:ascii="Arial" w:hAnsi="Arial" w:cs="Arial"/>
          <w:sz w:val="18"/>
          <w:szCs w:val="18"/>
        </w:rPr>
        <w:t>.00</w:t>
      </w:r>
      <w:r w:rsidR="00483B3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8926D5">
        <w:rPr>
          <w:rFonts w:ascii="Arial" w:hAnsi="Arial" w:cs="Arial"/>
          <w:sz w:val="18"/>
          <w:szCs w:val="18"/>
        </w:rPr>
        <w:t>septiembre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F450B5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60BB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0D062C" w:rsidRPr="000D062C">
        <w:rPr>
          <w:rFonts w:ascii="Arial" w:hAnsi="Arial" w:cs="Arial"/>
          <w:sz w:val="18"/>
          <w:szCs w:val="18"/>
        </w:rPr>
        <w:t>7,021,232,666</w:t>
      </w:r>
      <w:r w:rsidR="000D062C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 pesos</w:t>
      </w:r>
      <w:proofErr w:type="gramEnd"/>
      <w:r w:rsidRPr="004558C9">
        <w:rPr>
          <w:rFonts w:ascii="Arial" w:hAnsi="Arial" w:cs="Arial"/>
          <w:sz w:val="18"/>
          <w:szCs w:val="18"/>
        </w:rPr>
        <w:t xml:space="preserve">, reflejándose un diferencial de operación por 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="000D062C" w:rsidRPr="000D062C">
        <w:rPr>
          <w:rFonts w:ascii="Arial" w:hAnsi="Arial" w:cs="Arial"/>
          <w:sz w:val="18"/>
          <w:szCs w:val="18"/>
        </w:rPr>
        <w:t>710,289,318</w:t>
      </w:r>
      <w:r w:rsidR="000D062C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0D062C" w:rsidRPr="000D062C">
        <w:rPr>
          <w:rFonts w:ascii="Arial" w:hAnsi="Arial" w:cs="Arial"/>
          <w:sz w:val="18"/>
          <w:szCs w:val="18"/>
        </w:rPr>
        <w:t>16,262,064</w:t>
      </w:r>
      <w:r w:rsidR="000D062C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72461C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ED622B">
        <w:rPr>
          <w:rFonts w:ascii="Arial" w:hAnsi="Arial" w:cs="Arial"/>
          <w:sz w:val="18"/>
          <w:szCs w:val="18"/>
        </w:rPr>
        <w:t>septiembre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F450B5">
        <w:rPr>
          <w:rFonts w:ascii="Arial" w:hAnsi="Arial" w:cs="Arial"/>
          <w:sz w:val="18"/>
          <w:szCs w:val="18"/>
        </w:rPr>
        <w:t>1</w:t>
      </w:r>
      <w:r w:rsidRPr="004558C9">
        <w:rPr>
          <w:rFonts w:ascii="Arial" w:hAnsi="Arial" w:cs="Arial"/>
          <w:sz w:val="18"/>
          <w:szCs w:val="18"/>
        </w:rPr>
        <w:t xml:space="preserve"> asciende a </w:t>
      </w:r>
      <w:r w:rsidR="000D062C" w:rsidRPr="000D062C">
        <w:rPr>
          <w:rFonts w:ascii="Arial" w:hAnsi="Arial" w:cs="Arial"/>
          <w:sz w:val="18"/>
          <w:szCs w:val="18"/>
        </w:rPr>
        <w:t>324,680,351</w:t>
      </w:r>
      <w:r w:rsidR="000D062C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="000D062C" w:rsidRPr="000D062C">
        <w:rPr>
          <w:rFonts w:ascii="Arial" w:hAnsi="Arial" w:cs="Arial"/>
          <w:sz w:val="18"/>
          <w:szCs w:val="18"/>
        </w:rPr>
        <w:t>-308,418,287</w:t>
      </w:r>
      <w:r w:rsidR="000D062C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D062C" w:rsidRPr="000D062C">
        <w:rPr>
          <w:rFonts w:ascii="Arial" w:hAnsi="Arial" w:cs="Arial"/>
          <w:sz w:val="18"/>
          <w:szCs w:val="18"/>
        </w:rPr>
        <w:t>400,300,814</w:t>
      </w:r>
      <w:r w:rsidR="000D062C">
        <w:rPr>
          <w:rFonts w:ascii="Arial" w:hAnsi="Arial" w:cs="Arial"/>
          <w:sz w:val="18"/>
          <w:szCs w:val="18"/>
        </w:rPr>
        <w:t>.00</w:t>
      </w:r>
      <w:r w:rsidR="00D844B7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0D062C" w:rsidRPr="000D062C">
        <w:rPr>
          <w:rFonts w:ascii="Arial" w:hAnsi="Arial" w:cs="Arial"/>
          <w:sz w:val="18"/>
          <w:szCs w:val="18"/>
        </w:rPr>
        <w:t>1,131,974,928</w:t>
      </w:r>
      <w:r w:rsidR="000D062C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0D062C" w:rsidRPr="000D062C">
        <w:rPr>
          <w:rFonts w:ascii="Arial" w:hAnsi="Arial" w:cs="Arial"/>
          <w:sz w:val="18"/>
          <w:szCs w:val="18"/>
        </w:rPr>
        <w:t>-731,674,114</w:t>
      </w:r>
      <w:r w:rsidR="000D062C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:rsidR="003F2586" w:rsidRDefault="003F258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584F3B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584F3B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C3" w:rsidRDefault="00E142C3">
      <w:r>
        <w:separator/>
      </w:r>
    </w:p>
  </w:endnote>
  <w:endnote w:type="continuationSeparator" w:id="0">
    <w:p w:rsidR="00E142C3" w:rsidRDefault="00E1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Pr="00A228B9" w:rsidRDefault="009F237F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Pr="002809DB" w:rsidRDefault="009F237F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9F237F" w:rsidRPr="00A228B9" w:rsidRDefault="009F237F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Pr="002809DB" w:rsidRDefault="009F237F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:rsidR="009F237F" w:rsidRPr="00A228B9" w:rsidRDefault="009F237F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C3" w:rsidRDefault="00E142C3">
      <w:r>
        <w:separator/>
      </w:r>
    </w:p>
  </w:footnote>
  <w:footnote w:type="continuationSeparator" w:id="0">
    <w:p w:rsidR="00E142C3" w:rsidRDefault="00E1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Pr="002809DB" w:rsidRDefault="009F237F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37F" w:rsidRPr="00AA652D" w:rsidRDefault="009F237F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" stroked="f">
              <v:textbox>
                <w:txbxContent>
                  <w:p w:rsidR="009F237F" w:rsidRPr="00AA652D" w:rsidRDefault="009F237F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37F" w:rsidRPr="00AA652D" w:rsidRDefault="009F237F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gsbAM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9F237F" w:rsidRPr="00AA652D" w:rsidRDefault="009F237F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Default="009F237F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:rsidR="009F237F" w:rsidRPr="00497797" w:rsidRDefault="009F237F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Pr="002809DB" w:rsidRDefault="009F237F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37F" w:rsidRPr="00AA652D" w:rsidRDefault="009F237F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" stroked="f">
              <v:textbox>
                <w:txbxContent>
                  <w:p w:rsidR="009F237F" w:rsidRPr="00AA652D" w:rsidRDefault="009F237F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37F" w:rsidRPr="00AA652D" w:rsidRDefault="009F237F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" stroked="f">
              <v:textbox>
                <w:txbxContent>
                  <w:p w:rsidR="009F237F" w:rsidRPr="00AA652D" w:rsidRDefault="009F237F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37F" w:rsidRPr="002809DB" w:rsidRDefault="009F237F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37F" w:rsidRPr="00497797" w:rsidRDefault="009F237F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:rsidR="009F237F" w:rsidRPr="00497797" w:rsidRDefault="009F237F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  <w:num w:numId="16">
    <w:abstractNumId w:val="0"/>
  </w:num>
  <w:num w:numId="17">
    <w:abstractNumId w:val="4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25ED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3DF1"/>
    <w:rsid w:val="00063EA6"/>
    <w:rsid w:val="0006463E"/>
    <w:rsid w:val="00064969"/>
    <w:rsid w:val="0006529B"/>
    <w:rsid w:val="0006650E"/>
    <w:rsid w:val="000674A8"/>
    <w:rsid w:val="00071233"/>
    <w:rsid w:val="000722C2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CA3"/>
    <w:rsid w:val="00097DDA"/>
    <w:rsid w:val="000A04D9"/>
    <w:rsid w:val="000A0712"/>
    <w:rsid w:val="000A0EB9"/>
    <w:rsid w:val="000A14B8"/>
    <w:rsid w:val="000A1CD9"/>
    <w:rsid w:val="000A204D"/>
    <w:rsid w:val="000A2512"/>
    <w:rsid w:val="000A39DC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C00FF"/>
    <w:rsid w:val="000C046F"/>
    <w:rsid w:val="000C0C81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72A0"/>
    <w:rsid w:val="000F74C6"/>
    <w:rsid w:val="000F79B7"/>
    <w:rsid w:val="001000AE"/>
    <w:rsid w:val="00101978"/>
    <w:rsid w:val="00102FF2"/>
    <w:rsid w:val="001042D7"/>
    <w:rsid w:val="001045F8"/>
    <w:rsid w:val="001059EB"/>
    <w:rsid w:val="001064F1"/>
    <w:rsid w:val="00114B14"/>
    <w:rsid w:val="00116F9D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FB0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756A"/>
    <w:rsid w:val="001E76A0"/>
    <w:rsid w:val="001E7A8F"/>
    <w:rsid w:val="001F0380"/>
    <w:rsid w:val="001F1C10"/>
    <w:rsid w:val="001F1EBB"/>
    <w:rsid w:val="001F2B6F"/>
    <w:rsid w:val="001F38EF"/>
    <w:rsid w:val="001F3FD7"/>
    <w:rsid w:val="001F4B48"/>
    <w:rsid w:val="001F66EF"/>
    <w:rsid w:val="00200A51"/>
    <w:rsid w:val="002015DB"/>
    <w:rsid w:val="00201E62"/>
    <w:rsid w:val="002020EC"/>
    <w:rsid w:val="00202A0C"/>
    <w:rsid w:val="00203925"/>
    <w:rsid w:val="00203F78"/>
    <w:rsid w:val="00205485"/>
    <w:rsid w:val="00206284"/>
    <w:rsid w:val="00207EF6"/>
    <w:rsid w:val="00211037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BCB"/>
    <w:rsid w:val="0026424A"/>
    <w:rsid w:val="00264C81"/>
    <w:rsid w:val="00265FF9"/>
    <w:rsid w:val="0027121D"/>
    <w:rsid w:val="00273FF7"/>
    <w:rsid w:val="002746C5"/>
    <w:rsid w:val="00275FC6"/>
    <w:rsid w:val="002809DB"/>
    <w:rsid w:val="00281841"/>
    <w:rsid w:val="0028373B"/>
    <w:rsid w:val="00285B72"/>
    <w:rsid w:val="00286927"/>
    <w:rsid w:val="00287CD7"/>
    <w:rsid w:val="00287EC5"/>
    <w:rsid w:val="00290A1E"/>
    <w:rsid w:val="002914B5"/>
    <w:rsid w:val="002917C4"/>
    <w:rsid w:val="002917EF"/>
    <w:rsid w:val="00292137"/>
    <w:rsid w:val="00295733"/>
    <w:rsid w:val="00295CE8"/>
    <w:rsid w:val="00295E86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350B"/>
    <w:rsid w:val="002E3F8E"/>
    <w:rsid w:val="002E5A4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7944"/>
    <w:rsid w:val="00357BCC"/>
    <w:rsid w:val="0036144D"/>
    <w:rsid w:val="00361475"/>
    <w:rsid w:val="003617C9"/>
    <w:rsid w:val="00363026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E51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30ED"/>
    <w:rsid w:val="003A517C"/>
    <w:rsid w:val="003A7E4D"/>
    <w:rsid w:val="003B1DD2"/>
    <w:rsid w:val="003B3FFD"/>
    <w:rsid w:val="003B4352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6DA"/>
    <w:rsid w:val="003E68F1"/>
    <w:rsid w:val="003E7073"/>
    <w:rsid w:val="003F0B3E"/>
    <w:rsid w:val="003F0D0E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58C9"/>
    <w:rsid w:val="0045688B"/>
    <w:rsid w:val="004575DB"/>
    <w:rsid w:val="004600B2"/>
    <w:rsid w:val="00461081"/>
    <w:rsid w:val="00462BB9"/>
    <w:rsid w:val="0046346C"/>
    <w:rsid w:val="00463616"/>
    <w:rsid w:val="00463882"/>
    <w:rsid w:val="00463902"/>
    <w:rsid w:val="00464499"/>
    <w:rsid w:val="00464B29"/>
    <w:rsid w:val="004666AD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59B5"/>
    <w:rsid w:val="004B5C83"/>
    <w:rsid w:val="004B7D4D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6838"/>
    <w:rsid w:val="004F1C06"/>
    <w:rsid w:val="004F29E6"/>
    <w:rsid w:val="004F2F74"/>
    <w:rsid w:val="004F43A7"/>
    <w:rsid w:val="004F4747"/>
    <w:rsid w:val="004F4D35"/>
    <w:rsid w:val="004F5206"/>
    <w:rsid w:val="004F6B5F"/>
    <w:rsid w:val="004F6EA1"/>
    <w:rsid w:val="00500D62"/>
    <w:rsid w:val="005020F5"/>
    <w:rsid w:val="00502A17"/>
    <w:rsid w:val="00503380"/>
    <w:rsid w:val="00504127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207C4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21DE"/>
    <w:rsid w:val="006022B0"/>
    <w:rsid w:val="00602A2C"/>
    <w:rsid w:val="00602DCF"/>
    <w:rsid w:val="00603911"/>
    <w:rsid w:val="00603AA4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6810"/>
    <w:rsid w:val="00641064"/>
    <w:rsid w:val="006412C4"/>
    <w:rsid w:val="00642C57"/>
    <w:rsid w:val="00644D08"/>
    <w:rsid w:val="00646E01"/>
    <w:rsid w:val="0065095F"/>
    <w:rsid w:val="00650F0D"/>
    <w:rsid w:val="006510EA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39DC"/>
    <w:rsid w:val="00664615"/>
    <w:rsid w:val="006651AA"/>
    <w:rsid w:val="00665D1C"/>
    <w:rsid w:val="00666857"/>
    <w:rsid w:val="0067190E"/>
    <w:rsid w:val="00674D34"/>
    <w:rsid w:val="006758C9"/>
    <w:rsid w:val="00675CA5"/>
    <w:rsid w:val="0068040B"/>
    <w:rsid w:val="00681FD8"/>
    <w:rsid w:val="00684CB6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D2D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1C6B"/>
    <w:rsid w:val="006F2CDC"/>
    <w:rsid w:val="006F2CE5"/>
    <w:rsid w:val="006F3766"/>
    <w:rsid w:val="006F5C81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F7B"/>
    <w:rsid w:val="007437D6"/>
    <w:rsid w:val="00743B5C"/>
    <w:rsid w:val="00745E54"/>
    <w:rsid w:val="007463E5"/>
    <w:rsid w:val="007525A2"/>
    <w:rsid w:val="007528C4"/>
    <w:rsid w:val="0075297D"/>
    <w:rsid w:val="00752C15"/>
    <w:rsid w:val="007531B7"/>
    <w:rsid w:val="00753A00"/>
    <w:rsid w:val="00753D45"/>
    <w:rsid w:val="00754F0E"/>
    <w:rsid w:val="00761C82"/>
    <w:rsid w:val="00761F8C"/>
    <w:rsid w:val="00762818"/>
    <w:rsid w:val="00762A8C"/>
    <w:rsid w:val="00764774"/>
    <w:rsid w:val="007657CF"/>
    <w:rsid w:val="00767A64"/>
    <w:rsid w:val="007740BC"/>
    <w:rsid w:val="0077473B"/>
    <w:rsid w:val="007752B8"/>
    <w:rsid w:val="00776048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94D"/>
    <w:rsid w:val="0078701F"/>
    <w:rsid w:val="00787C53"/>
    <w:rsid w:val="00790874"/>
    <w:rsid w:val="00790B31"/>
    <w:rsid w:val="00791B3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91E"/>
    <w:rsid w:val="00800A87"/>
    <w:rsid w:val="008010BA"/>
    <w:rsid w:val="00803106"/>
    <w:rsid w:val="008054D5"/>
    <w:rsid w:val="00805B87"/>
    <w:rsid w:val="00805CF8"/>
    <w:rsid w:val="008063C7"/>
    <w:rsid w:val="00806AA5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E9F"/>
    <w:rsid w:val="00866E77"/>
    <w:rsid w:val="008674F3"/>
    <w:rsid w:val="00867648"/>
    <w:rsid w:val="00867983"/>
    <w:rsid w:val="00870723"/>
    <w:rsid w:val="008710D0"/>
    <w:rsid w:val="008729F6"/>
    <w:rsid w:val="008741A6"/>
    <w:rsid w:val="0087446F"/>
    <w:rsid w:val="0087498B"/>
    <w:rsid w:val="00874BEE"/>
    <w:rsid w:val="0087530F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428C"/>
    <w:rsid w:val="0091574D"/>
    <w:rsid w:val="00915FA4"/>
    <w:rsid w:val="009168F8"/>
    <w:rsid w:val="00917510"/>
    <w:rsid w:val="009209A0"/>
    <w:rsid w:val="0092455C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AD6"/>
    <w:rsid w:val="009A2838"/>
    <w:rsid w:val="009A3172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5108"/>
    <w:rsid w:val="009F53EF"/>
    <w:rsid w:val="009F6EB7"/>
    <w:rsid w:val="009F795B"/>
    <w:rsid w:val="00A005A0"/>
    <w:rsid w:val="00A00A06"/>
    <w:rsid w:val="00A0193F"/>
    <w:rsid w:val="00A0269E"/>
    <w:rsid w:val="00A07FD3"/>
    <w:rsid w:val="00A108F0"/>
    <w:rsid w:val="00A12D9B"/>
    <w:rsid w:val="00A134E5"/>
    <w:rsid w:val="00A139F1"/>
    <w:rsid w:val="00A13CCB"/>
    <w:rsid w:val="00A14711"/>
    <w:rsid w:val="00A15822"/>
    <w:rsid w:val="00A15B77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1A0C"/>
    <w:rsid w:val="00A61E9D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6078"/>
    <w:rsid w:val="00A87817"/>
    <w:rsid w:val="00A90E3B"/>
    <w:rsid w:val="00A93171"/>
    <w:rsid w:val="00A93847"/>
    <w:rsid w:val="00A963CE"/>
    <w:rsid w:val="00A97401"/>
    <w:rsid w:val="00AA17C4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950"/>
    <w:rsid w:val="00AF1CEC"/>
    <w:rsid w:val="00AF349D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568D"/>
    <w:rsid w:val="00B15D7B"/>
    <w:rsid w:val="00B1789E"/>
    <w:rsid w:val="00B20A88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8A6"/>
    <w:rsid w:val="00B60E04"/>
    <w:rsid w:val="00B614F7"/>
    <w:rsid w:val="00B618D9"/>
    <w:rsid w:val="00B621D1"/>
    <w:rsid w:val="00B624B3"/>
    <w:rsid w:val="00B645AF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B9"/>
    <w:rsid w:val="00B82898"/>
    <w:rsid w:val="00B836AE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7BFF"/>
    <w:rsid w:val="00BA0A84"/>
    <w:rsid w:val="00BA0ADC"/>
    <w:rsid w:val="00BA26BB"/>
    <w:rsid w:val="00BA365E"/>
    <w:rsid w:val="00BA3767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2B83"/>
    <w:rsid w:val="00BC4BF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F72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BAF"/>
    <w:rsid w:val="00CA0D4B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382B"/>
    <w:rsid w:val="00CB54A2"/>
    <w:rsid w:val="00CB5F42"/>
    <w:rsid w:val="00CB7D39"/>
    <w:rsid w:val="00CC22C1"/>
    <w:rsid w:val="00CC4C20"/>
    <w:rsid w:val="00CC544A"/>
    <w:rsid w:val="00CC641A"/>
    <w:rsid w:val="00CC7034"/>
    <w:rsid w:val="00CD12A6"/>
    <w:rsid w:val="00CD293A"/>
    <w:rsid w:val="00CD2E0E"/>
    <w:rsid w:val="00CD47E1"/>
    <w:rsid w:val="00CD77E5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100D"/>
    <w:rsid w:val="00D51A64"/>
    <w:rsid w:val="00D53163"/>
    <w:rsid w:val="00D5346A"/>
    <w:rsid w:val="00D53F0A"/>
    <w:rsid w:val="00D54E80"/>
    <w:rsid w:val="00D5581E"/>
    <w:rsid w:val="00D55B4A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7053A"/>
    <w:rsid w:val="00D70E0E"/>
    <w:rsid w:val="00D71702"/>
    <w:rsid w:val="00D7201E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E0321"/>
    <w:rsid w:val="00DE2E2F"/>
    <w:rsid w:val="00DE3623"/>
    <w:rsid w:val="00DE4749"/>
    <w:rsid w:val="00DE6B86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11F25"/>
    <w:rsid w:val="00E12775"/>
    <w:rsid w:val="00E12997"/>
    <w:rsid w:val="00E129A5"/>
    <w:rsid w:val="00E142C3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7FB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E2D"/>
    <w:rsid w:val="00F7391F"/>
    <w:rsid w:val="00F739BA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623"/>
    <w:rsid w:val="00F94658"/>
    <w:rsid w:val="00F954C5"/>
    <w:rsid w:val="00F96E70"/>
    <w:rsid w:val="00F97F2E"/>
    <w:rsid w:val="00FA004E"/>
    <w:rsid w:val="00FA07B8"/>
    <w:rsid w:val="00FA1593"/>
    <w:rsid w:val="00FA3842"/>
    <w:rsid w:val="00FA3BD1"/>
    <w:rsid w:val="00FB0432"/>
    <w:rsid w:val="00FB0C70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464A"/>
    <w:rsid w:val="00FF2156"/>
    <w:rsid w:val="00FF24E6"/>
    <w:rsid w:val="00FF2C2D"/>
    <w:rsid w:val="00FF3DF7"/>
    <w:rsid w:val="00FF539E"/>
    <w:rsid w:val="00FF5C5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9706C0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E4CEB3C-25EB-459C-B5B8-67786EC0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12</Pages>
  <Words>3240</Words>
  <Characters>17823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23</cp:revision>
  <cp:lastPrinted>2017-01-25T02:27:00Z</cp:lastPrinted>
  <dcterms:created xsi:type="dcterms:W3CDTF">2021-01-19T19:39:00Z</dcterms:created>
  <dcterms:modified xsi:type="dcterms:W3CDTF">2021-10-18T20:06:00Z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