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807" w:rsidRDefault="005A11F9" w:rsidP="00354B86">
      <w:pPr>
        <w:ind w:firstLine="142"/>
        <w:jc w:val="center"/>
        <w:rPr>
          <w:noProof/>
          <w:lang w:eastAsia="es-MX"/>
        </w:rPr>
      </w:pPr>
      <w:r>
        <w:rPr>
          <w:noProof/>
          <w:lang w:eastAsia="es-MX"/>
        </w:rPr>
        <w:drawing>
          <wp:inline distT="0" distB="0" distL="0" distR="0" wp14:anchorId="6D56AE38" wp14:editId="262DA24B">
            <wp:extent cx="8189317" cy="6115793"/>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51" t="19688" r="47232" b="12977"/>
                    <a:stretch/>
                  </pic:blipFill>
                  <pic:spPr bwMode="auto">
                    <a:xfrm>
                      <a:off x="0" y="0"/>
                      <a:ext cx="8201487" cy="6124881"/>
                    </a:xfrm>
                    <a:prstGeom prst="rect">
                      <a:avLst/>
                    </a:prstGeom>
                    <a:ln>
                      <a:noFill/>
                    </a:ln>
                    <a:extLst>
                      <a:ext uri="{53640926-AAD7-44D8-BBD7-CCE9431645EC}">
                        <a14:shadowObscured xmlns:a14="http://schemas.microsoft.com/office/drawing/2010/main"/>
                      </a:ext>
                    </a:extLst>
                  </pic:spPr>
                </pic:pic>
              </a:graphicData>
            </a:graphic>
          </wp:inline>
        </w:drawing>
      </w:r>
      <w:r w:rsidR="00FA2697">
        <w:rPr>
          <w:noProof/>
          <w:lang w:eastAsia="es-MX"/>
        </w:rPr>
        <w:t xml:space="preserve"> </w:t>
      </w:r>
    </w:p>
    <w:p w:rsidR="00B66C9F" w:rsidRDefault="00B66C9F" w:rsidP="00354B86">
      <w:pPr>
        <w:ind w:firstLine="142"/>
        <w:jc w:val="center"/>
        <w:rPr>
          <w:noProof/>
          <w:lang w:eastAsia="es-MX"/>
        </w:rPr>
      </w:pPr>
    </w:p>
    <w:p w:rsidR="00826E00" w:rsidRDefault="00C127F8" w:rsidP="00F95B76">
      <w:pPr>
        <w:jc w:val="center"/>
        <w:rPr>
          <w:rFonts w:ascii="Soberana Sans Light" w:hAnsi="Soberana Sans Light"/>
          <w:b/>
          <w:sz w:val="32"/>
        </w:rPr>
      </w:pPr>
      <w:r w:rsidRPr="00C127F8">
        <w:rPr>
          <w:rFonts w:ascii="Soberana Sans Light" w:hAnsi="Soberana Sans Light"/>
          <w:b/>
          <w:sz w:val="32"/>
        </w:rPr>
        <w:t>PROGRAMAS Y PROYECTOS DE INVERSIÓN</w:t>
      </w:r>
    </w:p>
    <w:tbl>
      <w:tblPr>
        <w:tblW w:w="13325" w:type="dxa"/>
        <w:tblInd w:w="70" w:type="dxa"/>
        <w:tblCellMar>
          <w:left w:w="70" w:type="dxa"/>
          <w:right w:w="70" w:type="dxa"/>
        </w:tblCellMar>
        <w:tblLook w:val="04A0" w:firstRow="1" w:lastRow="0" w:firstColumn="1" w:lastColumn="0" w:noHBand="0" w:noVBand="1"/>
      </w:tblPr>
      <w:tblGrid>
        <w:gridCol w:w="1415"/>
        <w:gridCol w:w="3263"/>
        <w:gridCol w:w="8647"/>
      </w:tblGrid>
      <w:tr w:rsidR="005A11F9" w:rsidRPr="005A11F9" w:rsidTr="005A11F9">
        <w:trPr>
          <w:trHeight w:val="407"/>
        </w:trPr>
        <w:tc>
          <w:tcPr>
            <w:tcW w:w="13325" w:type="dxa"/>
            <w:gridSpan w:val="3"/>
            <w:tcBorders>
              <w:top w:val="nil"/>
              <w:left w:val="nil"/>
              <w:bottom w:val="nil"/>
              <w:right w:val="nil"/>
            </w:tcBorders>
            <w:shd w:val="clear" w:color="000000" w:fill="FFFFFF"/>
            <w:vAlign w:val="center"/>
            <w:hideMark/>
          </w:tcPr>
          <w:p w:rsidR="005A11F9" w:rsidRPr="005A11F9" w:rsidRDefault="005A11F9" w:rsidP="005A11F9">
            <w:pPr>
              <w:spacing w:after="0" w:line="240" w:lineRule="auto"/>
              <w:jc w:val="center"/>
              <w:rPr>
                <w:rFonts w:ascii="Arial" w:eastAsia="Times New Roman" w:hAnsi="Arial" w:cs="Arial"/>
                <w:b/>
                <w:bCs/>
                <w:color w:val="000000"/>
                <w:sz w:val="24"/>
                <w:szCs w:val="32"/>
                <w:lang w:eastAsia="es-MX"/>
              </w:rPr>
            </w:pPr>
            <w:r w:rsidRPr="005A11F9">
              <w:rPr>
                <w:rFonts w:ascii="Arial" w:eastAsia="Times New Roman" w:hAnsi="Arial" w:cs="Arial"/>
                <w:b/>
                <w:bCs/>
                <w:color w:val="000000"/>
                <w:sz w:val="24"/>
                <w:szCs w:val="32"/>
                <w:lang w:eastAsia="es-MX"/>
              </w:rPr>
              <w:t>UNIVERSIDAD AUTÓNOMA DE TLAXCALA</w:t>
            </w:r>
          </w:p>
        </w:tc>
      </w:tr>
      <w:tr w:rsidR="005A11F9" w:rsidRPr="005A11F9" w:rsidTr="005A11F9">
        <w:trPr>
          <w:trHeight w:val="407"/>
        </w:trPr>
        <w:tc>
          <w:tcPr>
            <w:tcW w:w="13325" w:type="dxa"/>
            <w:gridSpan w:val="3"/>
            <w:tcBorders>
              <w:top w:val="nil"/>
              <w:left w:val="nil"/>
              <w:bottom w:val="nil"/>
              <w:right w:val="nil"/>
            </w:tcBorders>
            <w:shd w:val="clear" w:color="000000" w:fill="FFFFFF"/>
            <w:vAlign w:val="center"/>
            <w:hideMark/>
          </w:tcPr>
          <w:p w:rsidR="005A11F9" w:rsidRPr="005A11F9" w:rsidRDefault="005A11F9" w:rsidP="005A11F9">
            <w:pPr>
              <w:spacing w:after="0" w:line="240" w:lineRule="auto"/>
              <w:jc w:val="center"/>
              <w:rPr>
                <w:rFonts w:ascii="Arial" w:eastAsia="Times New Roman" w:hAnsi="Arial" w:cs="Arial"/>
                <w:b/>
                <w:bCs/>
                <w:color w:val="000000"/>
                <w:sz w:val="24"/>
                <w:szCs w:val="32"/>
                <w:lang w:eastAsia="es-MX"/>
              </w:rPr>
            </w:pPr>
            <w:r w:rsidRPr="005A11F9">
              <w:rPr>
                <w:rFonts w:ascii="Arial" w:eastAsia="Times New Roman" w:hAnsi="Arial" w:cs="Arial"/>
                <w:b/>
                <w:bCs/>
                <w:color w:val="000000"/>
                <w:sz w:val="24"/>
                <w:szCs w:val="32"/>
                <w:lang w:eastAsia="es-MX"/>
              </w:rPr>
              <w:t>SECRETARIA ADMINISTRATIVA</w:t>
            </w:r>
          </w:p>
        </w:tc>
      </w:tr>
      <w:tr w:rsidR="005A11F9" w:rsidRPr="005A11F9" w:rsidTr="005A11F9">
        <w:trPr>
          <w:trHeight w:val="407"/>
        </w:trPr>
        <w:tc>
          <w:tcPr>
            <w:tcW w:w="13325" w:type="dxa"/>
            <w:gridSpan w:val="3"/>
            <w:tcBorders>
              <w:top w:val="nil"/>
              <w:left w:val="nil"/>
              <w:bottom w:val="nil"/>
              <w:right w:val="nil"/>
            </w:tcBorders>
            <w:shd w:val="clear" w:color="000000" w:fill="FFFFFF"/>
            <w:vAlign w:val="center"/>
            <w:hideMark/>
          </w:tcPr>
          <w:p w:rsidR="005A11F9" w:rsidRPr="005A11F9" w:rsidRDefault="005A11F9" w:rsidP="005A11F9">
            <w:pPr>
              <w:spacing w:after="0" w:line="240" w:lineRule="auto"/>
              <w:jc w:val="center"/>
              <w:rPr>
                <w:rFonts w:ascii="Arial" w:eastAsia="Times New Roman" w:hAnsi="Arial" w:cs="Arial"/>
                <w:b/>
                <w:bCs/>
                <w:color w:val="000000"/>
                <w:sz w:val="24"/>
                <w:szCs w:val="32"/>
                <w:lang w:eastAsia="es-MX"/>
              </w:rPr>
            </w:pPr>
            <w:r w:rsidRPr="005A11F9">
              <w:rPr>
                <w:rFonts w:ascii="Arial" w:eastAsia="Times New Roman" w:hAnsi="Arial" w:cs="Arial"/>
                <w:b/>
                <w:bCs/>
                <w:color w:val="000000"/>
                <w:sz w:val="24"/>
                <w:szCs w:val="32"/>
                <w:lang w:eastAsia="es-MX"/>
              </w:rPr>
              <w:t>RESUMEN DE OBRAS PÚBLICAS  DEL 01 DE OCTUBRE AL 31 DE DICIEMBRE DE 2023</w:t>
            </w:r>
          </w:p>
        </w:tc>
      </w:tr>
      <w:tr w:rsidR="005A11F9" w:rsidRPr="005A11F9" w:rsidTr="005A11F9">
        <w:trPr>
          <w:trHeight w:val="226"/>
        </w:trPr>
        <w:tc>
          <w:tcPr>
            <w:tcW w:w="13325" w:type="dxa"/>
            <w:gridSpan w:val="3"/>
            <w:tcBorders>
              <w:top w:val="nil"/>
              <w:left w:val="nil"/>
              <w:bottom w:val="nil"/>
              <w:right w:val="nil"/>
            </w:tcBorders>
            <w:shd w:val="clear" w:color="000000" w:fill="FFFFFF"/>
            <w:vAlign w:val="center"/>
            <w:hideMark/>
          </w:tcPr>
          <w:p w:rsidR="005A11F9" w:rsidRPr="005A11F9" w:rsidRDefault="005A11F9" w:rsidP="005A11F9">
            <w:pPr>
              <w:spacing w:after="0" w:line="240" w:lineRule="auto"/>
              <w:rPr>
                <w:rFonts w:ascii="Arial" w:eastAsia="Times New Roman" w:hAnsi="Arial" w:cs="Arial"/>
                <w:color w:val="000000"/>
                <w:sz w:val="20"/>
                <w:szCs w:val="16"/>
                <w:lang w:eastAsia="es-MX"/>
              </w:rPr>
            </w:pPr>
            <w:r w:rsidRPr="005A11F9">
              <w:rPr>
                <w:rFonts w:ascii="Arial" w:eastAsia="Times New Roman" w:hAnsi="Arial" w:cs="Arial"/>
                <w:color w:val="000000"/>
                <w:sz w:val="20"/>
                <w:szCs w:val="16"/>
                <w:lang w:eastAsia="es-MX"/>
              </w:rPr>
              <w:t> </w:t>
            </w:r>
          </w:p>
        </w:tc>
      </w:tr>
      <w:tr w:rsidR="005A11F9" w:rsidRPr="005A11F9" w:rsidTr="005A11F9">
        <w:trPr>
          <w:trHeight w:val="407"/>
        </w:trPr>
        <w:tc>
          <w:tcPr>
            <w:tcW w:w="1415" w:type="dxa"/>
            <w:tcBorders>
              <w:top w:val="nil"/>
              <w:left w:val="nil"/>
              <w:bottom w:val="nil"/>
              <w:right w:val="nil"/>
            </w:tcBorders>
            <w:shd w:val="clear" w:color="000000" w:fill="948A54"/>
            <w:noWrap/>
            <w:vAlign w:val="center"/>
            <w:hideMark/>
          </w:tcPr>
          <w:p w:rsidR="005A11F9" w:rsidRPr="005A11F9" w:rsidRDefault="005A11F9" w:rsidP="005A11F9">
            <w:pPr>
              <w:spacing w:after="0" w:line="240" w:lineRule="auto"/>
              <w:jc w:val="center"/>
              <w:rPr>
                <w:rFonts w:ascii="Aharoni" w:eastAsia="Times New Roman" w:hAnsi="Aharoni" w:cs="Aharoni"/>
                <w:color w:val="FFFFFF"/>
                <w:sz w:val="20"/>
                <w:szCs w:val="32"/>
                <w:lang w:eastAsia="es-MX"/>
              </w:rPr>
            </w:pPr>
            <w:r w:rsidRPr="005A11F9">
              <w:rPr>
                <w:rFonts w:ascii="Aharoni" w:eastAsia="Times New Roman" w:hAnsi="Aharoni" w:cs="Aharoni"/>
                <w:color w:val="FFFFFF"/>
                <w:sz w:val="20"/>
                <w:szCs w:val="32"/>
                <w:lang w:eastAsia="es-MX"/>
              </w:rPr>
              <w:t>FONDO</w:t>
            </w:r>
          </w:p>
        </w:tc>
        <w:tc>
          <w:tcPr>
            <w:tcW w:w="3263" w:type="dxa"/>
            <w:tcBorders>
              <w:top w:val="nil"/>
              <w:left w:val="nil"/>
              <w:bottom w:val="nil"/>
              <w:right w:val="nil"/>
            </w:tcBorders>
            <w:shd w:val="clear" w:color="000000" w:fill="948A54"/>
            <w:noWrap/>
            <w:vAlign w:val="center"/>
            <w:hideMark/>
          </w:tcPr>
          <w:p w:rsidR="005A11F9" w:rsidRPr="005A11F9" w:rsidRDefault="005A11F9" w:rsidP="005A11F9">
            <w:pPr>
              <w:spacing w:after="0" w:line="240" w:lineRule="auto"/>
              <w:jc w:val="center"/>
              <w:rPr>
                <w:rFonts w:ascii="Aharoni" w:eastAsia="Times New Roman" w:hAnsi="Aharoni" w:cs="Aharoni"/>
                <w:color w:val="FFFFFF"/>
                <w:sz w:val="20"/>
                <w:szCs w:val="32"/>
                <w:lang w:eastAsia="es-MX"/>
              </w:rPr>
            </w:pPr>
            <w:r w:rsidRPr="005A11F9">
              <w:rPr>
                <w:rFonts w:ascii="Aharoni" w:eastAsia="Times New Roman" w:hAnsi="Aharoni" w:cs="Aharoni"/>
                <w:color w:val="FFFFFF"/>
                <w:sz w:val="20"/>
                <w:szCs w:val="32"/>
                <w:lang w:eastAsia="es-MX"/>
              </w:rPr>
              <w:t>PROVEEDOR</w:t>
            </w:r>
          </w:p>
        </w:tc>
        <w:tc>
          <w:tcPr>
            <w:tcW w:w="8647" w:type="dxa"/>
            <w:tcBorders>
              <w:top w:val="nil"/>
              <w:left w:val="nil"/>
              <w:bottom w:val="nil"/>
              <w:right w:val="nil"/>
            </w:tcBorders>
            <w:shd w:val="clear" w:color="000000" w:fill="948A54"/>
            <w:noWrap/>
            <w:vAlign w:val="center"/>
            <w:hideMark/>
          </w:tcPr>
          <w:p w:rsidR="005A11F9" w:rsidRPr="005A11F9" w:rsidRDefault="005A11F9" w:rsidP="005A11F9">
            <w:pPr>
              <w:spacing w:after="0" w:line="240" w:lineRule="auto"/>
              <w:jc w:val="center"/>
              <w:rPr>
                <w:rFonts w:ascii="Aharoni" w:eastAsia="Times New Roman" w:hAnsi="Aharoni" w:cs="Aharoni"/>
                <w:color w:val="FFFFFF"/>
                <w:sz w:val="20"/>
                <w:szCs w:val="32"/>
                <w:lang w:eastAsia="es-MX"/>
              </w:rPr>
            </w:pPr>
            <w:r w:rsidRPr="005A11F9">
              <w:rPr>
                <w:rFonts w:ascii="Aharoni" w:eastAsia="Times New Roman" w:hAnsi="Aharoni" w:cs="Aharoni"/>
                <w:color w:val="FFFFFF"/>
                <w:sz w:val="20"/>
                <w:szCs w:val="32"/>
                <w:lang w:eastAsia="es-MX"/>
              </w:rPr>
              <w:t>OBRA</w:t>
            </w:r>
          </w:p>
        </w:tc>
      </w:tr>
      <w:tr w:rsidR="005A11F9" w:rsidRPr="005A11F9" w:rsidTr="005A11F9">
        <w:trPr>
          <w:trHeight w:val="558"/>
        </w:trPr>
        <w:tc>
          <w:tcPr>
            <w:tcW w:w="1415" w:type="dxa"/>
            <w:tcBorders>
              <w:top w:val="nil"/>
              <w:left w:val="nil"/>
              <w:bottom w:val="nil"/>
              <w:right w:val="nil"/>
            </w:tcBorders>
            <w:shd w:val="clear" w:color="000000"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VAC DESARROLLO DE PROYECTOS Y NEGOCIOS</w:t>
            </w:r>
          </w:p>
        </w:tc>
        <w:tc>
          <w:tcPr>
            <w:tcW w:w="8647" w:type="dxa"/>
            <w:tcBorders>
              <w:top w:val="nil"/>
              <w:left w:val="nil"/>
              <w:bottom w:val="nil"/>
              <w:right w:val="nil"/>
            </w:tcBorders>
            <w:shd w:val="clear" w:color="000000"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(1) FINIQUITO MANTENIMIENTO ELECTRICO AL AREA PERIMETRAL DEL FARO DE LA SABIDURIA</w:t>
            </w:r>
          </w:p>
        </w:tc>
      </w:tr>
      <w:tr w:rsidR="005A11F9" w:rsidRPr="005A11F9" w:rsidTr="005A11F9">
        <w:trPr>
          <w:trHeight w:val="558"/>
        </w:trPr>
        <w:tc>
          <w:tcPr>
            <w:tcW w:w="1415"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VAC DESARROLLO DE PROYECTOS Y NEGOCIOS</w:t>
            </w:r>
          </w:p>
        </w:tc>
        <w:tc>
          <w:tcPr>
            <w:tcW w:w="8647"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(2) FINIQUITO REACONDICIONAMIENTO AL FARO DE LA SABIDURIA UNIVERSITARIA</w:t>
            </w:r>
          </w:p>
        </w:tc>
      </w:tr>
      <w:tr w:rsidR="005A11F9" w:rsidRPr="005A11F9" w:rsidTr="005A11F9">
        <w:trPr>
          <w:trHeight w:val="558"/>
        </w:trPr>
        <w:tc>
          <w:tcPr>
            <w:tcW w:w="1415" w:type="dxa"/>
            <w:tcBorders>
              <w:top w:val="nil"/>
              <w:left w:val="nil"/>
              <w:bottom w:val="nil"/>
              <w:right w:val="nil"/>
            </w:tcBorders>
            <w:shd w:val="clear" w:color="000000"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CORPORACION HH Y ASOCIADOS SA DE CV</w:t>
            </w:r>
          </w:p>
        </w:tc>
        <w:tc>
          <w:tcPr>
            <w:tcW w:w="8647"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(4) FINIQUITO ADECUACION DE ESPACIOS ACADEMICOS EN LA FACULTAD DE DISEÑO, ARTE Y ARQUITECTURA, CAMPUS CONTLA</w:t>
            </w:r>
          </w:p>
        </w:tc>
      </w:tr>
      <w:tr w:rsidR="005A11F9" w:rsidRPr="005A11F9" w:rsidTr="005A11F9">
        <w:trPr>
          <w:trHeight w:val="558"/>
        </w:trPr>
        <w:tc>
          <w:tcPr>
            <w:tcW w:w="1415"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FOX CONSTRUCCIONES SA DE CV</w:t>
            </w:r>
          </w:p>
        </w:tc>
        <w:tc>
          <w:tcPr>
            <w:tcW w:w="8647" w:type="dxa"/>
            <w:tcBorders>
              <w:top w:val="nil"/>
              <w:left w:val="nil"/>
              <w:bottom w:val="nil"/>
              <w:right w:val="nil"/>
            </w:tcBorders>
            <w:shd w:val="clear" w:color="DAEEF3"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(1) FINIQUITO COLOCACION DE REVOCADO Y PINTURA EN 4 AULAS EN CAMPUS TLAXCO</w:t>
            </w:r>
          </w:p>
        </w:tc>
      </w:tr>
      <w:tr w:rsidR="005A11F9" w:rsidRPr="005A11F9" w:rsidTr="005A11F9">
        <w:trPr>
          <w:trHeight w:val="558"/>
        </w:trPr>
        <w:tc>
          <w:tcPr>
            <w:tcW w:w="1415" w:type="dxa"/>
            <w:tcBorders>
              <w:top w:val="nil"/>
              <w:left w:val="nil"/>
              <w:bottom w:val="nil"/>
              <w:right w:val="nil"/>
            </w:tcBorders>
            <w:shd w:val="clear" w:color="000000"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FENIX DE VALLES</w:t>
            </w:r>
          </w:p>
        </w:tc>
        <w:tc>
          <w:tcPr>
            <w:tcW w:w="8647"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(1) FINIQUITO TRABAJOS COMPLEMENTARIOS EN COMEDOR UNIVERSITARIO</w:t>
            </w:r>
          </w:p>
        </w:tc>
      </w:tr>
      <w:tr w:rsidR="005A11F9" w:rsidRPr="005A11F9" w:rsidTr="005A11F9">
        <w:trPr>
          <w:trHeight w:val="558"/>
        </w:trPr>
        <w:tc>
          <w:tcPr>
            <w:tcW w:w="1415"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COMERCIALIZADORA CONSULTORIA Y CONSTRUCCIONES AMBIENTALES SA DE CV</w:t>
            </w:r>
          </w:p>
        </w:tc>
        <w:tc>
          <w:tcPr>
            <w:tcW w:w="8647" w:type="dxa"/>
            <w:tcBorders>
              <w:top w:val="nil"/>
              <w:left w:val="nil"/>
              <w:bottom w:val="nil"/>
              <w:right w:val="nil"/>
            </w:tcBorders>
            <w:shd w:val="clear" w:color="DAEEF3"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(1) RAMPAS DE ACCESO VEHICULAR, CAMPUS TLAXCO</w:t>
            </w:r>
          </w:p>
        </w:tc>
      </w:tr>
      <w:tr w:rsidR="005A11F9" w:rsidRPr="005A11F9" w:rsidTr="005A11F9">
        <w:trPr>
          <w:trHeight w:val="558"/>
        </w:trPr>
        <w:tc>
          <w:tcPr>
            <w:tcW w:w="1415" w:type="dxa"/>
            <w:tcBorders>
              <w:top w:val="nil"/>
              <w:left w:val="nil"/>
              <w:bottom w:val="nil"/>
              <w:right w:val="nil"/>
            </w:tcBorders>
            <w:shd w:val="clear" w:color="000000"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COMERCIALIZADORA CONSULTORIA Y CONSTRUCCIONES AMBIENTALES SA DE CV</w:t>
            </w:r>
          </w:p>
        </w:tc>
        <w:tc>
          <w:tcPr>
            <w:tcW w:w="8647"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(2) FINIQUITO RAMPAS DE ACCESO VEHICULAR, CAMPUS TLAXCO</w:t>
            </w:r>
          </w:p>
        </w:tc>
      </w:tr>
      <w:tr w:rsidR="005A11F9" w:rsidRPr="005A11F9" w:rsidTr="005A11F9">
        <w:trPr>
          <w:trHeight w:val="528"/>
        </w:trPr>
        <w:tc>
          <w:tcPr>
            <w:tcW w:w="1415"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CORPORACION HAE Y ABASTECEDORA</w:t>
            </w:r>
          </w:p>
        </w:tc>
        <w:tc>
          <w:tcPr>
            <w:tcW w:w="8647" w:type="dxa"/>
            <w:tcBorders>
              <w:top w:val="nil"/>
              <w:left w:val="nil"/>
              <w:bottom w:val="nil"/>
              <w:right w:val="nil"/>
            </w:tcBorders>
            <w:shd w:val="clear" w:color="DAEEF3"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(1) PRIMERA ETAPA DE CONSTRUCCION DE EDIFICIO "EDUCA-UATX" EN CAMPUS RECTORIA</w:t>
            </w:r>
          </w:p>
        </w:tc>
      </w:tr>
      <w:tr w:rsidR="005A11F9" w:rsidRPr="005A11F9" w:rsidTr="005A11F9">
        <w:trPr>
          <w:trHeight w:val="528"/>
        </w:trPr>
        <w:tc>
          <w:tcPr>
            <w:tcW w:w="1415" w:type="dxa"/>
            <w:tcBorders>
              <w:top w:val="nil"/>
              <w:left w:val="nil"/>
              <w:bottom w:val="nil"/>
              <w:right w:val="nil"/>
            </w:tcBorders>
            <w:shd w:val="clear" w:color="000000"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CORPORACION HAE Y ABASTECEDORA</w:t>
            </w:r>
          </w:p>
        </w:tc>
        <w:tc>
          <w:tcPr>
            <w:tcW w:w="8647" w:type="dxa"/>
            <w:tcBorders>
              <w:top w:val="nil"/>
              <w:left w:val="nil"/>
              <w:bottom w:val="nil"/>
              <w:right w:val="nil"/>
            </w:tcBorders>
            <w:shd w:val="clear" w:color="B7DEE8" w:fill="B7DEE8"/>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(2) PRIMERA ETAPA DE CONSTRUCCION DE EDIFICIO "EDUCA-UATX" EN CAMPUS RECTORIA</w:t>
            </w:r>
          </w:p>
        </w:tc>
      </w:tr>
      <w:tr w:rsidR="005A11F9" w:rsidRPr="005A11F9" w:rsidTr="005A11F9">
        <w:trPr>
          <w:trHeight w:val="603"/>
        </w:trPr>
        <w:tc>
          <w:tcPr>
            <w:tcW w:w="1415"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I.P.</w:t>
            </w:r>
          </w:p>
        </w:tc>
        <w:tc>
          <w:tcPr>
            <w:tcW w:w="3263"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CONSTRUCTORA ATLAMAXAC</w:t>
            </w:r>
          </w:p>
        </w:tc>
        <w:tc>
          <w:tcPr>
            <w:tcW w:w="8647" w:type="dxa"/>
            <w:tcBorders>
              <w:top w:val="nil"/>
              <w:left w:val="nil"/>
              <w:bottom w:val="nil"/>
              <w:right w:val="nil"/>
            </w:tcBorders>
            <w:shd w:val="clear" w:color="000000" w:fill="DAEEF3"/>
            <w:vAlign w:val="center"/>
            <w:hideMark/>
          </w:tcPr>
          <w:p w:rsidR="005A11F9" w:rsidRPr="005A11F9" w:rsidRDefault="005A11F9" w:rsidP="005A11F9">
            <w:pPr>
              <w:spacing w:after="0" w:line="240" w:lineRule="auto"/>
              <w:jc w:val="center"/>
              <w:rPr>
                <w:rFonts w:ascii="Calibri" w:eastAsia="Times New Roman" w:hAnsi="Calibri" w:cs="Times New Roman"/>
                <w:color w:val="000000"/>
                <w:sz w:val="20"/>
                <w:lang w:eastAsia="es-MX"/>
              </w:rPr>
            </w:pPr>
            <w:r w:rsidRPr="005A11F9">
              <w:rPr>
                <w:rFonts w:ascii="Calibri" w:eastAsia="Times New Roman" w:hAnsi="Calibri" w:cs="Times New Roman"/>
                <w:color w:val="000000"/>
                <w:sz w:val="20"/>
                <w:lang w:eastAsia="es-MX"/>
              </w:rPr>
              <w:t>ESTIMACION (1) FINIQUITO INTERVENCION EN FACHADAS Y SELLADO DE CRISTALES PARA TRATAMIENTO DE FILTRACIONES EN EL COMPLEJO CULTURAL UNIVERSITARIO</w:t>
            </w:r>
          </w:p>
        </w:tc>
      </w:tr>
    </w:tbl>
    <w:p w:rsidR="007234F5" w:rsidRDefault="007234F5" w:rsidP="00F95B76">
      <w:pPr>
        <w:jc w:val="center"/>
      </w:pPr>
    </w:p>
    <w:p w:rsidR="00AA6E3F" w:rsidRDefault="00AA6E3F" w:rsidP="00D307CE">
      <w:pPr>
        <w:spacing w:before="120" w:after="120" w:line="240" w:lineRule="auto"/>
        <w:rPr>
          <w:rFonts w:ascii="Soberana Sans Light" w:hAnsi="Soberana Sans Light"/>
          <w:b/>
          <w:sz w:val="32"/>
        </w:rPr>
      </w:pPr>
    </w:p>
    <w:p w:rsidR="00F85705" w:rsidRDefault="00F85705" w:rsidP="00F85705">
      <w:pPr>
        <w:spacing w:before="120" w:after="120" w:line="360" w:lineRule="auto"/>
        <w:ind w:firstLine="284"/>
        <w:jc w:val="center"/>
        <w:rPr>
          <w:rFonts w:ascii="Arial" w:hAnsi="Arial" w:cs="Arial"/>
          <w:b/>
        </w:rPr>
      </w:pPr>
      <w:r w:rsidRPr="00826E00">
        <w:rPr>
          <w:rFonts w:ascii="Arial" w:hAnsi="Arial" w:cs="Arial"/>
          <w:b/>
        </w:rPr>
        <w:t>Indicadores de Resultados</w:t>
      </w:r>
    </w:p>
    <w:tbl>
      <w:tblPr>
        <w:tblW w:w="12240" w:type="dxa"/>
        <w:tblInd w:w="70" w:type="dxa"/>
        <w:tblCellMar>
          <w:left w:w="70" w:type="dxa"/>
          <w:right w:w="70" w:type="dxa"/>
        </w:tblCellMar>
        <w:tblLook w:val="04A0" w:firstRow="1" w:lastRow="0" w:firstColumn="1" w:lastColumn="0" w:noHBand="0" w:noVBand="1"/>
      </w:tblPr>
      <w:tblGrid>
        <w:gridCol w:w="13537"/>
      </w:tblGrid>
      <w:tr w:rsidR="005A11F9" w:rsidRPr="005A11F9" w:rsidTr="005A11F9">
        <w:trPr>
          <w:trHeight w:val="360"/>
        </w:trPr>
        <w:tc>
          <w:tcPr>
            <w:tcW w:w="12240" w:type="dxa"/>
            <w:tcBorders>
              <w:top w:val="nil"/>
              <w:left w:val="nil"/>
              <w:bottom w:val="nil"/>
              <w:right w:val="nil"/>
            </w:tcBorders>
            <w:shd w:val="clear" w:color="000000" w:fill="FFFFFF"/>
            <w:noWrap/>
            <w:vAlign w:val="center"/>
            <w:hideMark/>
          </w:tcPr>
          <w:p w:rsidR="005A11F9" w:rsidRPr="005A11F9" w:rsidRDefault="005A11F9" w:rsidP="005A11F9">
            <w:pPr>
              <w:spacing w:after="0" w:line="240" w:lineRule="auto"/>
              <w:jc w:val="center"/>
              <w:rPr>
                <w:rFonts w:ascii="Arial" w:eastAsia="Times New Roman" w:hAnsi="Arial" w:cs="Arial"/>
                <w:b/>
                <w:bCs/>
                <w:color w:val="000000"/>
                <w:lang w:eastAsia="es-MX"/>
              </w:rPr>
            </w:pPr>
            <w:r w:rsidRPr="005A11F9">
              <w:rPr>
                <w:rFonts w:ascii="Arial" w:eastAsia="Times New Roman" w:hAnsi="Arial" w:cs="Arial"/>
                <w:b/>
                <w:bCs/>
                <w:color w:val="000000"/>
                <w:lang w:eastAsia="es-MX"/>
              </w:rPr>
              <w:t>Evolución de Indicadores de resultados del 01 de Octubre al 31 de diciembre de 2023</w:t>
            </w:r>
          </w:p>
        </w:tc>
      </w:tr>
      <w:tr w:rsidR="005A11F9" w:rsidRPr="005A11F9" w:rsidTr="005A11F9">
        <w:trPr>
          <w:trHeight w:val="7234"/>
        </w:trPr>
        <w:tc>
          <w:tcPr>
            <w:tcW w:w="12240" w:type="dxa"/>
            <w:tcBorders>
              <w:top w:val="nil"/>
              <w:left w:val="nil"/>
              <w:bottom w:val="nil"/>
              <w:right w:val="nil"/>
            </w:tcBorders>
            <w:shd w:val="clear" w:color="auto" w:fill="auto"/>
            <w:noWrap/>
            <w:vAlign w:val="bottom"/>
            <w:hideMark/>
          </w:tcPr>
          <w:p w:rsidR="005A11F9" w:rsidRPr="005A11F9" w:rsidRDefault="005A11F9" w:rsidP="005A11F9">
            <w:pPr>
              <w:spacing w:after="0" w:line="240" w:lineRule="auto"/>
              <w:rPr>
                <w:rFonts w:ascii="Calibri" w:eastAsia="Times New Roman" w:hAnsi="Calibri" w:cs="Times New Roman"/>
                <w:color w:val="000000"/>
                <w:lang w:eastAsia="es-MX"/>
              </w:rPr>
            </w:pPr>
          </w:p>
          <w:tbl>
            <w:tblPr>
              <w:tblW w:w="13397" w:type="dxa"/>
              <w:tblCellSpacing w:w="0" w:type="dxa"/>
              <w:tblCellMar>
                <w:left w:w="0" w:type="dxa"/>
                <w:right w:w="0" w:type="dxa"/>
              </w:tblCellMar>
              <w:tblLook w:val="04A0" w:firstRow="1" w:lastRow="0" w:firstColumn="1" w:lastColumn="0" w:noHBand="0" w:noVBand="1"/>
            </w:tblPr>
            <w:tblGrid>
              <w:gridCol w:w="13397"/>
            </w:tblGrid>
            <w:tr w:rsidR="005A11F9" w:rsidRPr="005A11F9" w:rsidTr="005A11F9">
              <w:trPr>
                <w:trHeight w:val="7234"/>
                <w:tblCellSpacing w:w="0" w:type="dxa"/>
              </w:trPr>
              <w:tc>
                <w:tcPr>
                  <w:tcW w:w="13397" w:type="dxa"/>
                  <w:tcBorders>
                    <w:top w:val="nil"/>
                    <w:left w:val="nil"/>
                    <w:bottom w:val="nil"/>
                    <w:right w:val="nil"/>
                  </w:tcBorders>
                  <w:shd w:val="clear" w:color="000000" w:fill="FFFFFF"/>
                  <w:hideMark/>
                </w:tcPr>
                <w:p w:rsidR="005A11F9" w:rsidRP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Calibri" w:eastAsia="Times New Roman" w:hAnsi="Calibri" w:cs="Times New Roman"/>
                      <w:noProof/>
                      <w:color w:val="000000"/>
                      <w:lang w:eastAsia="es-MX"/>
                    </w:rPr>
                    <w:drawing>
                      <wp:anchor distT="0" distB="0" distL="114300" distR="114300" simplePos="0" relativeHeight="251658752" behindDoc="0" locked="0" layoutInCell="1" allowOverlap="1">
                        <wp:simplePos x="0" y="0"/>
                        <wp:positionH relativeFrom="column">
                          <wp:posOffset>2191080</wp:posOffset>
                        </wp:positionH>
                        <wp:positionV relativeFrom="paragraph">
                          <wp:posOffset>2800416</wp:posOffset>
                        </wp:positionV>
                        <wp:extent cx="5985164" cy="2534285"/>
                        <wp:effectExtent l="0" t="0" r="0" b="0"/>
                        <wp:wrapNone/>
                        <wp:docPr id="26" name="Imagen 26">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200-00000C000000}"/>
                            </a:ext>
                          </a:extLst>
                        </wp:docPr>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 xmlns:xdr="http://schemas.openxmlformats.org/drawingml/2006/spreadsheetDrawing" xmlns:a16="http://schemas.microsoft.com/office/drawing/2014/main" xmlns:lc="http://schemas.openxmlformats.org/drawingml/2006/lockedCanvas" id="{00000000-0008-0000-1200-00000C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260" cy="2535596"/>
                                </a:xfrm>
                                <a:prstGeom prst="rect">
                                  <a:avLst/>
                                </a:prstGeom>
                                <a:noFill/>
                                <a:extLst/>
                              </pic:spPr>
                            </pic:pic>
                          </a:graphicData>
                        </a:graphic>
                        <wp14:sizeRelH relativeFrom="page">
                          <wp14:pctWidth>0</wp14:pctWidth>
                        </wp14:sizeRelH>
                        <wp14:sizeRelV relativeFrom="page">
                          <wp14:pctHeight>0</wp14:pctHeight>
                        </wp14:sizeRelV>
                      </wp:anchor>
                    </w:drawing>
                  </w:r>
                  <w:r w:rsidRPr="005A11F9">
                    <w:rPr>
                      <w:rFonts w:ascii="Arial Narrow" w:eastAsia="Times New Roman" w:hAnsi="Arial Narrow" w:cs="Times New Roman"/>
                      <w:color w:val="000000"/>
                      <w:lang w:eastAsia="es-MX"/>
                    </w:rPr>
                    <w:t>Para la Universidad Autónoma de Tlaxcala (</w:t>
                  </w:r>
                  <w:proofErr w:type="spellStart"/>
                  <w:r w:rsidRPr="005A11F9">
                    <w:rPr>
                      <w:rFonts w:ascii="Arial Narrow" w:eastAsia="Times New Roman" w:hAnsi="Arial Narrow" w:cs="Times New Roman"/>
                      <w:color w:val="000000"/>
                      <w:lang w:eastAsia="es-MX"/>
                    </w:rPr>
                    <w:t>UATx</w:t>
                  </w:r>
                  <w:proofErr w:type="spellEnd"/>
                  <w:r w:rsidRPr="005A11F9">
                    <w:rPr>
                      <w:rFonts w:ascii="Arial Narrow" w:eastAsia="Times New Roman" w:hAnsi="Arial Narrow" w:cs="Times New Roman"/>
                      <w:color w:val="000000"/>
                      <w:lang w:eastAsia="es-MX"/>
                    </w:rPr>
                    <w:t>), la definición de estrategias académicas y organizacionales le permiten formalizar, analizar, difundir e informar; sobre el quehacer, estado del arte y acciones institucionales derivadas de su actuar y son medios que le permiten tener un acercamiento con la sociedad y sus necesidades de información; así mismo le permite tener referentes institucionales que orientan su evolución rumbo y resultados; pero no sólo para difundirlos; las actuales organizaciones que supervisan, auditan y evalúan a la Universidad, definen espacios de coincidencia y formalización de elementos que permiten establecer condiciones indispensables para un trabajo colegiado conjunto y reciproco; dentro de un contexto de pleno ejercicio de la autonomía universitaria y la función de éstas instancias.  Lo anterior, no en detrimento de los marcos jurídicos sino en función de empoderarlos y hacerlos más eficientes, claros e integrales; la generación de una política pública que diferencie los espacios de actuación de la Universidad y los organismos públicos, sea su naturaleza y objeto, permiti</w:t>
                  </w:r>
                  <w:r>
                    <w:rPr>
                      <w:rFonts w:ascii="Arial Narrow" w:eastAsia="Times New Roman" w:hAnsi="Arial Narrow" w:cs="Times New Roman"/>
                      <w:color w:val="000000"/>
                      <w:lang w:eastAsia="es-MX"/>
                    </w:rPr>
                    <w:t xml:space="preserve">rá pre configurar medios y modos </w:t>
                  </w:r>
                  <w:r w:rsidRPr="005A11F9">
                    <w:rPr>
                      <w:rFonts w:ascii="Arial Narrow" w:eastAsia="Times New Roman" w:hAnsi="Arial Narrow" w:cs="Times New Roman"/>
                      <w:color w:val="000000"/>
                      <w:lang w:eastAsia="es-MX"/>
                    </w:rPr>
                    <w:t xml:space="preserve">de actuar referenciados, trasparentes y útiles a </w:t>
                  </w:r>
                  <w:r>
                    <w:rPr>
                      <w:rFonts w:ascii="Arial Narrow" w:eastAsia="Times New Roman" w:hAnsi="Arial Narrow" w:cs="Times New Roman"/>
                      <w:color w:val="000000"/>
                      <w:lang w:eastAsia="es-MX"/>
                    </w:rPr>
                    <w:t xml:space="preserve">la sociedad. </w:t>
                  </w:r>
                  <w:r w:rsidRPr="005A11F9">
                    <w:rPr>
                      <w:rFonts w:ascii="Arial Narrow" w:eastAsia="Times New Roman" w:hAnsi="Arial Narrow" w:cs="Times New Roman"/>
                      <w:color w:val="000000"/>
                      <w:lang w:eastAsia="es-MX"/>
                    </w:rPr>
                    <w:t xml:space="preserve">Atento a lo anterior, la </w:t>
                  </w:r>
                  <w:proofErr w:type="spellStart"/>
                  <w:r w:rsidRPr="005A11F9">
                    <w:rPr>
                      <w:rFonts w:ascii="Arial Narrow" w:eastAsia="Times New Roman" w:hAnsi="Arial Narrow" w:cs="Times New Roman"/>
                      <w:color w:val="000000"/>
                      <w:lang w:eastAsia="es-MX"/>
                    </w:rPr>
                    <w:t>UATx</w:t>
                  </w:r>
                  <w:proofErr w:type="spellEnd"/>
                  <w:r w:rsidRPr="005A11F9">
                    <w:rPr>
                      <w:rFonts w:ascii="Arial Narrow" w:eastAsia="Times New Roman" w:hAnsi="Arial Narrow" w:cs="Times New Roman"/>
                      <w:color w:val="000000"/>
                      <w:lang w:eastAsia="es-MX"/>
                    </w:rPr>
                    <w:t xml:space="preserve"> fortalece los espacios de actuación y desempeño que permiten establecer condiciones de gestión de recursos distintos al subsidio ordinario; permitiendo salvaguardar el desarrollo de sus funciones sustantivas (Docencia, Investigación, Difusión y Extensión de la Cultura y la Autorrealización; y sus funciones adjetivas, Gestión, Gobierno, Planeación y Administración; las condiciones de favorecer la articulación entre las funciones sustantivas y adjetivas permiten coincidir en los requerimientos necesarios y definitorios dentro del actuar de la misma. El Plan de Desarrollo Institucional (PDI 2018-2022) del actual rector Dr. Luis Armando González </w:t>
                  </w:r>
                  <w:proofErr w:type="spellStart"/>
                  <w:r w:rsidRPr="005A11F9">
                    <w:rPr>
                      <w:rFonts w:ascii="Arial Narrow" w:eastAsia="Times New Roman" w:hAnsi="Arial Narrow" w:cs="Times New Roman"/>
                      <w:color w:val="000000"/>
                      <w:lang w:eastAsia="es-MX"/>
                    </w:rPr>
                    <w:t>Placencia</w:t>
                  </w:r>
                  <w:proofErr w:type="spellEnd"/>
                  <w:r w:rsidRPr="005A11F9">
                    <w:rPr>
                      <w:rFonts w:ascii="Arial Narrow" w:eastAsia="Times New Roman" w:hAnsi="Arial Narrow" w:cs="Times New Roman"/>
                      <w:color w:val="000000"/>
                      <w:lang w:eastAsia="es-MX"/>
                    </w:rPr>
                    <w:t>, que considera las necesidades y prioridades que orientan sus funciones; la idea de mantener la solidez institucional es por medio de los resultados y organización universitaria en donde convergen las necesidades de cada uno de los universitarios; cabe así reconocer que la articulación de los espacios multidisciplinarios de las áreas de la universidad, permiten innovar de manera integral cada acción y conforme a las necesidades institucionales presentadas.  Así mismo, la articulación de las gestiones y gobiernos universitarios, permite la continuidad y desarrollo de proyectos que se focalizan en la calidad educativa, impulso a la investigación, consolidación de los elementos didáctico pedagógicos centrados en el aprendizaje y valores, fortalecimiento del vínculo entre sociedad – universidad, diversificación de medios y recursos, fomento a la difusión y extensión de la cultura e impulso a su modelo educativo vigente.</w:t>
                  </w:r>
                </w:p>
              </w:tc>
            </w:tr>
          </w:tbl>
          <w:p w:rsidR="005A11F9" w:rsidRPr="005A11F9" w:rsidRDefault="005A11F9" w:rsidP="005A11F9">
            <w:pPr>
              <w:spacing w:after="0" w:line="240" w:lineRule="auto"/>
              <w:rPr>
                <w:rFonts w:ascii="Calibri" w:eastAsia="Times New Roman" w:hAnsi="Calibri" w:cs="Times New Roman"/>
                <w:color w:val="000000"/>
                <w:lang w:eastAsia="es-MX"/>
              </w:rPr>
            </w:pPr>
          </w:p>
        </w:tc>
      </w:tr>
    </w:tbl>
    <w:p w:rsidR="001D214D" w:rsidRDefault="001D214D"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Con base en lo anterior, los resultados de las funciones sustantivas permiten caracterizar los factores que intervienen en la consistencia y confiabilidad de las operaciones financieras, contables y presupuestales, es decir sus funciones adjetivas que permiten definir las condiciones del ejercicio del recurso federal y por ende las acciones de verificación; mismas que se concretan en las auditorías a los estados financieros por dos instancias: la primera, de carácter estatal que coordina la evaluación de los recursos financieros de carácter extraordinario en el ámbito de la construcción de infraestructura física para apoyo a las funciones sustantivas (Docencia, Investigación, Difusión y Extensión de la Cultura; y la Autorrealización) mediante el Órgano Superior de Fiscalización del Estado (OFSE), mediante el proceso de presupuesto realizada mediante la MIR (Medición de Indicadores y Resultados) presentada anualmente por la Universidad.  Y la segunda de carácter federal, como lo es la Auditoria Superior de Federación (ASF) que ha sido instruida por la Cámara de Diputados del Congreso de la Unión; para la revisión correcta y transparente de la aplicación de recursos destinados a la Universidad, mediante el Presupuesto de Egresos de la Federación (PEF)y sus marcos normativos; en cuanto a la Secretaria de la Función Pública, Auditoria Superior de la Federación, Órgano Superior de Fiscalización del Estado, ACMOVIES, S:C., despachos contables externos a la universidad y los ejercicios internos sobre sus procesos y entre otras entidades; permiten una evaluación integral del quehacer y resultados de la institución; habiendo de destacar que los resultados, en todos los ámbitos han sido satisfactorios.</w:t>
      </w:r>
    </w:p>
    <w:p w:rsidR="005A11F9" w:rsidRDefault="005A11F9" w:rsidP="005A11F9">
      <w:pPr>
        <w:spacing w:after="0" w:line="240" w:lineRule="auto"/>
        <w:jc w:val="both"/>
        <w:rPr>
          <w:rFonts w:ascii="Arial Narrow" w:eastAsia="Times New Roman" w:hAnsi="Arial Narrow" w:cs="Times New Roman"/>
          <w:color w:val="000000"/>
          <w:lang w:eastAsia="es-MX"/>
        </w:rPr>
      </w:pPr>
    </w:p>
    <w:p w:rsidR="005A11F9" w:rsidRDefault="005A11F9" w:rsidP="005A11F9">
      <w:pPr>
        <w:spacing w:after="0" w:line="240" w:lineRule="auto"/>
        <w:jc w:val="center"/>
        <w:rPr>
          <w:rFonts w:ascii="Arial Narrow" w:eastAsia="Times New Roman" w:hAnsi="Arial Narrow" w:cs="Times New Roman"/>
          <w:color w:val="000000"/>
          <w:lang w:eastAsia="es-MX"/>
        </w:rPr>
      </w:pPr>
      <w:r>
        <w:rPr>
          <w:noProof/>
          <w:lang w:eastAsia="es-MX"/>
        </w:rPr>
        <w:drawing>
          <wp:inline distT="0" distB="0" distL="0" distR="0" wp14:anchorId="72102771" wp14:editId="76CB10BF">
            <wp:extent cx="6958940" cy="3966358"/>
            <wp:effectExtent l="0" t="0" r="0" b="0"/>
            <wp:docPr id="3" name="Imagen 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2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 xmlns:xdr="http://schemas.openxmlformats.org/drawingml/2006/spreadsheetDrawing" xmlns:a16="http://schemas.microsoft.com/office/drawing/2014/main" xmlns:lc="http://schemas.openxmlformats.org/drawingml/2006/lockedCanvas" id="{00000000-0008-0000-1200-00000300000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4224" cy="3975070"/>
                    </a:xfrm>
                    <a:prstGeom prst="rect">
                      <a:avLst/>
                    </a:prstGeom>
                    <a:noFill/>
                    <a:ln>
                      <a:noFill/>
                    </a:ln>
                  </pic:spPr>
                </pic:pic>
              </a:graphicData>
            </a:graphic>
          </wp:inline>
        </w:drawing>
      </w:r>
    </w:p>
    <w:tbl>
      <w:tblPr>
        <w:tblW w:w="12240" w:type="dxa"/>
        <w:tblInd w:w="70" w:type="dxa"/>
        <w:tblCellMar>
          <w:left w:w="70" w:type="dxa"/>
          <w:right w:w="70" w:type="dxa"/>
        </w:tblCellMar>
        <w:tblLook w:val="04A0" w:firstRow="1" w:lastRow="0" w:firstColumn="1" w:lastColumn="0" w:noHBand="0" w:noVBand="1"/>
      </w:tblPr>
      <w:tblGrid>
        <w:gridCol w:w="13536"/>
      </w:tblGrid>
      <w:tr w:rsidR="005A11F9" w:rsidRPr="005A11F9" w:rsidTr="005A11F9">
        <w:trPr>
          <w:trHeight w:val="2982"/>
        </w:trPr>
        <w:tc>
          <w:tcPr>
            <w:tcW w:w="12240" w:type="dxa"/>
            <w:tcBorders>
              <w:top w:val="nil"/>
              <w:left w:val="nil"/>
              <w:bottom w:val="nil"/>
              <w:right w:val="nil"/>
            </w:tcBorders>
            <w:shd w:val="clear" w:color="auto" w:fill="auto"/>
            <w:noWrap/>
            <w:vAlign w:val="bottom"/>
            <w:hideMark/>
          </w:tcPr>
          <w:p w:rsidR="005A11F9" w:rsidRPr="005A11F9" w:rsidRDefault="005A11F9" w:rsidP="005A11F9">
            <w:pPr>
              <w:spacing w:after="0" w:line="240" w:lineRule="auto"/>
              <w:rPr>
                <w:rFonts w:ascii="Calibri" w:eastAsia="Times New Roman" w:hAnsi="Calibri" w:cs="Times New Roman"/>
                <w:color w:val="000000"/>
                <w:lang w:eastAsia="es-MX"/>
              </w:rPr>
            </w:pPr>
            <w:r w:rsidRPr="005A11F9">
              <w:rPr>
                <w:rFonts w:ascii="Calibri" w:eastAsia="Times New Roman" w:hAnsi="Calibri" w:cs="Times New Roman"/>
                <w:noProof/>
                <w:color w:val="000000"/>
                <w:lang w:eastAsia="es-MX"/>
              </w:rPr>
              <w:lastRenderedPageBreak/>
              <w:drawing>
                <wp:anchor distT="0" distB="0" distL="114300" distR="114300" simplePos="0" relativeHeight="251659776" behindDoc="0" locked="0" layoutInCell="1" allowOverlap="1">
                  <wp:simplePos x="0" y="0"/>
                  <wp:positionH relativeFrom="column">
                    <wp:posOffset>781050</wp:posOffset>
                  </wp:positionH>
                  <wp:positionV relativeFrom="paragraph">
                    <wp:posOffset>1847850</wp:posOffset>
                  </wp:positionV>
                  <wp:extent cx="5715000" cy="4400550"/>
                  <wp:effectExtent l="0" t="0" r="0" b="0"/>
                  <wp:wrapNone/>
                  <wp:docPr id="27" name="Imagen 27">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200-000008000000}"/>
                      </a:ext>
                    </a:extLst>
                  </wp:docPr>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 xmlns:xdr="http://schemas.openxmlformats.org/drawingml/2006/spreadsheetDrawing" xmlns:a16="http://schemas.microsoft.com/office/drawing/2014/main" xmlns:lc="http://schemas.openxmlformats.org/drawingml/2006/lockedCanvas" id="{00000000-0008-0000-1200-000008000000}"/>
                              </a:ext>
                            </a:extLst>
                          </pic:cNvPr>
                          <pic:cNvPicPr>
                            <a:picLocks noChangeAspect="1"/>
                          </pic:cNvPicPr>
                        </pic:nvPicPr>
                        <pic:blipFill>
                          <a:blip r:embed="rId11"/>
                          <a:stretch>
                            <a:fillRect/>
                          </a:stretch>
                        </pic:blipFill>
                        <pic:spPr>
                          <a:xfrm>
                            <a:off x="0" y="0"/>
                            <a:ext cx="5712525" cy="4401194"/>
                          </a:xfrm>
                          <a:prstGeom prst="rect">
                            <a:avLst/>
                          </a:prstGeom>
                        </pic:spPr>
                      </pic:pic>
                    </a:graphicData>
                  </a:graphic>
                  <wp14:sizeRelH relativeFrom="page">
                    <wp14:pctWidth>0</wp14:pctWidth>
                  </wp14:sizeRelH>
                  <wp14:sizeRelV relativeFrom="page">
                    <wp14:pctHeight>0</wp14:pctHeight>
                  </wp14:sizeRelV>
                </wp:anchor>
              </w:drawing>
            </w:r>
          </w:p>
          <w:tbl>
            <w:tblPr>
              <w:tblW w:w="13396" w:type="dxa"/>
              <w:tblCellSpacing w:w="0" w:type="dxa"/>
              <w:tblCellMar>
                <w:left w:w="0" w:type="dxa"/>
                <w:right w:w="0" w:type="dxa"/>
              </w:tblCellMar>
              <w:tblLook w:val="04A0" w:firstRow="1" w:lastRow="0" w:firstColumn="1" w:lastColumn="0" w:noHBand="0" w:noVBand="1"/>
            </w:tblPr>
            <w:tblGrid>
              <w:gridCol w:w="13396"/>
            </w:tblGrid>
            <w:tr w:rsidR="005A11F9" w:rsidRPr="005A11F9" w:rsidTr="005A11F9">
              <w:trPr>
                <w:trHeight w:val="3243"/>
                <w:tblCellSpacing w:w="0" w:type="dxa"/>
              </w:trPr>
              <w:tc>
                <w:tcPr>
                  <w:tcW w:w="13396" w:type="dxa"/>
                  <w:tcBorders>
                    <w:top w:val="nil"/>
                    <w:left w:val="nil"/>
                    <w:bottom w:val="nil"/>
                    <w:right w:val="nil"/>
                  </w:tcBorders>
                  <w:shd w:val="clear" w:color="000000" w:fill="FFFFFF"/>
                  <w:hideMark/>
                </w:tcPr>
                <w:p w:rsidR="005A11F9" w:rsidRP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El diseño de las políticas, objetivos y metas se plantean de manera colegiada por cada una de las comunidades académicas que conforman a la universidad; conforme a un análisis prospectivo y seguimiento académico de los indicadores institucionales, que diagnostican de forma cuantitativa los factores que impactan en el desarrollo de las funciones sustantivas; así mismo de la prospectiva y rumbos definidos por cada comunidad; se dan las condiciones de programar las necesidades y los tipos de inversión conforme a la evolución de los mismos incluyendo específicamente los resultados y observaciones provenientes de instancias externas a la Universidad y que favorecen de una manera fundamental en el trabajo universitario; dentro de sus funciones sustantivas y adjetivas; para confluir de manera integral en la atención en problemáticas específicas; áreas de oportunidad y nuevos espacios en donde se incursione en beneficio de la sociedad en su conjunto; así mismo, en la calidad de los programas educativos, de los servicios ofrecidos por la Universidad; además de la capacidad de respuesta del gobierno universitario en la integración, seguridad y preservación de la paz interna de la institución; así como el impulso de nuevas tecnologías, incorporación de avances científicos y el fomento de la cultura, las artes y las expresiones como resultado de la convivencia entre la Universidad y la sociedad.</w:t>
                  </w:r>
                </w:p>
              </w:tc>
            </w:tr>
          </w:tbl>
          <w:p w:rsidR="005A11F9" w:rsidRPr="005A11F9" w:rsidRDefault="005A11F9" w:rsidP="005A11F9">
            <w:pPr>
              <w:spacing w:after="0" w:line="240" w:lineRule="auto"/>
              <w:rPr>
                <w:rFonts w:ascii="Calibri" w:eastAsia="Times New Roman" w:hAnsi="Calibri" w:cs="Times New Roman"/>
                <w:color w:val="000000"/>
                <w:lang w:eastAsia="es-MX"/>
              </w:rPr>
            </w:pPr>
          </w:p>
        </w:tc>
      </w:tr>
    </w:tbl>
    <w:p w:rsidR="005A11F9" w:rsidRPr="005A11F9" w:rsidRDefault="005A11F9" w:rsidP="005A11F9">
      <w:pPr>
        <w:spacing w:after="0" w:line="240" w:lineRule="auto"/>
        <w:jc w:val="center"/>
        <w:rPr>
          <w:rFonts w:ascii="Arial Narrow" w:eastAsia="Times New Roman" w:hAnsi="Arial Narrow" w:cs="Times New Roman"/>
          <w:color w:val="000000"/>
          <w:lang w:eastAsia="es-MX"/>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tbl>
      <w:tblPr>
        <w:tblW w:w="12240" w:type="dxa"/>
        <w:tblInd w:w="70" w:type="dxa"/>
        <w:tblCellMar>
          <w:left w:w="70" w:type="dxa"/>
          <w:right w:w="70" w:type="dxa"/>
        </w:tblCellMar>
        <w:tblLook w:val="04A0" w:firstRow="1" w:lastRow="0" w:firstColumn="1" w:lastColumn="0" w:noHBand="0" w:noVBand="1"/>
      </w:tblPr>
      <w:tblGrid>
        <w:gridCol w:w="13750"/>
      </w:tblGrid>
      <w:tr w:rsidR="005A11F9" w:rsidRPr="005A11F9" w:rsidTr="005A11F9">
        <w:trPr>
          <w:trHeight w:val="2708"/>
        </w:trPr>
        <w:tc>
          <w:tcPr>
            <w:tcW w:w="12240" w:type="dxa"/>
            <w:tcBorders>
              <w:top w:val="nil"/>
              <w:left w:val="nil"/>
              <w:bottom w:val="nil"/>
              <w:right w:val="nil"/>
            </w:tcBorders>
            <w:shd w:val="clear" w:color="auto" w:fill="auto"/>
            <w:noWrap/>
            <w:vAlign w:val="bottom"/>
            <w:hideMark/>
          </w:tcPr>
          <w:p w:rsidR="005A11F9" w:rsidRPr="005A11F9" w:rsidRDefault="005A11F9" w:rsidP="005A11F9">
            <w:pPr>
              <w:spacing w:after="0" w:line="240" w:lineRule="auto"/>
              <w:rPr>
                <w:rFonts w:ascii="Calibri" w:eastAsia="Times New Roman" w:hAnsi="Calibri" w:cs="Times New Roman"/>
                <w:color w:val="000000"/>
                <w:lang w:eastAsia="es-MX"/>
              </w:rPr>
            </w:pPr>
            <w:r w:rsidRPr="005A11F9">
              <w:rPr>
                <w:rFonts w:ascii="Calibri" w:eastAsia="Times New Roman" w:hAnsi="Calibri" w:cs="Times New Roman"/>
                <w:noProof/>
                <w:color w:val="000000"/>
                <w:lang w:eastAsia="es-MX"/>
              </w:rPr>
              <w:drawing>
                <wp:anchor distT="0" distB="0" distL="114300" distR="114300" simplePos="0" relativeHeight="251660800" behindDoc="0" locked="0" layoutInCell="1" allowOverlap="1">
                  <wp:simplePos x="0" y="0"/>
                  <wp:positionH relativeFrom="column">
                    <wp:posOffset>860425</wp:posOffset>
                  </wp:positionH>
                  <wp:positionV relativeFrom="paragraph">
                    <wp:posOffset>1684020</wp:posOffset>
                  </wp:positionV>
                  <wp:extent cx="6436360" cy="3930650"/>
                  <wp:effectExtent l="0" t="0" r="2540" b="0"/>
                  <wp:wrapNone/>
                  <wp:docPr id="28" name="Imagen 28">
                    <a:extLst xmlns:a="http://schemas.openxmlformats.org/drawingml/2006/main">
                      <a:ext uri="{FF2B5EF4-FFF2-40B4-BE49-F238E27FC236}">
                        <a16:creationId xmlns="" xmlns:xdr="http://schemas.openxmlformats.org/drawingml/2006/spreadsheetDrawing" xmlns:a14="http://schemas.microsoft.com/office/drawing/2010/main" xmlns:a16="http://schemas.microsoft.com/office/drawing/2014/main" xmlns:lc="http://schemas.openxmlformats.org/drawingml/2006/lockedCanvas" id="{00000000-0008-0000-1200-000006000000}"/>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 xmlns:xdr="http://schemas.openxmlformats.org/drawingml/2006/spreadsheetDrawing" xmlns:a14="http://schemas.microsoft.com/office/drawing/2010/main" xmlns:a16="http://schemas.microsoft.com/office/drawing/2014/main" xmlns:lc="http://schemas.openxmlformats.org/drawingml/2006/lockedCanvas" id="{00000000-0008-0000-1200-000006000000}"/>
                              </a:ext>
                            </a:extLst>
                          </pic:cNvPr>
                          <pic:cNvPicPr>
                            <a:picLocks noChangeAspect="1" noChangeArrowheads="1"/>
                            <a:extLst>
                              <a:ext uri="{84589F7E-364E-4C9E-8A38-B11213B215E9}">
                                <a14:cameraTool xmlns:a14="http://schemas.microsoft.com/office/drawing/2010/main" cellRange="#REF!" spid="_x0000_s218446"/>
                              </a:ext>
                            </a:extLst>
                          </pic:cNvPicPr>
                        </pic:nvPicPr>
                        <pic:blipFill>
                          <a:blip r:embed="rId12"/>
                          <a:srcRect/>
                          <a:stretch>
                            <a:fillRect/>
                          </a:stretch>
                        </pic:blipFill>
                        <pic:spPr bwMode="auto">
                          <a:xfrm>
                            <a:off x="0" y="0"/>
                            <a:ext cx="6436360" cy="3930650"/>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14051" w:type="dxa"/>
              <w:tblCellSpacing w:w="0" w:type="dxa"/>
              <w:tblCellMar>
                <w:left w:w="0" w:type="dxa"/>
                <w:right w:w="0" w:type="dxa"/>
              </w:tblCellMar>
              <w:tblLook w:val="04A0" w:firstRow="1" w:lastRow="0" w:firstColumn="1" w:lastColumn="0" w:noHBand="0" w:noVBand="1"/>
            </w:tblPr>
            <w:tblGrid>
              <w:gridCol w:w="14051"/>
            </w:tblGrid>
            <w:tr w:rsidR="005A11F9" w:rsidRPr="005A11F9" w:rsidTr="005A11F9">
              <w:trPr>
                <w:trHeight w:val="2745"/>
                <w:tblCellSpacing w:w="0" w:type="dxa"/>
              </w:trPr>
              <w:tc>
                <w:tcPr>
                  <w:tcW w:w="14051" w:type="dxa"/>
                  <w:tcBorders>
                    <w:top w:val="nil"/>
                    <w:left w:val="nil"/>
                    <w:bottom w:val="nil"/>
                    <w:right w:val="nil"/>
                  </w:tcBorders>
                  <w:shd w:val="clear" w:color="000000" w:fill="FFFFFF"/>
                  <w:hideMark/>
                </w:tcPr>
                <w:p w:rsidR="005A11F9" w:rsidRP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 xml:space="preserve">Esta triple articulación de las políticas institucionales vigentes, con las políticas de desarrollo académico de cada de las coordinaciones académicas de la institución; y, los marcos normativos y políticas sobre educación superior; establecen las condiciones de congruencia, integralidad y complementariedad con las políticas nacionales, regionales, estatales e institucionales; de manera, que contribuyan al logro de los grandes objetivos estratégicos institucionales estructurados en el Plan de Desarrollo Institucional 2018-2022.  Uno de los principales insumos para la actualización, estructuración y definición del Plan de Desarrollo Institucional </w:t>
                  </w:r>
                  <w:proofErr w:type="spellStart"/>
                  <w:r w:rsidRPr="005A11F9">
                    <w:rPr>
                      <w:rFonts w:ascii="Arial Narrow" w:eastAsia="Times New Roman" w:hAnsi="Arial Narrow" w:cs="Times New Roman"/>
                      <w:color w:val="000000"/>
                      <w:lang w:eastAsia="es-MX"/>
                    </w:rPr>
                    <w:t>UATx</w:t>
                  </w:r>
                  <w:proofErr w:type="spellEnd"/>
                  <w:r w:rsidRPr="005A11F9">
                    <w:rPr>
                      <w:rFonts w:ascii="Arial Narrow" w:eastAsia="Times New Roman" w:hAnsi="Arial Narrow" w:cs="Times New Roman"/>
                      <w:color w:val="000000"/>
                      <w:lang w:eastAsia="es-MX"/>
                    </w:rPr>
                    <w:t xml:space="preserve"> 2018-2022; fueron los referentes considerados en la anterior gestión; con ello se garantizó la continuidad de los trabajos colegiados en cada una de las instancias universitarias y dando certidumbre al proyecto de universidad que se pretende establecer durante los próximos años; considerando los factores internos, externos y globales en los cuales se inserta la universidad; favoreciendo la calidad educativa, la seguridad y convivencia institucionales; la transparencia y rendición de cuentas; y, el impulso al bienestar y calidad de vida de la sociedad tlaxcalteca y mexicana en su conjunto.</w:t>
                  </w:r>
                </w:p>
              </w:tc>
            </w:tr>
          </w:tbl>
          <w:p w:rsidR="005A11F9" w:rsidRPr="005A11F9" w:rsidRDefault="005A11F9" w:rsidP="005A11F9">
            <w:pPr>
              <w:spacing w:after="0" w:line="240" w:lineRule="auto"/>
              <w:rPr>
                <w:rFonts w:ascii="Calibri" w:eastAsia="Times New Roman" w:hAnsi="Calibri" w:cs="Times New Roman"/>
                <w:color w:val="000000"/>
                <w:lang w:eastAsia="es-MX"/>
              </w:rPr>
            </w:pPr>
          </w:p>
        </w:tc>
      </w:tr>
    </w:tbl>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Default="005A11F9" w:rsidP="00F85705">
      <w:pPr>
        <w:spacing w:before="120" w:after="120" w:line="240" w:lineRule="auto"/>
        <w:ind w:firstLine="284"/>
        <w:jc w:val="center"/>
        <w:rPr>
          <w:rFonts w:ascii="Arial" w:hAnsi="Arial" w:cs="Arial"/>
        </w:rPr>
      </w:pPr>
    </w:p>
    <w:p w:rsidR="005A11F9" w:rsidRP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  Por otro lado se consideran las prioridades inmediatas dentro del presupuesto de la universidad siendo muy poco su porcentaje dado que la mayoría del mismo son para pago de nómina.</w:t>
      </w:r>
    </w:p>
    <w:p w:rsidR="005A11F9" w:rsidRDefault="005A11F9" w:rsidP="00F85705">
      <w:pPr>
        <w:spacing w:before="120" w:after="120" w:line="240" w:lineRule="auto"/>
        <w:ind w:firstLine="284"/>
        <w:jc w:val="center"/>
        <w:rPr>
          <w:rFonts w:ascii="Arial" w:hAnsi="Arial" w:cs="Arial"/>
        </w:rPr>
      </w:pPr>
      <w:bookmarkStart w:id="0" w:name="_GoBack"/>
      <w:r>
        <w:rPr>
          <w:noProof/>
          <w:lang w:eastAsia="es-MX"/>
        </w:rPr>
        <w:drawing>
          <wp:inline distT="0" distB="0" distL="0" distR="0" wp14:anchorId="78A3213D" wp14:editId="253F1D65">
            <wp:extent cx="6497828" cy="4250584"/>
            <wp:effectExtent l="0" t="0" r="0" b="0"/>
            <wp:docPr id="4" name="Imagen 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2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 xmlns:xdr="http://schemas.openxmlformats.org/drawingml/2006/spreadsheetDrawing" xmlns:a16="http://schemas.microsoft.com/office/drawing/2014/main" xmlns:lc="http://schemas.openxmlformats.org/drawingml/2006/lockedCanvas" id="{00000000-0008-0000-1200-000004000000}"/>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7828" cy="4250584"/>
                    </a:xfrm>
                    <a:prstGeom prst="rect">
                      <a:avLst/>
                    </a:prstGeom>
                    <a:noFill/>
                    <a:ln>
                      <a:noFill/>
                    </a:ln>
                  </pic:spPr>
                </pic:pic>
              </a:graphicData>
            </a:graphic>
          </wp:inline>
        </w:drawing>
      </w:r>
      <w:bookmarkEnd w:id="0"/>
    </w:p>
    <w:p w:rsidR="005A11F9" w:rsidRDefault="005A11F9" w:rsidP="00F85705">
      <w:pPr>
        <w:spacing w:before="120" w:after="120" w:line="240" w:lineRule="auto"/>
        <w:ind w:firstLine="284"/>
        <w:jc w:val="center"/>
        <w:rPr>
          <w:rFonts w:ascii="Arial" w:hAnsi="Arial" w:cs="Arial"/>
        </w:rPr>
      </w:pPr>
    </w:p>
    <w:p w:rsid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 xml:space="preserve">Asimismo, en virtud de realizar esquemas de académicos que involucren a la totalidad de la comunidad universitaria (docentes, alumnos e investigadores), la </w:t>
      </w:r>
      <w:proofErr w:type="spellStart"/>
      <w:r w:rsidRPr="005A11F9">
        <w:rPr>
          <w:rFonts w:ascii="Arial Narrow" w:eastAsia="Times New Roman" w:hAnsi="Arial Narrow" w:cs="Times New Roman"/>
          <w:color w:val="000000"/>
          <w:lang w:eastAsia="es-MX"/>
        </w:rPr>
        <w:t>UATx</w:t>
      </w:r>
      <w:proofErr w:type="spellEnd"/>
      <w:r w:rsidRPr="005A11F9">
        <w:rPr>
          <w:rFonts w:ascii="Arial Narrow" w:eastAsia="Times New Roman" w:hAnsi="Arial Narrow" w:cs="Times New Roman"/>
          <w:color w:val="000000"/>
          <w:lang w:eastAsia="es-MX"/>
        </w:rPr>
        <w:t xml:space="preserve">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  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5A11F9" w:rsidRDefault="005A11F9" w:rsidP="005A11F9">
      <w:pPr>
        <w:pStyle w:val="Prrafodelista"/>
        <w:numPr>
          <w:ilvl w:val="0"/>
          <w:numId w:val="10"/>
        </w:num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Consolidar el posgrado institucional por medio de la movilidad académica, estancias cortas y presentación de traba</w:t>
      </w:r>
      <w:r>
        <w:rPr>
          <w:rFonts w:ascii="Arial Narrow" w:eastAsia="Times New Roman" w:hAnsi="Arial Narrow" w:cs="Times New Roman"/>
          <w:color w:val="000000"/>
          <w:lang w:eastAsia="es-MX"/>
        </w:rPr>
        <w:t>jos en foros, congresos, etc.;</w:t>
      </w:r>
    </w:p>
    <w:p w:rsidR="005A11F9" w:rsidRDefault="005A11F9" w:rsidP="005A11F9">
      <w:pPr>
        <w:pStyle w:val="Prrafodelista"/>
        <w:numPr>
          <w:ilvl w:val="0"/>
          <w:numId w:val="10"/>
        </w:num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Establecer mecanismos de apoyo para la realización de estancias de investigación, académicas o de intercambio con otras univers</w:t>
      </w:r>
      <w:r>
        <w:rPr>
          <w:rFonts w:ascii="Arial Narrow" w:eastAsia="Times New Roman" w:hAnsi="Arial Narrow" w:cs="Times New Roman"/>
          <w:color w:val="000000"/>
          <w:lang w:eastAsia="es-MX"/>
        </w:rPr>
        <w:t>idades a nivel internacional;</w:t>
      </w:r>
    </w:p>
    <w:p w:rsidR="005A11F9" w:rsidRDefault="005A11F9" w:rsidP="005A11F9">
      <w:pPr>
        <w:pStyle w:val="Prrafodelista"/>
        <w:numPr>
          <w:ilvl w:val="0"/>
          <w:numId w:val="10"/>
        </w:num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Impulsar convenios que permitan obtener créditos académicos, complementarios en la formac</w:t>
      </w:r>
      <w:r>
        <w:rPr>
          <w:rFonts w:ascii="Arial Narrow" w:eastAsia="Times New Roman" w:hAnsi="Arial Narrow" w:cs="Times New Roman"/>
          <w:color w:val="000000"/>
          <w:lang w:eastAsia="es-MX"/>
        </w:rPr>
        <w:t>ión profesional en otras IES;</w:t>
      </w:r>
    </w:p>
    <w:p w:rsidR="005A11F9" w:rsidRDefault="005A11F9" w:rsidP="005A11F9">
      <w:pPr>
        <w:pStyle w:val="Prrafodelista"/>
        <w:numPr>
          <w:ilvl w:val="0"/>
          <w:numId w:val="10"/>
        </w:num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Favorecer la segunda lengua en programas de licenciatura y una tercera le</w:t>
      </w:r>
      <w:r>
        <w:rPr>
          <w:rFonts w:ascii="Arial Narrow" w:eastAsia="Times New Roman" w:hAnsi="Arial Narrow" w:cs="Times New Roman"/>
          <w:color w:val="000000"/>
          <w:lang w:eastAsia="es-MX"/>
        </w:rPr>
        <w:t>ngua en estudios de posgrado;</w:t>
      </w:r>
    </w:p>
    <w:p w:rsidR="005A11F9" w:rsidRDefault="005A11F9" w:rsidP="005A11F9">
      <w:pPr>
        <w:pStyle w:val="Prrafodelista"/>
        <w:numPr>
          <w:ilvl w:val="0"/>
          <w:numId w:val="10"/>
        </w:num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Fomentar el desarrollo de la investigación con otras IES por medio de estancias de investigación, cola</w:t>
      </w:r>
      <w:r>
        <w:rPr>
          <w:rFonts w:ascii="Arial Narrow" w:eastAsia="Times New Roman" w:hAnsi="Arial Narrow" w:cs="Times New Roman"/>
          <w:color w:val="000000"/>
          <w:lang w:eastAsia="es-MX"/>
        </w:rPr>
        <w:t>boración y trabajo editorial;</w:t>
      </w:r>
    </w:p>
    <w:p w:rsidR="005A11F9" w:rsidRDefault="005A11F9" w:rsidP="005A11F9">
      <w:pPr>
        <w:pStyle w:val="Prrafodelista"/>
        <w:numPr>
          <w:ilvl w:val="0"/>
          <w:numId w:val="10"/>
        </w:num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Fortalecer la habilitación académica por medio de su vinculación con la investigación y el impulso de nuevos investigadores en el entorno global.</w:t>
      </w:r>
    </w:p>
    <w:p w:rsidR="005A11F9" w:rsidRDefault="005A11F9" w:rsidP="005A11F9">
      <w:pPr>
        <w:spacing w:after="0" w:line="240" w:lineRule="auto"/>
        <w:jc w:val="both"/>
        <w:rPr>
          <w:rFonts w:ascii="Arial Narrow" w:eastAsia="Times New Roman" w:hAnsi="Arial Narrow" w:cs="Times New Roman"/>
          <w:color w:val="000000"/>
          <w:lang w:eastAsia="es-MX"/>
        </w:rPr>
      </w:pPr>
    </w:p>
    <w:p w:rsidR="005A11F9" w:rsidRDefault="005A11F9" w:rsidP="005A11F9">
      <w:pPr>
        <w:spacing w:after="0" w:line="240" w:lineRule="auto"/>
        <w:jc w:val="center"/>
        <w:rPr>
          <w:rFonts w:ascii="Arial Narrow" w:eastAsia="Times New Roman" w:hAnsi="Arial Narrow" w:cs="Times New Roman"/>
          <w:color w:val="000000"/>
          <w:lang w:eastAsia="es-MX"/>
        </w:rPr>
      </w:pPr>
      <w:r>
        <w:rPr>
          <w:noProof/>
          <w:lang w:eastAsia="es-MX"/>
        </w:rPr>
        <w:drawing>
          <wp:inline distT="0" distB="0" distL="0" distR="0" wp14:anchorId="579FDAB3" wp14:editId="2A95F3FF">
            <wp:extent cx="5128227" cy="3552825"/>
            <wp:effectExtent l="0" t="0" r="0" b="0"/>
            <wp:docPr id="9" name="Imagen 8">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200-000009000000}"/>
                </a:ext>
              </a:extLst>
            </wp:docPr>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 xmlns:xdr="http://schemas.openxmlformats.org/drawingml/2006/spreadsheetDrawing" xmlns:a16="http://schemas.microsoft.com/office/drawing/2014/main" xmlns:lc="http://schemas.openxmlformats.org/drawingml/2006/lockedCanvas" id="{00000000-0008-0000-1200-000009000000}"/>
                        </a:ext>
                      </a:extLst>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8227" cy="3552825"/>
                    </a:xfrm>
                    <a:prstGeom prst="rect">
                      <a:avLst/>
                    </a:prstGeom>
                    <a:noFill/>
                    <a:ln>
                      <a:noFill/>
                    </a:ln>
                  </pic:spPr>
                </pic:pic>
              </a:graphicData>
            </a:graphic>
          </wp:inline>
        </w:drawing>
      </w:r>
    </w:p>
    <w:p w:rsidR="005A11F9" w:rsidRDefault="005A11F9" w:rsidP="005A11F9">
      <w:pPr>
        <w:spacing w:after="0" w:line="240" w:lineRule="auto"/>
        <w:jc w:val="center"/>
        <w:rPr>
          <w:rFonts w:ascii="Arial Narrow" w:eastAsia="Times New Roman" w:hAnsi="Arial Narrow" w:cs="Times New Roman"/>
          <w:color w:val="000000"/>
          <w:lang w:eastAsia="es-MX"/>
        </w:rPr>
      </w:pPr>
    </w:p>
    <w:p w:rsidR="005A11F9" w:rsidRDefault="005A11F9" w:rsidP="005A11F9">
      <w:pPr>
        <w:spacing w:after="0" w:line="240" w:lineRule="auto"/>
        <w:jc w:val="center"/>
        <w:rPr>
          <w:rFonts w:ascii="Arial Narrow" w:eastAsia="Times New Roman" w:hAnsi="Arial Narrow" w:cs="Times New Roman"/>
          <w:color w:val="000000"/>
          <w:lang w:eastAsia="es-MX"/>
        </w:rPr>
      </w:pPr>
    </w:p>
    <w:p w:rsid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lastRenderedPageBreak/>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cuatro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w:t>
      </w:r>
    </w:p>
    <w:p w:rsidR="005A11F9" w:rsidRDefault="005A11F9" w:rsidP="005A11F9">
      <w:pPr>
        <w:spacing w:after="0" w:line="240" w:lineRule="auto"/>
        <w:jc w:val="both"/>
        <w:rPr>
          <w:rFonts w:ascii="Arial Narrow" w:eastAsia="Times New Roman" w:hAnsi="Arial Narrow" w:cs="Times New Roman"/>
          <w:color w:val="000000"/>
          <w:lang w:eastAsia="es-MX"/>
        </w:rPr>
      </w:pPr>
    </w:p>
    <w:p w:rsid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 xml:space="preserve"> </w:t>
      </w:r>
    </w:p>
    <w:p w:rsidR="005A11F9" w:rsidRDefault="005A11F9" w:rsidP="002835FA">
      <w:pPr>
        <w:spacing w:after="0" w:line="240" w:lineRule="auto"/>
        <w:jc w:val="center"/>
        <w:rPr>
          <w:rFonts w:ascii="Arial Narrow" w:eastAsia="Times New Roman" w:hAnsi="Arial Narrow" w:cs="Times New Roman"/>
          <w:color w:val="000000"/>
          <w:lang w:eastAsia="es-MX"/>
        </w:rPr>
      </w:pPr>
      <w:r>
        <w:rPr>
          <w:noProof/>
          <w:lang w:eastAsia="es-MX"/>
        </w:rPr>
        <w:drawing>
          <wp:inline distT="0" distB="0" distL="0" distR="0" wp14:anchorId="36FC357F" wp14:editId="049D1C9C">
            <wp:extent cx="7077693" cy="3835730"/>
            <wp:effectExtent l="0" t="0" r="0" b="0"/>
            <wp:docPr id="29" name="Imagen 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0000000-0008-0000-12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 xmlns:xdr="http://schemas.openxmlformats.org/drawingml/2006/spreadsheetDrawing" xmlns:a16="http://schemas.microsoft.com/office/drawing/2014/main" xmlns:lc="http://schemas.openxmlformats.org/drawingml/2006/lockedCanvas" id="{00000000-0008-0000-1200-000005000000}"/>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90378" cy="3842605"/>
                    </a:xfrm>
                    <a:prstGeom prst="rect">
                      <a:avLst/>
                    </a:prstGeom>
                    <a:noFill/>
                    <a:ln>
                      <a:noFill/>
                    </a:ln>
                  </pic:spPr>
                </pic:pic>
              </a:graphicData>
            </a:graphic>
          </wp:inline>
        </w:drawing>
      </w:r>
    </w:p>
    <w:p w:rsidR="005A11F9" w:rsidRDefault="005A11F9" w:rsidP="005A11F9">
      <w:pPr>
        <w:spacing w:after="0" w:line="240" w:lineRule="auto"/>
        <w:jc w:val="both"/>
        <w:rPr>
          <w:rFonts w:ascii="Arial Narrow" w:eastAsia="Times New Roman" w:hAnsi="Arial Narrow" w:cs="Times New Roman"/>
          <w:color w:val="000000"/>
          <w:lang w:eastAsia="es-MX"/>
        </w:rPr>
      </w:pPr>
    </w:p>
    <w:p w:rsidR="005A11F9" w:rsidRDefault="005A11F9" w:rsidP="005A11F9">
      <w:pPr>
        <w:spacing w:after="0" w:line="240" w:lineRule="auto"/>
        <w:jc w:val="both"/>
        <w:rPr>
          <w:rFonts w:ascii="Arial Narrow" w:eastAsia="Times New Roman" w:hAnsi="Arial Narrow" w:cs="Times New Roman"/>
          <w:color w:val="000000"/>
          <w:lang w:eastAsia="es-MX"/>
        </w:rPr>
      </w:pPr>
    </w:p>
    <w:p w:rsidR="002835FA"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  Con base en la consolidación de la planta física propicia el desarrollo integral de estudiante dentro de los diferentes campus de la Universidad observando una viabilidad dentro de la misma; así mismo la importancia de contar con la adecuación de espacios; proporciona una cobertura integral en la permanenci</w:t>
      </w:r>
      <w:r w:rsidR="002835FA">
        <w:rPr>
          <w:rFonts w:ascii="Arial Narrow" w:eastAsia="Times New Roman" w:hAnsi="Arial Narrow" w:cs="Times New Roman"/>
          <w:color w:val="000000"/>
          <w:lang w:eastAsia="es-MX"/>
        </w:rPr>
        <w:t xml:space="preserve">a del alumno en la Universidad. </w:t>
      </w:r>
    </w:p>
    <w:p w:rsidR="005A11F9" w:rsidRPr="005A11F9" w:rsidRDefault="005A11F9" w:rsidP="005A11F9">
      <w:pPr>
        <w:spacing w:after="0" w:line="240" w:lineRule="auto"/>
        <w:jc w:val="both"/>
        <w:rPr>
          <w:rFonts w:ascii="Arial Narrow" w:eastAsia="Times New Roman" w:hAnsi="Arial Narrow" w:cs="Times New Roman"/>
          <w:color w:val="000000"/>
          <w:lang w:eastAsia="es-MX"/>
        </w:rPr>
      </w:pPr>
      <w:r w:rsidRPr="005A11F9">
        <w:rPr>
          <w:rFonts w:ascii="Arial Narrow" w:eastAsia="Times New Roman" w:hAnsi="Arial Narrow" w:cs="Times New Roman"/>
          <w:color w:val="000000"/>
          <w:lang w:eastAsia="es-MX"/>
        </w:rPr>
        <w:t xml:space="preserve">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 169, lo que estimaba una atención a la demanda de 11,307 alumnos matriculados en licenciatura y posgrado en ese año, cuya matrícula para ese año; para finales de 2020 el número de aulas fue de 275; es decir 38.54% más con respecto a 2009 (106 aulas) lo que favoreció ampliar el número de espacios a 17,507, es decir, un 31.41% más con respecto a 2009; sin embargo, el número de construcciones avanza de manera proporcional con el número de alumnos y el número de profesores que los atienden; no excediendo una cobertura promedio de alumnos por PTC de 20 y una cobertura de 18 por otras categorías académicas. </w:t>
      </w:r>
    </w:p>
    <w:p w:rsidR="005A11F9" w:rsidRPr="005A11F9" w:rsidRDefault="005A11F9" w:rsidP="005A11F9">
      <w:pPr>
        <w:spacing w:after="0" w:line="240" w:lineRule="auto"/>
        <w:jc w:val="both"/>
        <w:rPr>
          <w:rFonts w:ascii="Arial Narrow" w:eastAsia="Times New Roman" w:hAnsi="Arial Narrow" w:cs="Times New Roman"/>
          <w:color w:val="000000"/>
          <w:lang w:eastAsia="es-MX"/>
        </w:rPr>
      </w:pPr>
    </w:p>
    <w:p w:rsidR="005A11F9" w:rsidRPr="002835FA" w:rsidRDefault="002835FA" w:rsidP="002835FA">
      <w:pPr>
        <w:spacing w:after="0" w:line="240" w:lineRule="auto"/>
        <w:jc w:val="center"/>
        <w:rPr>
          <w:rFonts w:ascii="Arial Narrow" w:eastAsia="Times New Roman" w:hAnsi="Arial Narrow" w:cs="Times New Roman"/>
          <w:color w:val="000000"/>
          <w:lang w:eastAsia="es-MX"/>
        </w:rPr>
      </w:pPr>
      <w:r>
        <w:rPr>
          <w:noProof/>
          <w:lang w:eastAsia="es-MX"/>
        </w:rPr>
        <w:drawing>
          <wp:inline distT="0" distB="0" distL="0" distR="0" wp14:anchorId="7E9353FA" wp14:editId="0B62308E">
            <wp:extent cx="4453247" cy="3539916"/>
            <wp:effectExtent l="0" t="0" r="5080" b="3810"/>
            <wp:docPr id="10" name="Imagen 9">
              <a:extLst xmlns:a="http://schemas.openxmlformats.org/drawingml/2006/main">
                <a:ext uri="{FF2B5EF4-FFF2-40B4-BE49-F238E27FC236}">
                  <a16:creationId xmlns="" xmlns:xdr="http://schemas.openxmlformats.org/drawingml/2006/spreadsheetDrawing" xmlns:a14="http://schemas.microsoft.com/office/drawing/2010/main" xmlns:a16="http://schemas.microsoft.com/office/drawing/2014/main" xmlns:lc="http://schemas.openxmlformats.org/drawingml/2006/lockedCanvas" id="{00000000-0008-0000-12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xdr="http://schemas.openxmlformats.org/drawingml/2006/spreadsheetDrawing" xmlns:a14="http://schemas.microsoft.com/office/drawing/2010/main" xmlns:a16="http://schemas.microsoft.com/office/drawing/2014/main" xmlns:lc="http://schemas.openxmlformats.org/drawingml/2006/lockedCanvas" id="{00000000-0008-0000-1200-00000A000000}"/>
                        </a:ext>
                      </a:extLst>
                    </pic:cNvPr>
                    <pic:cNvPicPr>
                      <a:picLocks noChangeAspect="1" noChangeArrowheads="1"/>
                      <a:extLst>
                        <a:ext uri="{84589F7E-364E-4C9E-8A38-B11213B215E9}">
                          <a14:cameraTool xmlns:a14="http://schemas.microsoft.com/office/drawing/2010/main" cellRange="'E:\F-WORKS\F-EXCEL\[AME1618.xlsx]Capacidad'!$A$1:$J$51" spid="_x0000_s218447"/>
                        </a:ext>
                      </a:extLst>
                    </pic:cNvPicPr>
                  </pic:nvPicPr>
                  <pic:blipFill>
                    <a:blip r:embed="rId16"/>
                    <a:srcRect/>
                    <a:stretch>
                      <a:fillRect/>
                    </a:stretch>
                  </pic:blipFill>
                  <pic:spPr bwMode="auto">
                    <a:xfrm>
                      <a:off x="0" y="0"/>
                      <a:ext cx="4462304" cy="3547116"/>
                    </a:xfrm>
                    <a:prstGeom prst="rect">
                      <a:avLst/>
                    </a:prstGeom>
                    <a:noFill/>
                    <a:extLst/>
                  </pic:spPr>
                </pic:pic>
              </a:graphicData>
            </a:graphic>
          </wp:inline>
        </w:drawing>
      </w:r>
    </w:p>
    <w:sectPr w:rsidR="005A11F9" w:rsidRPr="002835FA" w:rsidSect="00685252">
      <w:headerReference w:type="even" r:id="rId17"/>
      <w:headerReference w:type="default" r:id="rId18"/>
      <w:footerReference w:type="even" r:id="rId19"/>
      <w:footerReference w:type="default" r:id="rId20"/>
      <w:headerReference w:type="first" r:id="rId21"/>
      <w:footerReference w:type="first" r:id="rId22"/>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7B" w:rsidRDefault="0073287B" w:rsidP="00EA5418">
      <w:pPr>
        <w:spacing w:after="0" w:line="240" w:lineRule="auto"/>
      </w:pPr>
      <w:r>
        <w:separator/>
      </w:r>
    </w:p>
  </w:endnote>
  <w:endnote w:type="continuationSeparator" w:id="0">
    <w:p w:rsidR="0073287B" w:rsidRDefault="0073287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haroni">
    <w:panose1 w:val="02010803020104030203"/>
    <w:charset w:val="00"/>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2927AFA2" wp14:editId="7289AA9F">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D4E4A"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2835FA" w:rsidRPr="002835FA">
          <w:rPr>
            <w:rFonts w:ascii="Soberana Sans Light" w:hAnsi="Soberana Sans Light"/>
            <w:noProof/>
            <w:lang w:val="es-ES"/>
          </w:rPr>
          <w:t>10</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6638E9F" wp14:editId="54634326">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44D21"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2835FA" w:rsidRPr="002835FA">
          <w:rPr>
            <w:rFonts w:ascii="Soberana Sans Light" w:hAnsi="Soberana Sans Light"/>
            <w:noProof/>
            <w:lang w:val="es-ES"/>
          </w:rPr>
          <w:t>9</w:t>
        </w:r>
        <w:r w:rsidR="00B76A46"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E9D" w:rsidRDefault="005A7E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7B" w:rsidRDefault="0073287B" w:rsidP="00EA5418">
      <w:pPr>
        <w:spacing w:after="0" w:line="240" w:lineRule="auto"/>
      </w:pPr>
      <w:r>
        <w:separator/>
      </w:r>
    </w:p>
  </w:footnote>
  <w:footnote w:type="continuationSeparator" w:id="0">
    <w:p w:rsidR="0073287B" w:rsidRDefault="0073287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0C79AF0" wp14:editId="048F8EA8">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B2364"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2606F9E" wp14:editId="18A6C24C">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2"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4"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987655" w:rsidP="00B76A4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A7E9D">
                                <w:rPr>
                                  <w:rFonts w:ascii="Soberana Titular" w:hAnsi="Soberana Titular" w:cs="Arial"/>
                                  <w:color w:val="808080" w:themeColor="background1" w:themeShade="80"/>
                                  <w:sz w:val="42"/>
                                  <w:szCs w:val="42"/>
                                </w:rPr>
                                <w:t>3</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2606F9E"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B76A46" w:rsidRDefault="00987655" w:rsidP="00B76A4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A7E9D">
                          <w:rPr>
                            <w:rFonts w:ascii="Soberana Titular" w:hAnsi="Soberana Titular" w:cs="Arial"/>
                            <w:color w:val="808080" w:themeColor="background1" w:themeShade="80"/>
                            <w:sz w:val="42"/>
                            <w:szCs w:val="42"/>
                          </w:rPr>
                          <w:t>3</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78932A" wp14:editId="3CB28F13">
              <wp:simplePos x="0" y="0"/>
              <wp:positionH relativeFrom="column">
                <wp:posOffset>-708660</wp:posOffset>
              </wp:positionH>
              <wp:positionV relativeFrom="paragraph">
                <wp:posOffset>36195</wp:posOffset>
              </wp:positionV>
              <wp:extent cx="10135235" cy="0"/>
              <wp:effectExtent l="0" t="0" r="18415" b="19050"/>
              <wp:wrapNone/>
              <wp:docPr id="13"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BEBE"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TD0h9eUBAAAz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E9D" w:rsidRDefault="005A7E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05pt;height:14.05pt" o:bullet="t">
        <v:imagedata r:id="rId1" o:title="art3DC"/>
      </v:shape>
    </w:pict>
  </w:numPicBullet>
  <w:abstractNum w:abstractNumId="0" w15:restartNumberingAfterBreak="0">
    <w:nsid w:val="021474ED"/>
    <w:multiLevelType w:val="hybridMultilevel"/>
    <w:tmpl w:val="B6462566"/>
    <w:lvl w:ilvl="0" w:tplc="080A0001">
      <w:start w:val="1"/>
      <w:numFmt w:val="bullet"/>
      <w:lvlText w:val=""/>
      <w:lvlJc w:val="left"/>
      <w:pPr>
        <w:ind w:left="823" w:hanging="360"/>
      </w:pPr>
      <w:rPr>
        <w:rFonts w:ascii="Symbol" w:hAnsi="Symbol" w:hint="default"/>
      </w:rPr>
    </w:lvl>
    <w:lvl w:ilvl="1" w:tplc="080A0003" w:tentative="1">
      <w:start w:val="1"/>
      <w:numFmt w:val="bullet"/>
      <w:lvlText w:val="o"/>
      <w:lvlJc w:val="left"/>
      <w:pPr>
        <w:ind w:left="1543" w:hanging="360"/>
      </w:pPr>
      <w:rPr>
        <w:rFonts w:ascii="Courier New" w:hAnsi="Courier New" w:cs="Courier New" w:hint="default"/>
      </w:rPr>
    </w:lvl>
    <w:lvl w:ilvl="2" w:tplc="080A0005" w:tentative="1">
      <w:start w:val="1"/>
      <w:numFmt w:val="bullet"/>
      <w:lvlText w:val=""/>
      <w:lvlJc w:val="left"/>
      <w:pPr>
        <w:ind w:left="2263" w:hanging="360"/>
      </w:pPr>
      <w:rPr>
        <w:rFonts w:ascii="Wingdings" w:hAnsi="Wingdings" w:hint="default"/>
      </w:rPr>
    </w:lvl>
    <w:lvl w:ilvl="3" w:tplc="080A0001" w:tentative="1">
      <w:start w:val="1"/>
      <w:numFmt w:val="bullet"/>
      <w:lvlText w:val=""/>
      <w:lvlJc w:val="left"/>
      <w:pPr>
        <w:ind w:left="2983" w:hanging="360"/>
      </w:pPr>
      <w:rPr>
        <w:rFonts w:ascii="Symbol" w:hAnsi="Symbol" w:hint="default"/>
      </w:rPr>
    </w:lvl>
    <w:lvl w:ilvl="4" w:tplc="080A0003" w:tentative="1">
      <w:start w:val="1"/>
      <w:numFmt w:val="bullet"/>
      <w:lvlText w:val="o"/>
      <w:lvlJc w:val="left"/>
      <w:pPr>
        <w:ind w:left="3703" w:hanging="360"/>
      </w:pPr>
      <w:rPr>
        <w:rFonts w:ascii="Courier New" w:hAnsi="Courier New" w:cs="Courier New" w:hint="default"/>
      </w:rPr>
    </w:lvl>
    <w:lvl w:ilvl="5" w:tplc="080A0005" w:tentative="1">
      <w:start w:val="1"/>
      <w:numFmt w:val="bullet"/>
      <w:lvlText w:val=""/>
      <w:lvlJc w:val="left"/>
      <w:pPr>
        <w:ind w:left="4423" w:hanging="360"/>
      </w:pPr>
      <w:rPr>
        <w:rFonts w:ascii="Wingdings" w:hAnsi="Wingdings" w:hint="default"/>
      </w:rPr>
    </w:lvl>
    <w:lvl w:ilvl="6" w:tplc="080A0001" w:tentative="1">
      <w:start w:val="1"/>
      <w:numFmt w:val="bullet"/>
      <w:lvlText w:val=""/>
      <w:lvlJc w:val="left"/>
      <w:pPr>
        <w:ind w:left="5143" w:hanging="360"/>
      </w:pPr>
      <w:rPr>
        <w:rFonts w:ascii="Symbol" w:hAnsi="Symbol" w:hint="default"/>
      </w:rPr>
    </w:lvl>
    <w:lvl w:ilvl="7" w:tplc="080A0003" w:tentative="1">
      <w:start w:val="1"/>
      <w:numFmt w:val="bullet"/>
      <w:lvlText w:val="o"/>
      <w:lvlJc w:val="left"/>
      <w:pPr>
        <w:ind w:left="5863" w:hanging="360"/>
      </w:pPr>
      <w:rPr>
        <w:rFonts w:ascii="Courier New" w:hAnsi="Courier New" w:cs="Courier New" w:hint="default"/>
      </w:rPr>
    </w:lvl>
    <w:lvl w:ilvl="8" w:tplc="080A0005" w:tentative="1">
      <w:start w:val="1"/>
      <w:numFmt w:val="bullet"/>
      <w:lvlText w:val=""/>
      <w:lvlJc w:val="left"/>
      <w:pPr>
        <w:ind w:left="6583"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6D5162E"/>
    <w:multiLevelType w:val="hybridMultilevel"/>
    <w:tmpl w:val="2CEA8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76C711D7"/>
    <w:multiLevelType w:val="hybridMultilevel"/>
    <w:tmpl w:val="18D62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4"/>
  </w:num>
  <w:num w:numId="7">
    <w:abstractNumId w:val="8"/>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CF"/>
    <w:rsid w:val="00010664"/>
    <w:rsid w:val="000315C3"/>
    <w:rsid w:val="00033C55"/>
    <w:rsid w:val="00040466"/>
    <w:rsid w:val="000623B6"/>
    <w:rsid w:val="00094EA1"/>
    <w:rsid w:val="001107DF"/>
    <w:rsid w:val="0013011C"/>
    <w:rsid w:val="00130A76"/>
    <w:rsid w:val="001340E8"/>
    <w:rsid w:val="0016211D"/>
    <w:rsid w:val="001649B4"/>
    <w:rsid w:val="001741F1"/>
    <w:rsid w:val="001B1B72"/>
    <w:rsid w:val="001D214D"/>
    <w:rsid w:val="001E2637"/>
    <w:rsid w:val="001E499B"/>
    <w:rsid w:val="00223CF2"/>
    <w:rsid w:val="00275796"/>
    <w:rsid w:val="002835FA"/>
    <w:rsid w:val="0029272F"/>
    <w:rsid w:val="002A70B3"/>
    <w:rsid w:val="002B2491"/>
    <w:rsid w:val="002D213C"/>
    <w:rsid w:val="002D6BBE"/>
    <w:rsid w:val="002D7656"/>
    <w:rsid w:val="003043CA"/>
    <w:rsid w:val="00304A21"/>
    <w:rsid w:val="003303C3"/>
    <w:rsid w:val="00353CF3"/>
    <w:rsid w:val="00354B86"/>
    <w:rsid w:val="0035507F"/>
    <w:rsid w:val="00356139"/>
    <w:rsid w:val="00366043"/>
    <w:rsid w:val="00372F40"/>
    <w:rsid w:val="00374C79"/>
    <w:rsid w:val="003913C3"/>
    <w:rsid w:val="00393670"/>
    <w:rsid w:val="003B08C9"/>
    <w:rsid w:val="003C0D1B"/>
    <w:rsid w:val="003D5DBF"/>
    <w:rsid w:val="003E6B1E"/>
    <w:rsid w:val="003E6C72"/>
    <w:rsid w:val="003E7FD0"/>
    <w:rsid w:val="00400D92"/>
    <w:rsid w:val="0041788E"/>
    <w:rsid w:val="0044253C"/>
    <w:rsid w:val="0045065B"/>
    <w:rsid w:val="00464D98"/>
    <w:rsid w:val="00486AE1"/>
    <w:rsid w:val="00497D8B"/>
    <w:rsid w:val="00497EBA"/>
    <w:rsid w:val="004A748B"/>
    <w:rsid w:val="004B6E51"/>
    <w:rsid w:val="004C19BD"/>
    <w:rsid w:val="004D41B8"/>
    <w:rsid w:val="004D5747"/>
    <w:rsid w:val="004F1D6A"/>
    <w:rsid w:val="00502D8E"/>
    <w:rsid w:val="00504486"/>
    <w:rsid w:val="005117F4"/>
    <w:rsid w:val="00522632"/>
    <w:rsid w:val="00531ECF"/>
    <w:rsid w:val="00534982"/>
    <w:rsid w:val="00540418"/>
    <w:rsid w:val="005859FA"/>
    <w:rsid w:val="005A11F9"/>
    <w:rsid w:val="005A7E9D"/>
    <w:rsid w:val="005B5628"/>
    <w:rsid w:val="005F6B7B"/>
    <w:rsid w:val="006048D2"/>
    <w:rsid w:val="00611E39"/>
    <w:rsid w:val="00615066"/>
    <w:rsid w:val="00616562"/>
    <w:rsid w:val="00624825"/>
    <w:rsid w:val="00633A12"/>
    <w:rsid w:val="00667FAB"/>
    <w:rsid w:val="006767B9"/>
    <w:rsid w:val="00685252"/>
    <w:rsid w:val="006D4AF9"/>
    <w:rsid w:val="006E3F0C"/>
    <w:rsid w:val="006E77DD"/>
    <w:rsid w:val="006F7C39"/>
    <w:rsid w:val="00705ABA"/>
    <w:rsid w:val="007141FD"/>
    <w:rsid w:val="007234F5"/>
    <w:rsid w:val="0073287B"/>
    <w:rsid w:val="00761B12"/>
    <w:rsid w:val="00774EFF"/>
    <w:rsid w:val="0079582C"/>
    <w:rsid w:val="00796D22"/>
    <w:rsid w:val="007D6E9A"/>
    <w:rsid w:val="007E5512"/>
    <w:rsid w:val="007F2FBB"/>
    <w:rsid w:val="00805E96"/>
    <w:rsid w:val="00806876"/>
    <w:rsid w:val="0081526E"/>
    <w:rsid w:val="0081564A"/>
    <w:rsid w:val="00826E00"/>
    <w:rsid w:val="008568B5"/>
    <w:rsid w:val="008A627E"/>
    <w:rsid w:val="008A6E4D"/>
    <w:rsid w:val="008B0017"/>
    <w:rsid w:val="008C4137"/>
    <w:rsid w:val="008D51D8"/>
    <w:rsid w:val="008E3652"/>
    <w:rsid w:val="009207B4"/>
    <w:rsid w:val="00946FF2"/>
    <w:rsid w:val="009514D2"/>
    <w:rsid w:val="009860BC"/>
    <w:rsid w:val="00987655"/>
    <w:rsid w:val="009C7617"/>
    <w:rsid w:val="009F6787"/>
    <w:rsid w:val="00A11B84"/>
    <w:rsid w:val="00A3100F"/>
    <w:rsid w:val="00A37C8E"/>
    <w:rsid w:val="00A56AC9"/>
    <w:rsid w:val="00A73417"/>
    <w:rsid w:val="00A752A6"/>
    <w:rsid w:val="00A870AC"/>
    <w:rsid w:val="00AA6E3F"/>
    <w:rsid w:val="00AB13B7"/>
    <w:rsid w:val="00AC73AC"/>
    <w:rsid w:val="00AD3FED"/>
    <w:rsid w:val="00AE023A"/>
    <w:rsid w:val="00AE71E6"/>
    <w:rsid w:val="00B058B1"/>
    <w:rsid w:val="00B2138F"/>
    <w:rsid w:val="00B30281"/>
    <w:rsid w:val="00B4535E"/>
    <w:rsid w:val="00B54806"/>
    <w:rsid w:val="00B55BA8"/>
    <w:rsid w:val="00B66C9F"/>
    <w:rsid w:val="00B72A84"/>
    <w:rsid w:val="00B76A46"/>
    <w:rsid w:val="00B849EE"/>
    <w:rsid w:val="00BA39DB"/>
    <w:rsid w:val="00BA6EE0"/>
    <w:rsid w:val="00BC6130"/>
    <w:rsid w:val="00BD29FE"/>
    <w:rsid w:val="00BF295A"/>
    <w:rsid w:val="00BF798E"/>
    <w:rsid w:val="00C127F8"/>
    <w:rsid w:val="00C332B7"/>
    <w:rsid w:val="00C4022A"/>
    <w:rsid w:val="00CC52E5"/>
    <w:rsid w:val="00CC674A"/>
    <w:rsid w:val="00CD1666"/>
    <w:rsid w:val="00CF3308"/>
    <w:rsid w:val="00D02636"/>
    <w:rsid w:val="00D03DAE"/>
    <w:rsid w:val="00D055EC"/>
    <w:rsid w:val="00D307CE"/>
    <w:rsid w:val="00D51261"/>
    <w:rsid w:val="00D70068"/>
    <w:rsid w:val="00D96CDF"/>
    <w:rsid w:val="00DA1807"/>
    <w:rsid w:val="00DC6745"/>
    <w:rsid w:val="00DD72CF"/>
    <w:rsid w:val="00E23147"/>
    <w:rsid w:val="00E32708"/>
    <w:rsid w:val="00E37B53"/>
    <w:rsid w:val="00E44F47"/>
    <w:rsid w:val="00E671E0"/>
    <w:rsid w:val="00E679ED"/>
    <w:rsid w:val="00EA5418"/>
    <w:rsid w:val="00EB65DD"/>
    <w:rsid w:val="00EC6507"/>
    <w:rsid w:val="00EC7521"/>
    <w:rsid w:val="00EE0127"/>
    <w:rsid w:val="00F027CC"/>
    <w:rsid w:val="00F3572F"/>
    <w:rsid w:val="00F85705"/>
    <w:rsid w:val="00F95997"/>
    <w:rsid w:val="00F95B76"/>
    <w:rsid w:val="00F96944"/>
    <w:rsid w:val="00FA2697"/>
    <w:rsid w:val="00FC2078"/>
    <w:rsid w:val="00FE5E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D37FF-EA18-4C6A-9301-B24D3528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216480381">
      <w:bodyDiv w:val="1"/>
      <w:marLeft w:val="0"/>
      <w:marRight w:val="0"/>
      <w:marTop w:val="0"/>
      <w:marBottom w:val="0"/>
      <w:divBdr>
        <w:top w:val="none" w:sz="0" w:space="0" w:color="auto"/>
        <w:left w:val="none" w:sz="0" w:space="0" w:color="auto"/>
        <w:bottom w:val="none" w:sz="0" w:space="0" w:color="auto"/>
        <w:right w:val="none" w:sz="0" w:space="0" w:color="auto"/>
      </w:divBdr>
    </w:div>
    <w:div w:id="290668581">
      <w:bodyDiv w:val="1"/>
      <w:marLeft w:val="0"/>
      <w:marRight w:val="0"/>
      <w:marTop w:val="0"/>
      <w:marBottom w:val="0"/>
      <w:divBdr>
        <w:top w:val="none" w:sz="0" w:space="0" w:color="auto"/>
        <w:left w:val="none" w:sz="0" w:space="0" w:color="auto"/>
        <w:bottom w:val="none" w:sz="0" w:space="0" w:color="auto"/>
        <w:right w:val="none" w:sz="0" w:space="0" w:color="auto"/>
      </w:divBdr>
    </w:div>
    <w:div w:id="312636169">
      <w:bodyDiv w:val="1"/>
      <w:marLeft w:val="0"/>
      <w:marRight w:val="0"/>
      <w:marTop w:val="0"/>
      <w:marBottom w:val="0"/>
      <w:divBdr>
        <w:top w:val="none" w:sz="0" w:space="0" w:color="auto"/>
        <w:left w:val="none" w:sz="0" w:space="0" w:color="auto"/>
        <w:bottom w:val="none" w:sz="0" w:space="0" w:color="auto"/>
        <w:right w:val="none" w:sz="0" w:space="0" w:color="auto"/>
      </w:divBdr>
    </w:div>
    <w:div w:id="474222344">
      <w:bodyDiv w:val="1"/>
      <w:marLeft w:val="0"/>
      <w:marRight w:val="0"/>
      <w:marTop w:val="0"/>
      <w:marBottom w:val="0"/>
      <w:divBdr>
        <w:top w:val="none" w:sz="0" w:space="0" w:color="auto"/>
        <w:left w:val="none" w:sz="0" w:space="0" w:color="auto"/>
        <w:bottom w:val="none" w:sz="0" w:space="0" w:color="auto"/>
        <w:right w:val="none" w:sz="0" w:space="0" w:color="auto"/>
      </w:divBdr>
    </w:div>
    <w:div w:id="476073856">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976298229">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048334741">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227181249">
      <w:bodyDiv w:val="1"/>
      <w:marLeft w:val="0"/>
      <w:marRight w:val="0"/>
      <w:marTop w:val="0"/>
      <w:marBottom w:val="0"/>
      <w:divBdr>
        <w:top w:val="none" w:sz="0" w:space="0" w:color="auto"/>
        <w:left w:val="none" w:sz="0" w:space="0" w:color="auto"/>
        <w:bottom w:val="none" w:sz="0" w:space="0" w:color="auto"/>
        <w:right w:val="none" w:sz="0" w:space="0" w:color="auto"/>
      </w:divBdr>
    </w:div>
    <w:div w:id="1304240191">
      <w:bodyDiv w:val="1"/>
      <w:marLeft w:val="0"/>
      <w:marRight w:val="0"/>
      <w:marTop w:val="0"/>
      <w:marBottom w:val="0"/>
      <w:divBdr>
        <w:top w:val="none" w:sz="0" w:space="0" w:color="auto"/>
        <w:left w:val="none" w:sz="0" w:space="0" w:color="auto"/>
        <w:bottom w:val="none" w:sz="0" w:space="0" w:color="auto"/>
        <w:right w:val="none" w:sz="0" w:space="0" w:color="auto"/>
      </w:divBdr>
    </w:div>
    <w:div w:id="1314140056">
      <w:bodyDiv w:val="1"/>
      <w:marLeft w:val="0"/>
      <w:marRight w:val="0"/>
      <w:marTop w:val="0"/>
      <w:marBottom w:val="0"/>
      <w:divBdr>
        <w:top w:val="none" w:sz="0" w:space="0" w:color="auto"/>
        <w:left w:val="none" w:sz="0" w:space="0" w:color="auto"/>
        <w:bottom w:val="none" w:sz="0" w:space="0" w:color="auto"/>
        <w:right w:val="none" w:sz="0" w:space="0" w:color="auto"/>
      </w:divBdr>
    </w:div>
    <w:div w:id="1544975368">
      <w:bodyDiv w:val="1"/>
      <w:marLeft w:val="0"/>
      <w:marRight w:val="0"/>
      <w:marTop w:val="0"/>
      <w:marBottom w:val="0"/>
      <w:divBdr>
        <w:top w:val="none" w:sz="0" w:space="0" w:color="auto"/>
        <w:left w:val="none" w:sz="0" w:space="0" w:color="auto"/>
        <w:bottom w:val="none" w:sz="0" w:space="0" w:color="auto"/>
        <w:right w:val="none" w:sz="0" w:space="0" w:color="auto"/>
      </w:divBdr>
    </w:div>
    <w:div w:id="1599022635">
      <w:bodyDiv w:val="1"/>
      <w:marLeft w:val="0"/>
      <w:marRight w:val="0"/>
      <w:marTop w:val="0"/>
      <w:marBottom w:val="0"/>
      <w:divBdr>
        <w:top w:val="none" w:sz="0" w:space="0" w:color="auto"/>
        <w:left w:val="none" w:sz="0" w:space="0" w:color="auto"/>
        <w:bottom w:val="none" w:sz="0" w:space="0" w:color="auto"/>
        <w:right w:val="none" w:sz="0" w:space="0" w:color="auto"/>
      </w:divBdr>
    </w:div>
    <w:div w:id="1620061897">
      <w:bodyDiv w:val="1"/>
      <w:marLeft w:val="0"/>
      <w:marRight w:val="0"/>
      <w:marTop w:val="0"/>
      <w:marBottom w:val="0"/>
      <w:divBdr>
        <w:top w:val="none" w:sz="0" w:space="0" w:color="auto"/>
        <w:left w:val="none" w:sz="0" w:space="0" w:color="auto"/>
        <w:bottom w:val="none" w:sz="0" w:space="0" w:color="auto"/>
        <w:right w:val="none" w:sz="0" w:space="0" w:color="auto"/>
      </w:divBdr>
    </w:div>
    <w:div w:id="1667123892">
      <w:bodyDiv w:val="1"/>
      <w:marLeft w:val="0"/>
      <w:marRight w:val="0"/>
      <w:marTop w:val="0"/>
      <w:marBottom w:val="0"/>
      <w:divBdr>
        <w:top w:val="none" w:sz="0" w:space="0" w:color="auto"/>
        <w:left w:val="none" w:sz="0" w:space="0" w:color="auto"/>
        <w:bottom w:val="none" w:sz="0" w:space="0" w:color="auto"/>
        <w:right w:val="none" w:sz="0" w:space="0" w:color="auto"/>
      </w:divBdr>
    </w:div>
    <w:div w:id="1797218426">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34582574">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8AE3-F869-459B-82F6-7ED6FEA2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10</Pages>
  <Words>2364</Words>
  <Characters>13006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UAT</cp:lastModifiedBy>
  <cp:revision>94</cp:revision>
  <cp:lastPrinted>2023-10-10T19:43:00Z</cp:lastPrinted>
  <dcterms:created xsi:type="dcterms:W3CDTF">2014-08-29T22:20:00Z</dcterms:created>
  <dcterms:modified xsi:type="dcterms:W3CDTF">2024-01-15T23:32:00Z</dcterms:modified>
</cp:coreProperties>
</file>