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906" w14:textId="4209CE03" w:rsidR="00B844F0" w:rsidRDefault="00075F11" w:rsidP="000A2A48">
      <w:pPr>
        <w:jc w:val="center"/>
        <w:rPr>
          <w:rFonts w:ascii="Arial" w:hAnsi="Arial" w:cs="Arial"/>
          <w:b/>
          <w:sz w:val="18"/>
          <w:szCs w:val="18"/>
        </w:rPr>
      </w:pPr>
      <w:r w:rsidRPr="00B372A2">
        <w:rPr>
          <w:rFonts w:ascii="Arial" w:hAnsi="Arial" w:cs="Arial"/>
          <w:b/>
          <w:sz w:val="18"/>
          <w:szCs w:val="18"/>
        </w:rPr>
        <w:t>Introducción</w:t>
      </w:r>
    </w:p>
    <w:p w14:paraId="726CF0A1" w14:textId="77777777" w:rsidR="00E001B2" w:rsidRDefault="00E001B2" w:rsidP="00E001B2">
      <w:pPr>
        <w:jc w:val="both"/>
        <w:rPr>
          <w:rFonts w:ascii="Arial" w:hAnsi="Arial" w:cs="Arial"/>
          <w:sz w:val="18"/>
          <w:szCs w:val="18"/>
        </w:rPr>
      </w:pPr>
      <w:r>
        <w:rPr>
          <w:rFonts w:ascii="Arial" w:hAnsi="Arial" w:cs="Arial"/>
          <w:sz w:val="18"/>
          <w:szCs w:val="18"/>
        </w:rPr>
        <w:t xml:space="preserve">El Gobierno del Estado a través del Fondo Macro para el Desarrollo Integral de Tlaxcala “FOMTLAX”, contribuye al desarrollo económico del Estado con el otorgamiento de créditos para las micro y pequeñas empresas de los diversos sectores económicos,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585843CD" w14:textId="44CE2542" w:rsidR="00E001B2" w:rsidRDefault="00E001B2" w:rsidP="00E001B2">
      <w:pPr>
        <w:jc w:val="both"/>
        <w:rPr>
          <w:rFonts w:ascii="Arial" w:hAnsi="Arial" w:cs="Arial"/>
          <w:sz w:val="18"/>
          <w:szCs w:val="18"/>
        </w:rPr>
      </w:pPr>
      <w:r>
        <w:rPr>
          <w:rFonts w:ascii="Arial" w:hAnsi="Arial" w:cs="Arial"/>
          <w:sz w:val="18"/>
          <w:szCs w:val="18"/>
        </w:rPr>
        <w:t xml:space="preserve">Del mes de enero al mes de </w:t>
      </w:r>
      <w:r>
        <w:rPr>
          <w:rFonts w:ascii="Arial" w:hAnsi="Arial" w:cs="Arial"/>
          <w:sz w:val="18"/>
          <w:szCs w:val="18"/>
        </w:rPr>
        <w:t>diciem</w:t>
      </w:r>
      <w:r>
        <w:rPr>
          <w:rFonts w:ascii="Arial" w:hAnsi="Arial" w:cs="Arial"/>
          <w:sz w:val="18"/>
          <w:szCs w:val="18"/>
        </w:rPr>
        <w:t xml:space="preserve">bre, se brindó orientación a 2,169 personas interesadas en obtener un crédito, recibiéndose 1,683 solicitudes, otorgándose 1,650 créditos, con una inversión de 47.6 MDP, que beneficiaron a 2,145 familias. Lo anterior aprobado en 45 sesiones ordinarias del Comité de Crédito Interno de este Organismo. </w:t>
      </w:r>
    </w:p>
    <w:p w14:paraId="4D2DFE4B" w14:textId="77777777" w:rsidR="00E001B2" w:rsidRDefault="00E001B2" w:rsidP="00E001B2">
      <w:pPr>
        <w:jc w:val="both"/>
        <w:rPr>
          <w:rFonts w:ascii="Arial" w:hAnsi="Arial" w:cs="Arial"/>
          <w:sz w:val="18"/>
          <w:szCs w:val="18"/>
        </w:rPr>
      </w:pPr>
      <w:r>
        <w:rPr>
          <w:rFonts w:ascii="Arial" w:hAnsi="Arial" w:cs="Arial"/>
          <w:sz w:val="18"/>
          <w:szCs w:val="18"/>
        </w:rPr>
        <w:t xml:space="preserve">Del total de créditos, 633 corresponden al Programa “Mujer </w:t>
      </w:r>
      <w:proofErr w:type="spellStart"/>
      <w:r>
        <w:rPr>
          <w:rFonts w:ascii="Arial" w:hAnsi="Arial" w:cs="Arial"/>
          <w:sz w:val="18"/>
          <w:szCs w:val="18"/>
        </w:rPr>
        <w:t>Fomtlax</w:t>
      </w:r>
      <w:proofErr w:type="spellEnd"/>
      <w:r>
        <w:rPr>
          <w:rFonts w:ascii="Arial" w:hAnsi="Arial" w:cs="Arial"/>
          <w:sz w:val="18"/>
          <w:szCs w:val="18"/>
        </w:rPr>
        <w:t>”, en beneficio de igual número de mujeres, conformadas en 209 grupos solidarios, por un monto total de 7.4 MDP.</w:t>
      </w:r>
    </w:p>
    <w:p w14:paraId="78814F85" w14:textId="77777777" w:rsidR="00E001B2" w:rsidRDefault="00E001B2" w:rsidP="00E001B2">
      <w:pPr>
        <w:jc w:val="both"/>
        <w:rPr>
          <w:rFonts w:ascii="Arial" w:hAnsi="Arial" w:cs="Arial"/>
          <w:sz w:val="18"/>
          <w:szCs w:val="18"/>
        </w:rPr>
      </w:pPr>
      <w:r>
        <w:rPr>
          <w:rFonts w:ascii="Arial" w:hAnsi="Arial" w:cs="Arial"/>
          <w:sz w:val="18"/>
          <w:szCs w:val="18"/>
        </w:rPr>
        <w:t xml:space="preserve">En el mes de enero 2023 se puso en operación el Programa </w:t>
      </w:r>
      <w:proofErr w:type="spellStart"/>
      <w:r>
        <w:rPr>
          <w:rFonts w:ascii="Arial" w:hAnsi="Arial" w:cs="Arial"/>
          <w:sz w:val="18"/>
          <w:szCs w:val="18"/>
        </w:rPr>
        <w:t>Microtandas</w:t>
      </w:r>
      <w:proofErr w:type="spellEnd"/>
      <w:r>
        <w:rPr>
          <w:rFonts w:ascii="Arial" w:hAnsi="Arial" w:cs="Arial"/>
          <w:sz w:val="18"/>
          <w:szCs w:val="18"/>
        </w:rPr>
        <w:t xml:space="preserve"> “FOMTLAX”, que tiene como objetivo el otorgamiento de microcréditos a pequeños negocios o actividades productivas de los sectores comercial, industrial y de servicios, con una tasa de interés anual del 6%, con un crédito inicial de 5 mil, segundo ciclo 10 mil y tercer ciclo 15 mil pesos.  </w:t>
      </w:r>
    </w:p>
    <w:p w14:paraId="13D49E13"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Se llevaron a cabo pláticas de promoción del “Programa de Créditos para Unidades Productivas” en los municipios de: Nanacamilpa de Mariano Arista, Xaloztoc, San José Teacalco, Tepeyanco, Xaltocan, San Pablo del Monte, </w:t>
      </w:r>
      <w:proofErr w:type="spellStart"/>
      <w:r>
        <w:rPr>
          <w:rFonts w:ascii="Arial" w:hAnsi="Arial" w:cs="Arial"/>
          <w:sz w:val="18"/>
          <w:szCs w:val="18"/>
        </w:rPr>
        <w:t>Acuamanala</w:t>
      </w:r>
      <w:proofErr w:type="spellEnd"/>
      <w:r>
        <w:rPr>
          <w:rFonts w:ascii="Arial" w:hAnsi="Arial" w:cs="Arial"/>
          <w:sz w:val="18"/>
          <w:szCs w:val="18"/>
        </w:rPr>
        <w:t xml:space="preserve"> de Miguel Hidalgo, Ixtenco, Sanctórum de Lázaro Cárdenas, San Francisco Tetlanohcan, Calpulalpan, Apetatitlán de Antonio Carvajal, Zacatelco, Ixtacuixtla de Mariano Matamoros, La Magdalena Tlaltelulco, Apizaco, Tepetitla de Lardizábal, Tlaxcala, Chiautempan, El Carmen Tequexquitla, Amaxac de Guerrero, </w:t>
      </w:r>
      <w:proofErr w:type="spellStart"/>
      <w:r>
        <w:rPr>
          <w:rFonts w:ascii="Arial" w:hAnsi="Arial" w:cs="Arial"/>
          <w:sz w:val="18"/>
          <w:szCs w:val="18"/>
        </w:rPr>
        <w:t>Xicohtzinco</w:t>
      </w:r>
      <w:proofErr w:type="spellEnd"/>
      <w:r>
        <w:rPr>
          <w:rFonts w:ascii="Arial" w:hAnsi="Arial" w:cs="Arial"/>
          <w:sz w:val="18"/>
          <w:szCs w:val="18"/>
        </w:rPr>
        <w:t xml:space="preserve">, Huamantla, Tlaxco, Santa Cruz Tlaxcala, Contla de Juan Cuamatzi, Nativitas, Hueyotlipan, </w:t>
      </w:r>
      <w:proofErr w:type="spellStart"/>
      <w:r>
        <w:rPr>
          <w:rFonts w:ascii="Arial" w:hAnsi="Arial" w:cs="Arial"/>
          <w:sz w:val="18"/>
          <w:szCs w:val="18"/>
        </w:rPr>
        <w:t>Yauhquemehcan</w:t>
      </w:r>
      <w:proofErr w:type="spellEnd"/>
      <w:r>
        <w:rPr>
          <w:rFonts w:ascii="Arial" w:hAnsi="Arial" w:cs="Arial"/>
          <w:sz w:val="18"/>
          <w:szCs w:val="18"/>
        </w:rPr>
        <w:t>, Papalotla de Xicohténcatl, Benito Juárez y Teolocholco y Apizaco, brindando atención a 1,264 personas.</w:t>
      </w:r>
    </w:p>
    <w:p w14:paraId="5EC10303"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p>
    <w:p w14:paraId="2D9D6834"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Cabe mencionar la participación del “FOMTLAX” en los siguientes eventos: “Jornadas de Información y Servicios en el marco para atender la alerta de violencia de género contra las mujeres para el Estado de Tlaxcala” (Secretaría de Gobierno-IEM), “Prevenir es más fácil” (IEM); “Jornadas juventudes Cercanas y Actividades”, “Mercado Joven” (ITJ), “Feria de Servicios y Salud” (Organización Fuerza Izquierda Progresista); Foro de Orientación y Emprendimiento para alumnos egresados (ICATLAX); “Semana Laboral (</w:t>
      </w:r>
      <w:proofErr w:type="spellStart"/>
      <w:r>
        <w:rPr>
          <w:rFonts w:ascii="Arial" w:hAnsi="Arial" w:cs="Arial"/>
          <w:sz w:val="18"/>
          <w:szCs w:val="18"/>
        </w:rPr>
        <w:t>STyC</w:t>
      </w:r>
      <w:proofErr w:type="spellEnd"/>
      <w:r>
        <w:rPr>
          <w:rFonts w:ascii="Arial" w:hAnsi="Arial" w:cs="Arial"/>
          <w:sz w:val="18"/>
          <w:szCs w:val="18"/>
        </w:rPr>
        <w:t>); Primera Feria de Financiamiento para el Sector Agropecuario (SIA); 1er. Foro Situación actual y perspectivas de la cadena de valor del amaranto en el Estado de Tlaxcala (SIA) y Foro de Proveeduría y Crédito 2023 (SEDECO), “</w:t>
      </w:r>
      <w:proofErr w:type="spellStart"/>
      <w:r>
        <w:rPr>
          <w:rFonts w:ascii="Arial" w:hAnsi="Arial" w:cs="Arial"/>
          <w:sz w:val="18"/>
          <w:szCs w:val="18"/>
        </w:rPr>
        <w:t>STyC</w:t>
      </w:r>
      <w:proofErr w:type="spellEnd"/>
      <w:r>
        <w:rPr>
          <w:rFonts w:ascii="Arial" w:hAnsi="Arial" w:cs="Arial"/>
          <w:sz w:val="18"/>
          <w:szCs w:val="18"/>
        </w:rPr>
        <w:t xml:space="preserve"> en tu Municipio”; “Mujeres que transforman, emprendimiento y negocios” (</w:t>
      </w:r>
      <w:proofErr w:type="spellStart"/>
      <w:r>
        <w:rPr>
          <w:rFonts w:ascii="Arial" w:hAnsi="Arial" w:cs="Arial"/>
          <w:sz w:val="18"/>
          <w:szCs w:val="18"/>
        </w:rPr>
        <w:t>STyC</w:t>
      </w:r>
      <w:proofErr w:type="spellEnd"/>
      <w:r>
        <w:rPr>
          <w:rFonts w:ascii="Arial" w:hAnsi="Arial" w:cs="Arial"/>
          <w:sz w:val="18"/>
          <w:szCs w:val="18"/>
        </w:rPr>
        <w:t>).</w:t>
      </w:r>
    </w:p>
    <w:p w14:paraId="0AB34BC4"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p>
    <w:p w14:paraId="1B6E4C83"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Se llevaron a cabo dos sesiones ordinarias del Consejo de Administración, en la cual el Director General del “FOMTLAX”, presentó el Informe Anual de Actividades de los ejercicios 2022 y 2023, los estados financieros de ese periodo, así como el programa Operativo Anual 2023 y su avance al tercer trimestre, con proyección en los meses octubre-diciembre del ejercicio 2023.</w:t>
      </w:r>
    </w:p>
    <w:p w14:paraId="7179FACE"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 xml:space="preserve">     .</w:t>
      </w:r>
    </w:p>
    <w:p w14:paraId="6F979A08"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 xml:space="preserve">El Comité de Control Interno del Fondo Macro para el Desarrollo Integral de Tlaxcala “FOMTLAX”, efectuó cuatro sesiones ordinarias de trabajo, con el objetivo de analizar el estado que guarda la normatividad del “FOMTLAX”, la conformación y posterior reestructuración de los ocho comités internos (Administración de Riesgos, de Ética, de Igualdad de Género, de Auditorías, Grupo Interdisciplinario de Archivos, de Tecnologías de la Información y el de Salud), así como el seguimiento de las actividades programadas por cada uno de los comités para el ejercicio fiscal 2023. </w:t>
      </w:r>
    </w:p>
    <w:p w14:paraId="25FD2602" w14:textId="77777777" w:rsidR="00E001B2" w:rsidRDefault="00E001B2" w:rsidP="00E001B2">
      <w:pPr>
        <w:pStyle w:val="Prrafodelista"/>
        <w:suppressAutoHyphens/>
        <w:autoSpaceDE w:val="0"/>
        <w:autoSpaceDN w:val="0"/>
        <w:adjustRightInd w:val="0"/>
        <w:spacing w:after="0" w:line="240" w:lineRule="auto"/>
        <w:ind w:left="0"/>
        <w:jc w:val="both"/>
        <w:rPr>
          <w:rFonts w:ascii="Arial" w:hAnsi="Arial" w:cs="Arial"/>
          <w:sz w:val="18"/>
          <w:szCs w:val="18"/>
        </w:rPr>
      </w:pPr>
    </w:p>
    <w:p w14:paraId="7BA7F35D"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Personal del “FOMTLAX” recibió capacitación sobre los siguientes temas:</w:t>
      </w:r>
    </w:p>
    <w:p w14:paraId="7530326A"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“Sistema Integral de Gestión Único Estatal” (SIGUE),</w:t>
      </w:r>
      <w:r>
        <w:rPr>
          <w:rFonts w:ascii="Arial" w:hAnsi="Arial" w:cs="Arial"/>
          <w:color w:val="000000"/>
          <w:shd w:val="clear" w:color="auto" w:fill="FDFDFD"/>
        </w:rPr>
        <w:t xml:space="preserve"> </w:t>
      </w:r>
      <w:r>
        <w:rPr>
          <w:rFonts w:ascii="Arial" w:hAnsi="Arial" w:cs="Arial"/>
          <w:sz w:val="18"/>
          <w:szCs w:val="18"/>
        </w:rPr>
        <w:t>SEP/USEP y Despacho de la Gobernadora.</w:t>
      </w:r>
    </w:p>
    <w:p w14:paraId="550B019F"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“Anticorrupción para los servidores públicos”, Secretaría Ejecutiva del Sistema Anticorrupción del Estado de Tlaxcala.  </w:t>
      </w:r>
    </w:p>
    <w:p w14:paraId="1B851CBA"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p>
    <w:p w14:paraId="224A0702"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“Protección de datos personales”, “Clasificación y desclasificación del a información y elaboración de versiones de privacidad”, Instituto de Acceso a la Información Pública y Protección de Datos Personales del Estado de Tlaxcala (</w:t>
      </w:r>
      <w:proofErr w:type="spellStart"/>
      <w:r>
        <w:rPr>
          <w:rFonts w:ascii="Arial" w:hAnsi="Arial" w:cs="Arial"/>
          <w:sz w:val="18"/>
          <w:szCs w:val="18"/>
        </w:rPr>
        <w:t>Iaip</w:t>
      </w:r>
      <w:proofErr w:type="spellEnd"/>
      <w:r>
        <w:rPr>
          <w:rFonts w:ascii="Arial" w:hAnsi="Arial" w:cs="Arial"/>
          <w:sz w:val="18"/>
          <w:szCs w:val="18"/>
        </w:rPr>
        <w:t>).</w:t>
      </w:r>
    </w:p>
    <w:p w14:paraId="0CFB8DD4"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“Archivonomía Gubernamental, Centro de Vinculación de Desarrollo Regional, Unidad Tlaxcala (IPN).   </w:t>
      </w:r>
    </w:p>
    <w:p w14:paraId="297CB70A"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“Desarrollo de Habilidades Directivas”, </w:t>
      </w:r>
      <w:bookmarkStart w:id="0" w:name="_Hlk147150705"/>
      <w:r>
        <w:rPr>
          <w:rFonts w:ascii="Arial" w:hAnsi="Arial" w:cs="Arial"/>
          <w:sz w:val="18"/>
          <w:szCs w:val="18"/>
        </w:rPr>
        <w:t>Centro de Vinculación y Desarrollo Regional, Unidad Tlaxcala (IPN).</w:t>
      </w:r>
      <w:bookmarkEnd w:id="0"/>
    </w:p>
    <w:p w14:paraId="3086B6E0" w14:textId="77777777" w:rsidR="00E001B2" w:rsidRDefault="00E001B2" w:rsidP="00E001B2">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“Calidad y calidez en el servicio, centrado en el desarrollo humano del personal”, Centro de Vinculación y Desarrollo Regional, Unidad Tlaxcala (IPN).  </w:t>
      </w:r>
    </w:p>
    <w:p w14:paraId="3B228AB7" w14:textId="77777777" w:rsidR="00E001B2" w:rsidRDefault="00E001B2" w:rsidP="00E001B2">
      <w:pPr>
        <w:spacing w:after="0"/>
        <w:rPr>
          <w:rFonts w:ascii="Arial" w:hAnsi="Arial" w:cs="Arial"/>
          <w:sz w:val="18"/>
          <w:szCs w:val="18"/>
        </w:rPr>
      </w:pPr>
      <w:r>
        <w:rPr>
          <w:rFonts w:ascii="Arial" w:hAnsi="Arial" w:cs="Arial"/>
          <w:sz w:val="18"/>
          <w:szCs w:val="18"/>
        </w:rPr>
        <w:t xml:space="preserve"> </w:t>
      </w:r>
      <w:r>
        <w:rPr>
          <w:rFonts w:ascii="Arial" w:hAnsi="Arial" w:cs="Arial"/>
          <w:color w:val="000000"/>
        </w:rPr>
        <w:t>“</w:t>
      </w:r>
      <w:r>
        <w:rPr>
          <w:rFonts w:ascii="Arial" w:hAnsi="Arial" w:cs="Arial"/>
          <w:sz w:val="18"/>
          <w:szCs w:val="18"/>
        </w:rPr>
        <w:t>Comunicación Afectiva y Asertiva”, Centro de Vinculación y Desarrollo Regional, Unidad Tlaxcala (IPN).</w:t>
      </w:r>
      <w:r>
        <w:rPr>
          <w:rFonts w:ascii="Arial" w:hAnsi="Arial" w:cs="Arial"/>
          <w:sz w:val="18"/>
          <w:szCs w:val="18"/>
        </w:rPr>
        <w:br/>
        <w:t>“Brigadas de Protección Civil”, Centro de Vinculación y Desarrollo Regional, Unidad Tlaxcala (IPN).</w:t>
      </w:r>
      <w:r>
        <w:rPr>
          <w:rFonts w:ascii="Arial" w:hAnsi="Arial" w:cs="Arial"/>
          <w:sz w:val="18"/>
          <w:szCs w:val="18"/>
        </w:rPr>
        <w:br/>
        <w:t>“Primeros Auxilios”, Centro de Vinculación y Desarrollo Regional, Unidad Tlaxcala (IPN).</w:t>
      </w:r>
      <w:r>
        <w:rPr>
          <w:rFonts w:ascii="Arial" w:hAnsi="Arial" w:cs="Arial"/>
          <w:sz w:val="18"/>
          <w:szCs w:val="18"/>
        </w:rPr>
        <w:br/>
        <w:t>“Desarrollo de Habilidades Cognitivas”, Centro de Vinculación y Desarrollo Regional, Unidad Tlaxcala (IPN).</w:t>
      </w:r>
      <w:r>
        <w:rPr>
          <w:rFonts w:ascii="Arial" w:hAnsi="Arial" w:cs="Arial"/>
          <w:sz w:val="18"/>
          <w:szCs w:val="18"/>
        </w:rPr>
        <w:br/>
        <w:t>“Primeros Auxilios Psicológicos”, Centro de Vinculación y Desarrollo Regional, Unidad Tlaxcala (IPN).</w:t>
      </w:r>
      <w:r>
        <w:rPr>
          <w:rFonts w:ascii="Arial" w:hAnsi="Arial" w:cs="Arial"/>
          <w:sz w:val="18"/>
          <w:szCs w:val="18"/>
        </w:rPr>
        <w:br/>
        <w:t>“Elaboración de Actas Administrativas”, Centro de Vinculación y Desarrollo Regional, Unidad Tlaxcala (IPN).</w:t>
      </w:r>
      <w:r>
        <w:rPr>
          <w:rFonts w:ascii="Arial" w:hAnsi="Arial" w:cs="Arial"/>
          <w:sz w:val="18"/>
          <w:szCs w:val="18"/>
        </w:rPr>
        <w:br/>
        <w:t>“Liderazgo”, Centro de Vinculación y Desarrollo Regional, Unidad Tlaxcala (IPN).</w:t>
      </w:r>
    </w:p>
    <w:p w14:paraId="37305211" w14:textId="77777777" w:rsidR="00E001B2" w:rsidRDefault="00E001B2" w:rsidP="00E001B2">
      <w:pPr>
        <w:spacing w:after="0"/>
        <w:rPr>
          <w:rFonts w:ascii="Arial" w:hAnsi="Arial" w:cs="Arial"/>
          <w:sz w:val="18"/>
          <w:szCs w:val="18"/>
        </w:rPr>
      </w:pPr>
      <w:r>
        <w:rPr>
          <w:rFonts w:ascii="Arial" w:hAnsi="Arial" w:cs="Arial"/>
          <w:sz w:val="18"/>
          <w:szCs w:val="18"/>
        </w:rPr>
        <w:t xml:space="preserve">“Integración y motivación en el personal”. </w:t>
      </w:r>
    </w:p>
    <w:p w14:paraId="53C929DF" w14:textId="77777777" w:rsidR="00E001B2" w:rsidRDefault="00E001B2" w:rsidP="00E001B2">
      <w:pPr>
        <w:spacing w:after="0"/>
        <w:rPr>
          <w:rFonts w:ascii="Arial" w:hAnsi="Arial" w:cs="Arial"/>
          <w:sz w:val="18"/>
          <w:szCs w:val="18"/>
        </w:rPr>
      </w:pPr>
      <w:r>
        <w:rPr>
          <w:rFonts w:ascii="Arial" w:hAnsi="Arial" w:cs="Arial"/>
          <w:sz w:val="18"/>
          <w:szCs w:val="18"/>
        </w:rPr>
        <w:t>“Generalidades en materia de Gestión Documental y Archivística”.</w:t>
      </w:r>
    </w:p>
    <w:p w14:paraId="675825BA" w14:textId="77777777" w:rsidR="00E001B2" w:rsidRDefault="00E001B2" w:rsidP="00E001B2">
      <w:pPr>
        <w:spacing w:after="0"/>
        <w:rPr>
          <w:rFonts w:ascii="Arial" w:hAnsi="Arial" w:cs="Arial"/>
          <w:sz w:val="18"/>
          <w:szCs w:val="18"/>
        </w:rPr>
      </w:pPr>
      <w:r>
        <w:rPr>
          <w:rFonts w:ascii="Arial" w:hAnsi="Arial" w:cs="Arial"/>
          <w:sz w:val="18"/>
          <w:szCs w:val="18"/>
        </w:rPr>
        <w:t>“Inteligencia Emocional”.</w:t>
      </w:r>
    </w:p>
    <w:p w14:paraId="3BAC48FB" w14:textId="77777777" w:rsidR="00E001B2" w:rsidRDefault="00E001B2" w:rsidP="00E001B2">
      <w:pPr>
        <w:spacing w:after="0"/>
        <w:rPr>
          <w:rFonts w:ascii="Arial" w:hAnsi="Arial" w:cs="Arial"/>
          <w:sz w:val="18"/>
          <w:szCs w:val="18"/>
        </w:rPr>
      </w:pPr>
      <w:r>
        <w:rPr>
          <w:rFonts w:ascii="Arial" w:hAnsi="Arial" w:cs="Arial"/>
          <w:sz w:val="18"/>
          <w:szCs w:val="18"/>
        </w:rPr>
        <w:t xml:space="preserve">“Diplomado de </w:t>
      </w:r>
      <w:proofErr w:type="spellStart"/>
      <w:r>
        <w:rPr>
          <w:rFonts w:ascii="Arial" w:hAnsi="Arial" w:cs="Arial"/>
          <w:sz w:val="18"/>
          <w:szCs w:val="18"/>
        </w:rPr>
        <w:t>PbR</w:t>
      </w:r>
      <w:proofErr w:type="spellEnd"/>
      <w:r>
        <w:rPr>
          <w:rFonts w:ascii="Arial" w:hAnsi="Arial" w:cs="Arial"/>
          <w:sz w:val="18"/>
          <w:szCs w:val="18"/>
        </w:rPr>
        <w:t xml:space="preserve"> 2023”.</w:t>
      </w:r>
    </w:p>
    <w:p w14:paraId="5B789B0D" w14:textId="77777777" w:rsidR="00E001B2" w:rsidRDefault="00E001B2" w:rsidP="00E001B2">
      <w:pPr>
        <w:spacing w:after="0"/>
        <w:rPr>
          <w:rFonts w:ascii="Arial" w:hAnsi="Arial" w:cs="Arial"/>
          <w:sz w:val="18"/>
          <w:szCs w:val="18"/>
        </w:rPr>
      </w:pPr>
    </w:p>
    <w:p w14:paraId="3CE121B5" w14:textId="77777777" w:rsidR="00E001B2" w:rsidRDefault="00E001B2" w:rsidP="00E001B2">
      <w:pPr>
        <w:shd w:val="clear" w:color="auto" w:fill="FFFFFF" w:themeFill="background1"/>
        <w:autoSpaceDE w:val="0"/>
        <w:autoSpaceDN w:val="0"/>
        <w:adjustRightInd w:val="0"/>
        <w:spacing w:after="0" w:line="240" w:lineRule="auto"/>
        <w:jc w:val="both"/>
        <w:rPr>
          <w:rFonts w:ascii="Arial" w:hAnsi="Arial" w:cs="Arial"/>
          <w:sz w:val="18"/>
          <w:szCs w:val="18"/>
        </w:rPr>
      </w:pPr>
      <w:r>
        <w:rPr>
          <w:rFonts w:ascii="Arial" w:hAnsi="Arial" w:cs="Arial"/>
          <w:sz w:val="18"/>
          <w:szCs w:val="18"/>
        </w:rPr>
        <w:t>Por lo que refiere a la recuperación de la cartera, se continuó con las diversas acciones de tratamientos de cartera a solicitud de acreditados, se llevaron a cabo 5,083 visitas domiciliarias para entrega de requerimientos de pago, se efectuaron 18,978 llamadas telefónicas y se enviaron 17,786 mensajes a celulares de recordatorio de pago. Del mes de enero al mes de diciembre se logró un monto de recuperación superior a los 47 MDP.</w:t>
      </w:r>
    </w:p>
    <w:p w14:paraId="21B7CFF7" w14:textId="44BBC477" w:rsidR="0075717E" w:rsidRDefault="0075717E" w:rsidP="0075717E">
      <w:pPr>
        <w:shd w:val="clear" w:color="auto" w:fill="FFFFFF" w:themeFill="background1"/>
        <w:autoSpaceDE w:val="0"/>
        <w:autoSpaceDN w:val="0"/>
        <w:adjustRightInd w:val="0"/>
        <w:spacing w:after="0" w:line="240" w:lineRule="auto"/>
        <w:jc w:val="both"/>
        <w:rPr>
          <w:rFonts w:ascii="Arial" w:hAnsi="Arial" w:cs="Arial"/>
          <w:sz w:val="18"/>
          <w:szCs w:val="18"/>
        </w:rPr>
      </w:pPr>
    </w:p>
    <w:p w14:paraId="5B115403" w14:textId="11D414BC"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lastRenderedPageBreak/>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FBE73DA" w14:textId="77777777" w:rsidR="006E1FB7" w:rsidRDefault="006E1FB7"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Pr="00A71207" w:rsidRDefault="00FF41A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lastRenderedPageBreak/>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1" w:name="_Hlk36026404"/>
      <w:bookmarkStart w:id="2" w:name="_Hlk36027996"/>
      <w:r w:rsidRPr="00A71207">
        <w:rPr>
          <w:rFonts w:ascii="Arial" w:eastAsia="Times New Roman" w:hAnsi="Arial" w:cs="Arial"/>
          <w:sz w:val="17"/>
          <w:szCs w:val="17"/>
        </w:rPr>
        <w:t>Estado Presupuestario de Ingresos desagregado por concepto</w:t>
      </w:r>
      <w:bookmarkStart w:id="3" w:name="_Hlk107994875"/>
      <w:r w:rsidR="00380130">
        <w:rPr>
          <w:rFonts w:ascii="Arial" w:eastAsia="Times New Roman" w:hAnsi="Arial" w:cs="Arial"/>
          <w:sz w:val="17"/>
          <w:szCs w:val="17"/>
        </w:rPr>
        <w:t>. (Trimestral y acumulado)</w:t>
      </w:r>
    </w:p>
    <w:bookmarkEnd w:id="1"/>
    <w:bookmarkEnd w:id="3"/>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2"/>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CA7EAA">
      <w:headerReference w:type="even" r:id="rId8"/>
      <w:headerReference w:type="default" r:id="rId9"/>
      <w:footerReference w:type="even" r:id="rId10"/>
      <w:footerReference w:type="default" r:id="rId11"/>
      <w:pgSz w:w="15840" w:h="12240" w:orient="landscape"/>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67DA" w14:textId="77777777" w:rsidR="00054B24" w:rsidRDefault="00054B24" w:rsidP="00EA5418">
      <w:pPr>
        <w:spacing w:after="0" w:line="240" w:lineRule="auto"/>
      </w:pPr>
      <w:r>
        <w:separator/>
      </w:r>
    </w:p>
  </w:endnote>
  <w:endnote w:type="continuationSeparator" w:id="0">
    <w:p w14:paraId="059FD304" w14:textId="77777777" w:rsidR="00054B24" w:rsidRDefault="00054B2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44E" w14:textId="5724075D" w:rsidR="0013011C"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3BD" w14:textId="211E9BEB" w:rsidR="008E3652"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F0CF" w14:textId="77777777" w:rsidR="00054B24" w:rsidRDefault="00054B24" w:rsidP="00EA5418">
      <w:pPr>
        <w:spacing w:after="0" w:line="240" w:lineRule="auto"/>
      </w:pPr>
      <w:r>
        <w:separator/>
      </w:r>
    </w:p>
  </w:footnote>
  <w:footnote w:type="continuationSeparator" w:id="0">
    <w:p w14:paraId="7EC44F39" w14:textId="77777777" w:rsidR="00054B24" w:rsidRDefault="00054B2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436" w14:textId="77777777" w:rsidR="0013011C" w:rsidRDefault="00000000">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6AACF344"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43968">
                      <w:rPr>
                        <w:rFonts w:ascii="Soberana Titular" w:hAnsi="Soberana Titular" w:cs="Arial"/>
                        <w:color w:val="808080" w:themeColor="background1" w:themeShade="80"/>
                        <w:sz w:val="42"/>
                        <w:szCs w:val="42"/>
                      </w:rPr>
                      <w:t>3</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78E" w14:textId="77777777" w:rsidR="008E3652"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37755"/>
    <w:multiLevelType w:val="hybridMultilevel"/>
    <w:tmpl w:val="365E03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CBC2749"/>
    <w:multiLevelType w:val="hybridMultilevel"/>
    <w:tmpl w:val="ADE840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4924FCC"/>
    <w:multiLevelType w:val="hybridMultilevel"/>
    <w:tmpl w:val="345E46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79193386">
    <w:abstractNumId w:val="1"/>
  </w:num>
  <w:num w:numId="2" w16cid:durableId="1590656596">
    <w:abstractNumId w:val="3"/>
  </w:num>
  <w:num w:numId="3" w16cid:durableId="884561451">
    <w:abstractNumId w:val="12"/>
  </w:num>
  <w:num w:numId="4" w16cid:durableId="1008675594">
    <w:abstractNumId w:val="7"/>
  </w:num>
  <w:num w:numId="5" w16cid:durableId="2091417277">
    <w:abstractNumId w:val="6"/>
  </w:num>
  <w:num w:numId="6" w16cid:durableId="2080667515">
    <w:abstractNumId w:val="17"/>
  </w:num>
  <w:num w:numId="7" w16cid:durableId="164440127">
    <w:abstractNumId w:val="26"/>
  </w:num>
  <w:num w:numId="8" w16cid:durableId="1598096655">
    <w:abstractNumId w:val="19"/>
  </w:num>
  <w:num w:numId="9" w16cid:durableId="203295090">
    <w:abstractNumId w:val="14"/>
  </w:num>
  <w:num w:numId="10" w16cid:durableId="759764931">
    <w:abstractNumId w:val="0"/>
  </w:num>
  <w:num w:numId="11" w16cid:durableId="1858077671">
    <w:abstractNumId w:val="9"/>
  </w:num>
  <w:num w:numId="12" w16cid:durableId="1238831989">
    <w:abstractNumId w:val="4"/>
  </w:num>
  <w:num w:numId="13" w16cid:durableId="1253710068">
    <w:abstractNumId w:val="15"/>
  </w:num>
  <w:num w:numId="14" w16cid:durableId="4481251">
    <w:abstractNumId w:val="18"/>
  </w:num>
  <w:num w:numId="15" w16cid:durableId="505708519">
    <w:abstractNumId w:val="21"/>
  </w:num>
  <w:num w:numId="16" w16cid:durableId="647902461">
    <w:abstractNumId w:val="16"/>
  </w:num>
  <w:num w:numId="17" w16cid:durableId="35551150">
    <w:abstractNumId w:val="25"/>
  </w:num>
  <w:num w:numId="18" w16cid:durableId="1142311819">
    <w:abstractNumId w:val="20"/>
  </w:num>
  <w:num w:numId="19" w16cid:durableId="1231189231">
    <w:abstractNumId w:val="11"/>
  </w:num>
  <w:num w:numId="20" w16cid:durableId="1810393480">
    <w:abstractNumId w:val="22"/>
  </w:num>
  <w:num w:numId="21" w16cid:durableId="340352203">
    <w:abstractNumId w:val="2"/>
  </w:num>
  <w:num w:numId="22" w16cid:durableId="42415472">
    <w:abstractNumId w:val="23"/>
  </w:num>
  <w:num w:numId="23" w16cid:durableId="912816434">
    <w:abstractNumId w:val="10"/>
  </w:num>
  <w:num w:numId="24" w16cid:durableId="2144148937">
    <w:abstractNumId w:val="5"/>
  </w:num>
  <w:num w:numId="25" w16cid:durableId="1123616206">
    <w:abstractNumId w:val="13"/>
  </w:num>
  <w:num w:numId="26" w16cid:durableId="361634891">
    <w:abstractNumId w:val="8"/>
  </w:num>
  <w:num w:numId="27" w16cid:durableId="19531278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4B24"/>
    <w:rsid w:val="00055300"/>
    <w:rsid w:val="00056042"/>
    <w:rsid w:val="00067787"/>
    <w:rsid w:val="00075F11"/>
    <w:rsid w:val="00076A56"/>
    <w:rsid w:val="00081D79"/>
    <w:rsid w:val="000A2A48"/>
    <w:rsid w:val="000A65B1"/>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9674A"/>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87A2B"/>
    <w:rsid w:val="003A6522"/>
    <w:rsid w:val="003D0D78"/>
    <w:rsid w:val="003D5DBF"/>
    <w:rsid w:val="003E7FD0"/>
    <w:rsid w:val="003F05C2"/>
    <w:rsid w:val="004137E3"/>
    <w:rsid w:val="0044253C"/>
    <w:rsid w:val="00443075"/>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E2EB5"/>
    <w:rsid w:val="005F103E"/>
    <w:rsid w:val="005F7589"/>
    <w:rsid w:val="006048D2"/>
    <w:rsid w:val="00611E39"/>
    <w:rsid w:val="00623300"/>
    <w:rsid w:val="006458E9"/>
    <w:rsid w:val="006A4F83"/>
    <w:rsid w:val="006B729B"/>
    <w:rsid w:val="006D291A"/>
    <w:rsid w:val="006E1FB7"/>
    <w:rsid w:val="006E6B8E"/>
    <w:rsid w:val="006E77DD"/>
    <w:rsid w:val="00731430"/>
    <w:rsid w:val="00742E35"/>
    <w:rsid w:val="00746D9B"/>
    <w:rsid w:val="0075717E"/>
    <w:rsid w:val="0079582C"/>
    <w:rsid w:val="007C3C68"/>
    <w:rsid w:val="007D1E43"/>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65EFE"/>
    <w:rsid w:val="009E16FC"/>
    <w:rsid w:val="009E5258"/>
    <w:rsid w:val="009F62E7"/>
    <w:rsid w:val="00A14B74"/>
    <w:rsid w:val="00A516D8"/>
    <w:rsid w:val="00A71207"/>
    <w:rsid w:val="00A8165C"/>
    <w:rsid w:val="00AB13B7"/>
    <w:rsid w:val="00AC1FDF"/>
    <w:rsid w:val="00AC7243"/>
    <w:rsid w:val="00AD70F5"/>
    <w:rsid w:val="00AD791F"/>
    <w:rsid w:val="00AE59F4"/>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3968"/>
    <w:rsid w:val="00C44F01"/>
    <w:rsid w:val="00C762B8"/>
    <w:rsid w:val="00C85A3B"/>
    <w:rsid w:val="00CA2D37"/>
    <w:rsid w:val="00CA7EAA"/>
    <w:rsid w:val="00CB42AC"/>
    <w:rsid w:val="00CC5CB6"/>
    <w:rsid w:val="00D02A82"/>
    <w:rsid w:val="00D055EC"/>
    <w:rsid w:val="00D404ED"/>
    <w:rsid w:val="00D51261"/>
    <w:rsid w:val="00D5675C"/>
    <w:rsid w:val="00D748D3"/>
    <w:rsid w:val="00D75A56"/>
    <w:rsid w:val="00D848D7"/>
    <w:rsid w:val="00DD230F"/>
    <w:rsid w:val="00DE728C"/>
    <w:rsid w:val="00E001B2"/>
    <w:rsid w:val="00E32708"/>
    <w:rsid w:val="00E45FD0"/>
    <w:rsid w:val="00E81959"/>
    <w:rsid w:val="00EA5418"/>
    <w:rsid w:val="00EB215E"/>
    <w:rsid w:val="00EC28F3"/>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914163990">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1548</Words>
  <Characters>8515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60</cp:revision>
  <cp:lastPrinted>2023-10-06T18:28:00Z</cp:lastPrinted>
  <dcterms:created xsi:type="dcterms:W3CDTF">2014-09-01T14:30:00Z</dcterms:created>
  <dcterms:modified xsi:type="dcterms:W3CDTF">2024-01-04T21:20:00Z</dcterms:modified>
</cp:coreProperties>
</file>