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F5773" w14:textId="77777777"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987ABB">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5A74E772"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6A291D">
        <w:rPr>
          <w:rFonts w:ascii="Arial" w:hAnsi="Arial" w:cs="Arial"/>
          <w:sz w:val="18"/>
          <w:szCs w:val="18"/>
        </w:rPr>
        <w:t>2</w:t>
      </w:r>
      <w:r>
        <w:rPr>
          <w:rFonts w:ascii="Arial" w:hAnsi="Arial" w:cs="Arial"/>
          <w:sz w:val="18"/>
          <w:szCs w:val="18"/>
        </w:rPr>
        <w:t>,</w:t>
      </w:r>
      <w:r w:rsidR="006A291D">
        <w:rPr>
          <w:rFonts w:ascii="Arial" w:hAnsi="Arial" w:cs="Arial"/>
          <w:sz w:val="18"/>
          <w:szCs w:val="18"/>
        </w:rPr>
        <w:t>505</w:t>
      </w:r>
      <w:r>
        <w:rPr>
          <w:rFonts w:ascii="Arial" w:hAnsi="Arial" w:cs="Arial"/>
          <w:sz w:val="18"/>
          <w:szCs w:val="18"/>
        </w:rPr>
        <w:t>,</w:t>
      </w:r>
      <w:r w:rsidR="006A291D">
        <w:rPr>
          <w:rFonts w:ascii="Arial" w:hAnsi="Arial" w:cs="Arial"/>
          <w:sz w:val="18"/>
          <w:szCs w:val="18"/>
        </w:rPr>
        <w:t>567</w:t>
      </w:r>
      <w:r>
        <w:rPr>
          <w:rFonts w:ascii="Arial" w:hAnsi="Arial" w:cs="Arial"/>
          <w:sz w:val="18"/>
          <w:szCs w:val="18"/>
        </w:rPr>
        <w:t>,</w:t>
      </w:r>
      <w:r w:rsidR="006A291D">
        <w:rPr>
          <w:rFonts w:ascii="Arial" w:hAnsi="Arial" w:cs="Arial"/>
          <w:sz w:val="18"/>
          <w:szCs w:val="18"/>
        </w:rPr>
        <w:t>055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6A291D">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4</w:t>
      </w:r>
      <w:r w:rsidR="006A291D">
        <w:rPr>
          <w:rFonts w:ascii="Arial" w:hAnsi="Arial" w:cs="Arial"/>
          <w:sz w:val="18"/>
          <w:szCs w:val="18"/>
        </w:rPr>
        <w:t>0</w:t>
      </w:r>
      <w:r w:rsidR="00F3142D">
        <w:rPr>
          <w:rFonts w:ascii="Arial" w:hAnsi="Arial" w:cs="Arial"/>
          <w:sz w:val="18"/>
          <w:szCs w:val="18"/>
        </w:rPr>
        <w:t>.</w:t>
      </w:r>
      <w:r w:rsidR="006A291D">
        <w:rPr>
          <w:rFonts w:ascii="Arial" w:hAnsi="Arial" w:cs="Arial"/>
          <w:sz w:val="18"/>
          <w:szCs w:val="18"/>
        </w:rPr>
        <w:t>9</w:t>
      </w:r>
      <w:r w:rsidR="00F3142D">
        <w:rPr>
          <w:rFonts w:ascii="Arial" w:hAnsi="Arial" w:cs="Arial"/>
          <w:sz w:val="18"/>
          <w:szCs w:val="18"/>
        </w:rPr>
        <w:t>% equivalente a $72</w:t>
      </w:r>
      <w:r w:rsidR="006A291D">
        <w:rPr>
          <w:rFonts w:ascii="Arial" w:hAnsi="Arial" w:cs="Arial"/>
          <w:sz w:val="18"/>
          <w:szCs w:val="18"/>
        </w:rPr>
        <w:t>7</w:t>
      </w:r>
      <w:r w:rsidR="00F3142D">
        <w:rPr>
          <w:rFonts w:ascii="Arial" w:hAnsi="Arial" w:cs="Arial"/>
          <w:sz w:val="18"/>
          <w:szCs w:val="18"/>
        </w:rPr>
        <w:t>,3</w:t>
      </w:r>
      <w:r w:rsidR="006A291D">
        <w:rPr>
          <w:rFonts w:ascii="Arial" w:hAnsi="Arial" w:cs="Arial"/>
          <w:sz w:val="18"/>
          <w:szCs w:val="18"/>
        </w:rPr>
        <w:t>39</w:t>
      </w:r>
      <w:r w:rsidR="00F3142D">
        <w:rPr>
          <w:rFonts w:ascii="Arial" w:hAnsi="Arial" w:cs="Arial"/>
          <w:sz w:val="18"/>
          <w:szCs w:val="18"/>
        </w:rPr>
        <w:t>,</w:t>
      </w:r>
      <w:r w:rsidR="006A291D">
        <w:rPr>
          <w:rFonts w:ascii="Arial" w:hAnsi="Arial" w:cs="Arial"/>
          <w:sz w:val="18"/>
          <w:szCs w:val="18"/>
        </w:rPr>
        <w:t>058</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3B1C777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w:t>
      </w:r>
      <w:r w:rsidR="006A291D">
        <w:rPr>
          <w:rFonts w:ascii="Arial" w:hAnsi="Arial" w:cs="Arial"/>
          <w:sz w:val="18"/>
          <w:szCs w:val="18"/>
        </w:rPr>
        <w:t>2</w:t>
      </w:r>
      <w:r w:rsidR="001340E0">
        <w:rPr>
          <w:rFonts w:ascii="Arial" w:hAnsi="Arial" w:cs="Arial"/>
          <w:sz w:val="18"/>
          <w:szCs w:val="18"/>
        </w:rPr>
        <w:t>,</w:t>
      </w:r>
      <w:r w:rsidR="006A291D">
        <w:rPr>
          <w:rFonts w:ascii="Arial" w:hAnsi="Arial" w:cs="Arial"/>
          <w:sz w:val="18"/>
          <w:szCs w:val="18"/>
        </w:rPr>
        <w:t>794</w:t>
      </w:r>
      <w:r w:rsidR="001340E0">
        <w:rPr>
          <w:rFonts w:ascii="Arial" w:hAnsi="Arial" w:cs="Arial"/>
          <w:sz w:val="18"/>
          <w:szCs w:val="18"/>
        </w:rPr>
        <w:t>,</w:t>
      </w:r>
      <w:r w:rsidR="006A291D">
        <w:rPr>
          <w:rFonts w:ascii="Arial" w:hAnsi="Arial" w:cs="Arial"/>
          <w:sz w:val="18"/>
          <w:szCs w:val="18"/>
        </w:rPr>
        <w:t>186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A291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menor en un 15.6%</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31A7AE78"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A291D">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D01486">
        <w:rPr>
          <w:rFonts w:ascii="Arial" w:hAnsi="Arial" w:cs="Arial"/>
          <w:sz w:val="18"/>
          <w:szCs w:val="18"/>
        </w:rPr>
        <w:t>29,002,089</w:t>
      </w:r>
      <w:r w:rsidR="007D6C18">
        <w:rPr>
          <w:rFonts w:ascii="Arial" w:hAnsi="Arial" w:cs="Arial"/>
          <w:sz w:val="18"/>
          <w:szCs w:val="18"/>
        </w:rPr>
        <w:t>.00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74166B61"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2F2BEF7A"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7237601B"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w:t>
      </w:r>
      <w:r w:rsidR="00D01486">
        <w:rPr>
          <w:rFonts w:ascii="Arial" w:hAnsi="Arial" w:cs="Arial"/>
          <w:sz w:val="18"/>
          <w:szCs w:val="18"/>
        </w:rPr>
        <w:t>5</w:t>
      </w:r>
      <w:r>
        <w:rPr>
          <w:rFonts w:ascii="Arial" w:hAnsi="Arial" w:cs="Arial"/>
          <w:sz w:val="18"/>
          <w:szCs w:val="18"/>
        </w:rPr>
        <w:t>,</w:t>
      </w:r>
      <w:r w:rsidR="00D01486">
        <w:rPr>
          <w:rFonts w:ascii="Arial" w:hAnsi="Arial" w:cs="Arial"/>
          <w:sz w:val="18"/>
          <w:szCs w:val="18"/>
        </w:rPr>
        <w:t>215</w:t>
      </w:r>
      <w:r>
        <w:rPr>
          <w:rFonts w:ascii="Arial" w:hAnsi="Arial" w:cs="Arial"/>
          <w:sz w:val="18"/>
          <w:szCs w:val="18"/>
        </w:rPr>
        <w:t>,</w:t>
      </w:r>
      <w:r w:rsidR="00D01486">
        <w:rPr>
          <w:rFonts w:ascii="Arial" w:hAnsi="Arial" w:cs="Arial"/>
          <w:sz w:val="18"/>
          <w:szCs w:val="18"/>
        </w:rPr>
        <w:t>669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presentando un</w:t>
      </w:r>
      <w:r w:rsidR="00D01486">
        <w:rPr>
          <w:rFonts w:ascii="Arial" w:hAnsi="Arial" w:cs="Arial"/>
          <w:sz w:val="18"/>
          <w:szCs w:val="18"/>
        </w:rPr>
        <w:t>a</w:t>
      </w:r>
      <w:r w:rsidR="007D6C18">
        <w:rPr>
          <w:rFonts w:ascii="Arial" w:hAnsi="Arial" w:cs="Arial"/>
          <w:sz w:val="18"/>
          <w:szCs w:val="18"/>
        </w:rPr>
        <w:t xml:space="preserve"> </w:t>
      </w:r>
      <w:r w:rsidR="00D01486">
        <w:rPr>
          <w:rFonts w:ascii="Arial" w:hAnsi="Arial" w:cs="Arial"/>
          <w:sz w:val="18"/>
          <w:szCs w:val="18"/>
        </w:rPr>
        <w:t>disminución</w:t>
      </w:r>
      <w:r w:rsidR="007D6C18">
        <w:rPr>
          <w:rFonts w:ascii="Arial" w:hAnsi="Arial" w:cs="Arial"/>
          <w:sz w:val="18"/>
          <w:szCs w:val="18"/>
        </w:rPr>
        <w:t xml:space="preserve"> del </w:t>
      </w:r>
      <w:r w:rsidR="00D01486">
        <w:rPr>
          <w:rFonts w:ascii="Arial" w:hAnsi="Arial" w:cs="Arial"/>
          <w:sz w:val="18"/>
          <w:szCs w:val="18"/>
        </w:rPr>
        <w:t>0.06</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73F617C6"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103</w:t>
      </w:r>
      <w:r w:rsidRPr="00F619D6">
        <w:rPr>
          <w:rFonts w:ascii="Arial" w:hAnsi="Arial" w:cs="Arial"/>
          <w:sz w:val="18"/>
          <w:szCs w:val="18"/>
        </w:rPr>
        <w:t>,</w:t>
      </w:r>
      <w:r w:rsidR="00D01486">
        <w:rPr>
          <w:rFonts w:ascii="Arial" w:hAnsi="Arial" w:cs="Arial"/>
          <w:sz w:val="18"/>
          <w:szCs w:val="18"/>
        </w:rPr>
        <w:t>528</w:t>
      </w:r>
      <w:r w:rsidRPr="00F619D6">
        <w:rPr>
          <w:rFonts w:ascii="Arial" w:hAnsi="Arial" w:cs="Arial"/>
          <w:sz w:val="18"/>
          <w:szCs w:val="18"/>
        </w:rPr>
        <w:t>,</w:t>
      </w:r>
      <w:r w:rsidR="00D01486">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D01486">
        <w:rPr>
          <w:rFonts w:ascii="Arial" w:hAnsi="Arial" w:cs="Arial"/>
          <w:sz w:val="18"/>
          <w:szCs w:val="18"/>
        </w:rPr>
        <w:t>a</w:t>
      </w:r>
      <w:r w:rsidR="007D6C18">
        <w:rPr>
          <w:rFonts w:ascii="Arial" w:hAnsi="Arial" w:cs="Arial"/>
          <w:sz w:val="18"/>
          <w:szCs w:val="18"/>
        </w:rPr>
        <w:t xml:space="preserve"> </w:t>
      </w:r>
      <w:r w:rsidR="00D01486">
        <w:rPr>
          <w:rFonts w:ascii="Arial" w:hAnsi="Arial" w:cs="Arial"/>
          <w:sz w:val="18"/>
          <w:szCs w:val="18"/>
        </w:rPr>
        <w:t>disminución</w:t>
      </w:r>
      <w:r w:rsidR="007D6C18">
        <w:rPr>
          <w:rFonts w:ascii="Arial" w:hAnsi="Arial" w:cs="Arial"/>
          <w:sz w:val="18"/>
          <w:szCs w:val="18"/>
        </w:rPr>
        <w:t xml:space="preserve"> del 1.</w:t>
      </w:r>
      <w:r w:rsidR="00D01486">
        <w:rPr>
          <w:rFonts w:ascii="Arial" w:hAnsi="Arial" w:cs="Arial"/>
          <w:sz w:val="18"/>
          <w:szCs w:val="18"/>
        </w:rPr>
        <w:t>2</w:t>
      </w:r>
      <w:r w:rsidR="007D6C18">
        <w:rPr>
          <w:rFonts w:ascii="Arial" w:hAnsi="Arial" w:cs="Arial"/>
          <w:sz w:val="18"/>
          <w:szCs w:val="18"/>
        </w:rPr>
        <w:t xml:space="preserve">%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0060C654"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no observándose variaciones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21AC1B5E" w14:textId="77777777"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lastRenderedPageBreak/>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62057D4D"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E5D7B">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751CE206"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0E5D7B">
        <w:rPr>
          <w:rFonts w:ascii="Arial" w:hAnsi="Arial" w:cs="Arial"/>
          <w:sz w:val="18"/>
          <w:szCs w:val="18"/>
        </w:rPr>
        <w:t>188</w:t>
      </w:r>
      <w:r w:rsidR="00B006FD">
        <w:rPr>
          <w:rFonts w:ascii="Arial" w:hAnsi="Arial" w:cs="Arial"/>
          <w:sz w:val="18"/>
          <w:szCs w:val="18"/>
        </w:rPr>
        <w:t>,</w:t>
      </w:r>
      <w:r w:rsidR="000E5D7B">
        <w:rPr>
          <w:rFonts w:ascii="Arial" w:hAnsi="Arial" w:cs="Arial"/>
          <w:sz w:val="18"/>
          <w:szCs w:val="18"/>
        </w:rPr>
        <w:t>718</w:t>
      </w:r>
      <w:r w:rsidR="00B006FD">
        <w:rPr>
          <w:rFonts w:ascii="Arial" w:hAnsi="Arial" w:cs="Arial"/>
          <w:sz w:val="18"/>
          <w:szCs w:val="18"/>
        </w:rPr>
        <w:t>,</w:t>
      </w:r>
      <w:r w:rsidR="000E5D7B">
        <w:rPr>
          <w:rFonts w:ascii="Arial" w:hAnsi="Arial" w:cs="Arial"/>
          <w:sz w:val="18"/>
          <w:szCs w:val="18"/>
        </w:rPr>
        <w:t>160</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0E5D7B">
        <w:rPr>
          <w:rFonts w:ascii="Arial" w:hAnsi="Arial" w:cs="Arial"/>
          <w:sz w:val="18"/>
          <w:szCs w:val="18"/>
        </w:rPr>
        <w:t>29</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4ADAEF37"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874341">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874341">
        <w:rPr>
          <w:rFonts w:ascii="Arial" w:hAnsi="Arial" w:cs="Arial"/>
          <w:sz w:val="18"/>
          <w:szCs w:val="18"/>
        </w:rPr>
        <w:t>6</w:t>
      </w:r>
      <w:r>
        <w:rPr>
          <w:rFonts w:ascii="Arial" w:hAnsi="Arial" w:cs="Arial"/>
          <w:sz w:val="18"/>
          <w:szCs w:val="18"/>
        </w:rPr>
        <w:t>,</w:t>
      </w:r>
      <w:r w:rsidR="001F3D67">
        <w:rPr>
          <w:rFonts w:ascii="Arial" w:hAnsi="Arial" w:cs="Arial"/>
          <w:sz w:val="18"/>
          <w:szCs w:val="18"/>
        </w:rPr>
        <w:t>261</w:t>
      </w:r>
      <w:r>
        <w:rPr>
          <w:rFonts w:ascii="Arial" w:hAnsi="Arial" w:cs="Arial"/>
          <w:sz w:val="18"/>
          <w:szCs w:val="18"/>
        </w:rPr>
        <w:t>,</w:t>
      </w:r>
      <w:r w:rsidR="001F3D67">
        <w:rPr>
          <w:rFonts w:ascii="Arial" w:hAnsi="Arial" w:cs="Arial"/>
          <w:sz w:val="18"/>
          <w:szCs w:val="18"/>
        </w:rPr>
        <w:t>905</w:t>
      </w:r>
      <w:r>
        <w:rPr>
          <w:rFonts w:ascii="Arial" w:hAnsi="Arial" w:cs="Arial"/>
          <w:sz w:val="18"/>
          <w:szCs w:val="18"/>
        </w:rPr>
        <w:t>,</w:t>
      </w:r>
      <w:r w:rsidR="001F3D67">
        <w:rPr>
          <w:rFonts w:ascii="Arial" w:hAnsi="Arial" w:cs="Arial"/>
          <w:sz w:val="18"/>
          <w:szCs w:val="18"/>
        </w:rPr>
        <w:t>498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1F3D67">
        <w:rPr>
          <w:rFonts w:ascii="Arial" w:hAnsi="Arial" w:cs="Arial"/>
          <w:sz w:val="18"/>
          <w:szCs w:val="18"/>
        </w:rPr>
        <w:t>4</w:t>
      </w:r>
      <w:r>
        <w:rPr>
          <w:rFonts w:ascii="Arial" w:hAnsi="Arial" w:cs="Arial"/>
          <w:sz w:val="18"/>
          <w:szCs w:val="18"/>
        </w:rPr>
        <w:t>,</w:t>
      </w:r>
      <w:r w:rsidR="001F3D67">
        <w:rPr>
          <w:rFonts w:ascii="Arial" w:hAnsi="Arial" w:cs="Arial"/>
          <w:sz w:val="18"/>
          <w:szCs w:val="18"/>
        </w:rPr>
        <w:t>983</w:t>
      </w:r>
      <w:r>
        <w:rPr>
          <w:rFonts w:ascii="Arial" w:hAnsi="Arial" w:cs="Arial"/>
          <w:sz w:val="18"/>
          <w:szCs w:val="18"/>
        </w:rPr>
        <w:t>,</w:t>
      </w:r>
      <w:r w:rsidR="001F3D67">
        <w:rPr>
          <w:rFonts w:ascii="Arial" w:hAnsi="Arial" w:cs="Arial"/>
          <w:sz w:val="18"/>
          <w:szCs w:val="18"/>
        </w:rPr>
        <w:t>084</w:t>
      </w:r>
      <w:r>
        <w:rPr>
          <w:rFonts w:ascii="Arial" w:hAnsi="Arial" w:cs="Arial"/>
          <w:sz w:val="18"/>
          <w:szCs w:val="18"/>
        </w:rPr>
        <w:t>,</w:t>
      </w:r>
      <w:r w:rsidR="001F3D67">
        <w:rPr>
          <w:rFonts w:ascii="Arial" w:hAnsi="Arial" w:cs="Arial"/>
          <w:sz w:val="18"/>
          <w:szCs w:val="18"/>
        </w:rPr>
        <w:t>723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1F3D67">
        <w:rPr>
          <w:rFonts w:ascii="Arial" w:hAnsi="Arial" w:cs="Arial"/>
          <w:sz w:val="18"/>
          <w:szCs w:val="18"/>
        </w:rPr>
        <w:t>1</w:t>
      </w:r>
      <w:r w:rsidR="007F6AFD">
        <w:rPr>
          <w:rFonts w:ascii="Arial" w:hAnsi="Arial" w:cs="Arial"/>
          <w:sz w:val="18"/>
          <w:szCs w:val="18"/>
        </w:rPr>
        <w:t>,</w:t>
      </w:r>
      <w:r w:rsidR="001F3D67">
        <w:rPr>
          <w:rFonts w:ascii="Arial" w:hAnsi="Arial" w:cs="Arial"/>
          <w:sz w:val="18"/>
          <w:szCs w:val="18"/>
        </w:rPr>
        <w:t>278</w:t>
      </w:r>
      <w:r>
        <w:rPr>
          <w:rFonts w:ascii="Arial" w:hAnsi="Arial" w:cs="Arial"/>
          <w:sz w:val="18"/>
          <w:szCs w:val="18"/>
        </w:rPr>
        <w:t>,</w:t>
      </w:r>
      <w:r w:rsidR="001F3D67">
        <w:rPr>
          <w:rFonts w:ascii="Arial" w:hAnsi="Arial" w:cs="Arial"/>
          <w:sz w:val="18"/>
          <w:szCs w:val="18"/>
        </w:rPr>
        <w:t>820</w:t>
      </w:r>
      <w:r>
        <w:rPr>
          <w:rFonts w:ascii="Arial" w:hAnsi="Arial" w:cs="Arial"/>
          <w:sz w:val="18"/>
          <w:szCs w:val="18"/>
        </w:rPr>
        <w:t>,</w:t>
      </w:r>
      <w:r w:rsidR="001F3D67">
        <w:rPr>
          <w:rFonts w:ascii="Arial" w:hAnsi="Arial" w:cs="Arial"/>
          <w:sz w:val="18"/>
          <w:szCs w:val="18"/>
        </w:rPr>
        <w:t>775</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1F3D67">
        <w:rPr>
          <w:rFonts w:ascii="Arial" w:hAnsi="Arial" w:cs="Arial"/>
          <w:sz w:val="18"/>
          <w:szCs w:val="18"/>
        </w:rPr>
        <w:t>significativamente menor</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6A292A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C16A9">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DC16A9">
        <w:rPr>
          <w:rFonts w:ascii="Arial" w:hAnsi="Arial" w:cs="Arial"/>
          <w:sz w:val="18"/>
          <w:szCs w:val="18"/>
        </w:rPr>
        <w:t>215</w:t>
      </w:r>
      <w:r>
        <w:rPr>
          <w:rFonts w:ascii="Arial" w:hAnsi="Arial" w:cs="Arial"/>
          <w:sz w:val="18"/>
          <w:szCs w:val="18"/>
        </w:rPr>
        <w:t>,</w:t>
      </w:r>
      <w:r w:rsidR="00DC16A9">
        <w:rPr>
          <w:rFonts w:ascii="Arial" w:hAnsi="Arial" w:cs="Arial"/>
          <w:sz w:val="18"/>
          <w:szCs w:val="18"/>
        </w:rPr>
        <w:t>839</w:t>
      </w:r>
      <w:r>
        <w:rPr>
          <w:rFonts w:ascii="Arial" w:hAnsi="Arial" w:cs="Arial"/>
          <w:sz w:val="18"/>
          <w:szCs w:val="18"/>
        </w:rPr>
        <w:t>,</w:t>
      </w:r>
      <w:r w:rsidR="00DC16A9">
        <w:rPr>
          <w:rFonts w:ascii="Arial" w:hAnsi="Arial" w:cs="Arial"/>
          <w:sz w:val="18"/>
          <w:szCs w:val="18"/>
        </w:rPr>
        <w:t>170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DC16A9">
        <w:rPr>
          <w:rFonts w:ascii="Arial" w:hAnsi="Arial" w:cs="Arial"/>
          <w:sz w:val="18"/>
          <w:szCs w:val="18"/>
        </w:rPr>
        <w:t>195</w:t>
      </w:r>
      <w:r w:rsidR="00E004F0">
        <w:rPr>
          <w:rFonts w:ascii="Arial" w:hAnsi="Arial" w:cs="Arial"/>
          <w:sz w:val="18"/>
          <w:szCs w:val="18"/>
        </w:rPr>
        <w:t>,</w:t>
      </w:r>
      <w:r w:rsidR="00DC16A9">
        <w:rPr>
          <w:rFonts w:ascii="Arial" w:hAnsi="Arial" w:cs="Arial"/>
          <w:sz w:val="18"/>
          <w:szCs w:val="18"/>
        </w:rPr>
        <w:t>818</w:t>
      </w:r>
      <w:r w:rsidR="00AB0983">
        <w:rPr>
          <w:rFonts w:ascii="Arial" w:hAnsi="Arial" w:cs="Arial"/>
          <w:sz w:val="18"/>
          <w:szCs w:val="18"/>
        </w:rPr>
        <w:t>,</w:t>
      </w:r>
      <w:r w:rsidR="00DC16A9">
        <w:rPr>
          <w:rFonts w:ascii="Arial" w:hAnsi="Arial" w:cs="Arial"/>
          <w:sz w:val="18"/>
          <w:szCs w:val="18"/>
        </w:rPr>
        <w:t>075</w:t>
      </w:r>
      <w:r>
        <w:rPr>
          <w:rFonts w:ascii="Arial" w:hAnsi="Arial" w:cs="Arial"/>
          <w:sz w:val="18"/>
          <w:szCs w:val="18"/>
        </w:rPr>
        <w:t>; sobre la Producción, el Consumo y las transacciones por un importe de $</w:t>
      </w:r>
      <w:r w:rsidR="00DC16A9">
        <w:rPr>
          <w:rFonts w:ascii="Arial" w:hAnsi="Arial" w:cs="Arial"/>
          <w:sz w:val="18"/>
          <w:szCs w:val="18"/>
        </w:rPr>
        <w:t>14</w:t>
      </w:r>
      <w:r>
        <w:rPr>
          <w:rFonts w:ascii="Arial" w:hAnsi="Arial" w:cs="Arial"/>
          <w:sz w:val="18"/>
          <w:szCs w:val="18"/>
        </w:rPr>
        <w:t>,</w:t>
      </w:r>
      <w:r w:rsidR="00DC16A9">
        <w:rPr>
          <w:rFonts w:ascii="Arial" w:hAnsi="Arial" w:cs="Arial"/>
          <w:sz w:val="18"/>
          <w:szCs w:val="18"/>
        </w:rPr>
        <w:t>100</w:t>
      </w:r>
      <w:r>
        <w:rPr>
          <w:rFonts w:ascii="Arial" w:hAnsi="Arial" w:cs="Arial"/>
          <w:sz w:val="18"/>
          <w:szCs w:val="18"/>
        </w:rPr>
        <w:t>,</w:t>
      </w:r>
      <w:r w:rsidR="00DC16A9">
        <w:rPr>
          <w:rFonts w:ascii="Arial" w:hAnsi="Arial" w:cs="Arial"/>
          <w:sz w:val="18"/>
          <w:szCs w:val="18"/>
        </w:rPr>
        <w:t>295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DC16A9">
        <w:rPr>
          <w:rFonts w:ascii="Arial" w:hAnsi="Arial" w:cs="Arial"/>
          <w:sz w:val="18"/>
          <w:szCs w:val="18"/>
        </w:rPr>
        <w:t>3</w:t>
      </w:r>
      <w:r>
        <w:rPr>
          <w:rFonts w:ascii="Arial" w:hAnsi="Arial" w:cs="Arial"/>
          <w:sz w:val="18"/>
          <w:szCs w:val="18"/>
        </w:rPr>
        <w:t>,</w:t>
      </w:r>
      <w:r w:rsidR="00DC16A9">
        <w:rPr>
          <w:rFonts w:ascii="Arial" w:hAnsi="Arial" w:cs="Arial"/>
          <w:sz w:val="18"/>
          <w:szCs w:val="18"/>
        </w:rPr>
        <w:t>300</w:t>
      </w:r>
      <w:r>
        <w:rPr>
          <w:rFonts w:ascii="Arial" w:hAnsi="Arial" w:cs="Arial"/>
          <w:sz w:val="18"/>
          <w:szCs w:val="18"/>
        </w:rPr>
        <w:t>,</w:t>
      </w:r>
      <w:r w:rsidR="00DC16A9">
        <w:rPr>
          <w:rFonts w:ascii="Arial" w:hAnsi="Arial" w:cs="Arial"/>
          <w:sz w:val="18"/>
          <w:szCs w:val="18"/>
        </w:rPr>
        <w:t>414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DC16A9">
        <w:rPr>
          <w:rFonts w:ascii="Arial" w:hAnsi="Arial" w:cs="Arial"/>
          <w:sz w:val="18"/>
          <w:szCs w:val="18"/>
        </w:rPr>
        <w:t>71</w:t>
      </w:r>
      <w:r w:rsidR="00304672">
        <w:rPr>
          <w:rFonts w:ascii="Arial" w:hAnsi="Arial" w:cs="Arial"/>
          <w:sz w:val="18"/>
          <w:szCs w:val="18"/>
        </w:rPr>
        <w:t>.</w:t>
      </w:r>
      <w:r w:rsidR="00DC16A9">
        <w:rPr>
          <w:rFonts w:ascii="Arial" w:hAnsi="Arial" w:cs="Arial"/>
          <w:sz w:val="18"/>
          <w:szCs w:val="18"/>
        </w:rPr>
        <w:t>1</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0DF0D77"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7A327C">
        <w:rPr>
          <w:rFonts w:ascii="Arial" w:hAnsi="Arial" w:cs="Arial"/>
          <w:sz w:val="18"/>
          <w:szCs w:val="18"/>
        </w:rPr>
        <w:t>230</w:t>
      </w:r>
      <w:r>
        <w:rPr>
          <w:rFonts w:ascii="Arial" w:hAnsi="Arial" w:cs="Arial"/>
          <w:sz w:val="18"/>
          <w:szCs w:val="18"/>
        </w:rPr>
        <w:t>,</w:t>
      </w:r>
      <w:r w:rsidR="007A327C">
        <w:rPr>
          <w:rFonts w:ascii="Arial" w:hAnsi="Arial" w:cs="Arial"/>
          <w:sz w:val="18"/>
          <w:szCs w:val="18"/>
        </w:rPr>
        <w:t>120</w:t>
      </w:r>
      <w:r>
        <w:rPr>
          <w:rFonts w:ascii="Arial" w:hAnsi="Arial" w:cs="Arial"/>
          <w:sz w:val="18"/>
          <w:szCs w:val="18"/>
        </w:rPr>
        <w:t>,</w:t>
      </w:r>
      <w:r w:rsidR="007A327C">
        <w:rPr>
          <w:rFonts w:ascii="Arial" w:hAnsi="Arial" w:cs="Arial"/>
          <w:sz w:val="18"/>
          <w:szCs w:val="18"/>
        </w:rPr>
        <w:t>104</w:t>
      </w:r>
      <w:r w:rsidRPr="0073056A">
        <w:rPr>
          <w:rFonts w:ascii="Arial" w:hAnsi="Arial" w:cs="Arial"/>
          <w:sz w:val="18"/>
          <w:szCs w:val="18"/>
        </w:rPr>
        <w:t>.</w:t>
      </w:r>
      <w:r w:rsidR="00304672">
        <w:rPr>
          <w:rFonts w:ascii="Arial" w:hAnsi="Arial" w:cs="Arial"/>
          <w:sz w:val="18"/>
          <w:szCs w:val="18"/>
        </w:rPr>
        <w:t xml:space="preserve"> Mostrando un </w:t>
      </w:r>
      <w:r w:rsidR="007A327C">
        <w:rPr>
          <w:rFonts w:ascii="Arial" w:hAnsi="Arial" w:cs="Arial"/>
          <w:sz w:val="18"/>
          <w:szCs w:val="18"/>
        </w:rPr>
        <w:t>de</w:t>
      </w:r>
      <w:r w:rsidR="00304672">
        <w:rPr>
          <w:rFonts w:ascii="Arial" w:hAnsi="Arial" w:cs="Arial"/>
          <w:sz w:val="18"/>
          <w:szCs w:val="18"/>
        </w:rPr>
        <w:t xml:space="preserve">cremento del </w:t>
      </w:r>
      <w:r w:rsidR="007A327C">
        <w:rPr>
          <w:rFonts w:ascii="Arial" w:hAnsi="Arial" w:cs="Arial"/>
          <w:sz w:val="18"/>
          <w:szCs w:val="18"/>
        </w:rPr>
        <w:t>56</w:t>
      </w:r>
      <w:r w:rsidR="00304672">
        <w:rPr>
          <w:rFonts w:ascii="Arial" w:hAnsi="Arial" w:cs="Arial"/>
          <w:sz w:val="18"/>
          <w:szCs w:val="18"/>
        </w:rPr>
        <w:t>.</w:t>
      </w:r>
      <w:r w:rsidR="007A327C">
        <w:rPr>
          <w:rFonts w:ascii="Arial" w:hAnsi="Arial" w:cs="Arial"/>
          <w:sz w:val="18"/>
          <w:szCs w:val="18"/>
        </w:rPr>
        <w:t>3</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7F1C2113"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7A327C">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7A327C">
        <w:rPr>
          <w:rFonts w:ascii="Arial" w:hAnsi="Arial" w:cs="Arial"/>
          <w:sz w:val="18"/>
          <w:szCs w:val="18"/>
        </w:rPr>
        <w:t>52</w:t>
      </w:r>
      <w:r w:rsidRPr="00502DDD">
        <w:rPr>
          <w:rFonts w:ascii="Arial" w:hAnsi="Arial" w:cs="Arial"/>
          <w:sz w:val="18"/>
          <w:szCs w:val="18"/>
        </w:rPr>
        <w:t>,</w:t>
      </w:r>
      <w:r w:rsidR="007A327C">
        <w:rPr>
          <w:rFonts w:ascii="Arial" w:hAnsi="Arial" w:cs="Arial"/>
          <w:sz w:val="18"/>
          <w:szCs w:val="18"/>
        </w:rPr>
        <w:t>332</w:t>
      </w:r>
      <w:r w:rsidRPr="00502DDD">
        <w:rPr>
          <w:rFonts w:ascii="Arial" w:hAnsi="Arial" w:cs="Arial"/>
          <w:sz w:val="18"/>
          <w:szCs w:val="18"/>
        </w:rPr>
        <w:t>,</w:t>
      </w:r>
      <w:r w:rsidR="007A327C">
        <w:rPr>
          <w:rFonts w:ascii="Arial" w:hAnsi="Arial" w:cs="Arial"/>
          <w:sz w:val="18"/>
          <w:szCs w:val="18"/>
        </w:rPr>
        <w:t>697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7A327C">
        <w:rPr>
          <w:rFonts w:ascii="Arial" w:hAnsi="Arial" w:cs="Arial"/>
          <w:sz w:val="18"/>
          <w:szCs w:val="18"/>
        </w:rPr>
        <w:t>71</w:t>
      </w:r>
      <w:r w:rsidR="00EC5C97">
        <w:rPr>
          <w:rFonts w:ascii="Arial" w:hAnsi="Arial" w:cs="Arial"/>
          <w:sz w:val="18"/>
          <w:szCs w:val="18"/>
        </w:rPr>
        <w:t>.</w:t>
      </w:r>
      <w:r w:rsidR="007A327C">
        <w:rPr>
          <w:rFonts w:ascii="Arial" w:hAnsi="Arial" w:cs="Arial"/>
          <w:sz w:val="18"/>
          <w:szCs w:val="18"/>
        </w:rPr>
        <w:t>2</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875CE17"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lastRenderedPageBreak/>
        <w:t xml:space="preserve">Al mes de </w:t>
      </w:r>
      <w:r w:rsidR="007A327C">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7A327C">
        <w:rPr>
          <w:rFonts w:ascii="Arial" w:hAnsi="Arial" w:cs="Arial"/>
          <w:sz w:val="18"/>
          <w:szCs w:val="18"/>
        </w:rPr>
        <w:t>2</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7A327C">
        <w:rPr>
          <w:rFonts w:ascii="Arial" w:hAnsi="Arial" w:cs="Arial"/>
          <w:sz w:val="18"/>
          <w:szCs w:val="18"/>
        </w:rPr>
        <w:t>83</w:t>
      </w:r>
      <w:r w:rsidR="00EC5C97">
        <w:rPr>
          <w:rFonts w:ascii="Arial" w:hAnsi="Arial" w:cs="Arial"/>
          <w:sz w:val="18"/>
          <w:szCs w:val="18"/>
        </w:rPr>
        <w:t>.</w:t>
      </w:r>
      <w:r w:rsidR="007A327C">
        <w:rPr>
          <w:rFonts w:ascii="Arial" w:hAnsi="Arial" w:cs="Arial"/>
          <w:sz w:val="18"/>
          <w:szCs w:val="18"/>
        </w:rPr>
        <w:t>2</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128433C5"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7A327C">
        <w:rPr>
          <w:rFonts w:ascii="Arial" w:hAnsi="Arial" w:cs="Arial"/>
          <w:sz w:val="18"/>
          <w:szCs w:val="18"/>
        </w:rPr>
        <w:t>31</w:t>
      </w:r>
      <w:r>
        <w:rPr>
          <w:rFonts w:ascii="Arial" w:hAnsi="Arial" w:cs="Arial"/>
          <w:sz w:val="18"/>
          <w:szCs w:val="18"/>
        </w:rPr>
        <w:t>,</w:t>
      </w:r>
      <w:r w:rsidR="007A327C">
        <w:rPr>
          <w:rFonts w:ascii="Arial" w:hAnsi="Arial" w:cs="Arial"/>
          <w:sz w:val="18"/>
          <w:szCs w:val="18"/>
        </w:rPr>
        <w:t>589</w:t>
      </w:r>
      <w:r>
        <w:rPr>
          <w:rFonts w:ascii="Arial" w:hAnsi="Arial" w:cs="Arial"/>
          <w:sz w:val="18"/>
          <w:szCs w:val="18"/>
        </w:rPr>
        <w:t>,</w:t>
      </w:r>
      <w:r w:rsidR="007A327C">
        <w:rPr>
          <w:rFonts w:ascii="Arial" w:hAnsi="Arial" w:cs="Arial"/>
          <w:sz w:val="18"/>
          <w:szCs w:val="18"/>
        </w:rPr>
        <w:t>835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222D09">
        <w:rPr>
          <w:rFonts w:ascii="Arial" w:hAnsi="Arial" w:cs="Arial"/>
          <w:sz w:val="18"/>
          <w:szCs w:val="18"/>
        </w:rPr>
        <w:t>74.5</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29FB256F"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222D09">
        <w:rPr>
          <w:rFonts w:ascii="Arial" w:hAnsi="Arial" w:cs="Arial"/>
          <w:sz w:val="18"/>
          <w:szCs w:val="18"/>
        </w:rPr>
        <w:t>5</w:t>
      </w:r>
      <w:r>
        <w:rPr>
          <w:rFonts w:ascii="Arial" w:hAnsi="Arial" w:cs="Arial"/>
          <w:sz w:val="18"/>
          <w:szCs w:val="18"/>
        </w:rPr>
        <w:t>,</w:t>
      </w:r>
      <w:r w:rsidR="00222D09">
        <w:rPr>
          <w:rFonts w:ascii="Arial" w:hAnsi="Arial" w:cs="Arial"/>
          <w:sz w:val="18"/>
          <w:szCs w:val="18"/>
        </w:rPr>
        <w:t>729</w:t>
      </w:r>
      <w:r>
        <w:rPr>
          <w:rFonts w:ascii="Arial" w:hAnsi="Arial" w:cs="Arial"/>
          <w:sz w:val="18"/>
          <w:szCs w:val="18"/>
        </w:rPr>
        <w:t>,</w:t>
      </w:r>
      <w:r w:rsidR="00222D09">
        <w:rPr>
          <w:rFonts w:ascii="Arial" w:hAnsi="Arial" w:cs="Arial"/>
          <w:sz w:val="18"/>
          <w:szCs w:val="18"/>
        </w:rPr>
        <w:t>241</w:t>
      </w:r>
      <w:r>
        <w:rPr>
          <w:rFonts w:ascii="Arial" w:hAnsi="Arial" w:cs="Arial"/>
          <w:sz w:val="18"/>
          <w:szCs w:val="18"/>
        </w:rPr>
        <w:t>,</w:t>
      </w:r>
      <w:r w:rsidR="00222D09">
        <w:rPr>
          <w:rFonts w:ascii="Arial" w:hAnsi="Arial" w:cs="Arial"/>
          <w:sz w:val="18"/>
          <w:szCs w:val="18"/>
        </w:rPr>
        <w:t>977</w:t>
      </w:r>
      <w:r>
        <w:rPr>
          <w:rFonts w:ascii="Arial" w:hAnsi="Arial" w:cs="Arial"/>
          <w:sz w:val="18"/>
          <w:szCs w:val="18"/>
        </w:rPr>
        <w:t xml:space="preserve"> al mes de </w:t>
      </w:r>
      <w:r w:rsidR="00222D09">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222D09">
        <w:rPr>
          <w:rFonts w:ascii="Arial" w:hAnsi="Arial" w:cs="Arial"/>
          <w:sz w:val="18"/>
          <w:szCs w:val="18"/>
        </w:rPr>
        <w:t>76.1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2A70EE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22D09">
        <w:rPr>
          <w:rFonts w:ascii="Arial" w:hAnsi="Arial" w:cs="Arial"/>
          <w:sz w:val="18"/>
          <w:szCs w:val="18"/>
        </w:rPr>
        <w:t>2</w:t>
      </w:r>
      <w:r>
        <w:rPr>
          <w:rFonts w:ascii="Arial" w:hAnsi="Arial" w:cs="Arial"/>
          <w:sz w:val="18"/>
          <w:szCs w:val="18"/>
        </w:rPr>
        <w:t>,</w:t>
      </w:r>
      <w:r w:rsidR="00222D09">
        <w:rPr>
          <w:rFonts w:ascii="Arial" w:hAnsi="Arial" w:cs="Arial"/>
          <w:sz w:val="18"/>
          <w:szCs w:val="18"/>
        </w:rPr>
        <w:t>900</w:t>
      </w:r>
      <w:r>
        <w:rPr>
          <w:rFonts w:ascii="Arial" w:hAnsi="Arial" w:cs="Arial"/>
          <w:sz w:val="18"/>
          <w:szCs w:val="18"/>
        </w:rPr>
        <w:t>,</w:t>
      </w:r>
      <w:r w:rsidR="00222D09">
        <w:rPr>
          <w:rFonts w:ascii="Arial" w:hAnsi="Arial" w:cs="Arial"/>
          <w:sz w:val="18"/>
          <w:szCs w:val="18"/>
        </w:rPr>
        <w:t>494</w:t>
      </w:r>
      <w:r>
        <w:rPr>
          <w:rFonts w:ascii="Arial" w:hAnsi="Arial" w:cs="Arial"/>
          <w:sz w:val="18"/>
          <w:szCs w:val="18"/>
        </w:rPr>
        <w:t>,</w:t>
      </w:r>
      <w:r w:rsidR="00222D09">
        <w:rPr>
          <w:rFonts w:ascii="Arial" w:hAnsi="Arial" w:cs="Arial"/>
          <w:sz w:val="18"/>
          <w:szCs w:val="18"/>
        </w:rPr>
        <w:t>448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222D09">
        <w:rPr>
          <w:rFonts w:ascii="Arial" w:hAnsi="Arial" w:cs="Arial"/>
          <w:sz w:val="18"/>
          <w:szCs w:val="18"/>
        </w:rPr>
        <w:t>2.8</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20A69FE0"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22D09">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12A8FB37" w:rsidR="00AE0E84" w:rsidRPr="0004135F" w:rsidRDefault="00222D0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768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164</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76AE856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0A4C66DE"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922</w:t>
            </w:r>
          </w:p>
        </w:tc>
        <w:tc>
          <w:tcPr>
            <w:tcW w:w="1214" w:type="dxa"/>
            <w:tcBorders>
              <w:top w:val="nil"/>
              <w:left w:val="nil"/>
              <w:bottom w:val="single" w:sz="8" w:space="0" w:color="auto"/>
              <w:right w:val="single" w:sz="8" w:space="0" w:color="auto"/>
            </w:tcBorders>
            <w:shd w:val="clear" w:color="auto" w:fill="auto"/>
            <w:noWrap/>
            <w:vAlign w:val="center"/>
          </w:tcPr>
          <w:p w14:paraId="279F69EC" w14:textId="2A412CB0"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2D611600"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605</w:t>
            </w:r>
          </w:p>
        </w:tc>
        <w:tc>
          <w:tcPr>
            <w:tcW w:w="1214" w:type="dxa"/>
            <w:tcBorders>
              <w:top w:val="nil"/>
              <w:left w:val="nil"/>
              <w:bottom w:val="single" w:sz="8" w:space="0" w:color="auto"/>
              <w:right w:val="single" w:sz="8" w:space="0" w:color="auto"/>
            </w:tcBorders>
            <w:shd w:val="clear" w:color="auto" w:fill="auto"/>
            <w:noWrap/>
            <w:vAlign w:val="center"/>
          </w:tcPr>
          <w:p w14:paraId="5E3983A1" w14:textId="6765BD89"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D67E1">
              <w:rPr>
                <w:rFonts w:eastAsia="Times New Roman" w:cstheme="minorHAnsi"/>
                <w:color w:val="000000"/>
                <w:sz w:val="20"/>
                <w:szCs w:val="18"/>
                <w:lang w:eastAsia="es-MX"/>
              </w:rPr>
              <w:t>7</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013F7822"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921</w:t>
            </w:r>
          </w:p>
        </w:tc>
        <w:tc>
          <w:tcPr>
            <w:tcW w:w="1214" w:type="dxa"/>
            <w:tcBorders>
              <w:top w:val="nil"/>
              <w:left w:val="nil"/>
              <w:bottom w:val="single" w:sz="8" w:space="0" w:color="auto"/>
              <w:right w:val="single" w:sz="8" w:space="0" w:color="auto"/>
            </w:tcBorders>
            <w:shd w:val="clear" w:color="auto" w:fill="auto"/>
            <w:noWrap/>
            <w:vAlign w:val="center"/>
          </w:tcPr>
          <w:p w14:paraId="7F8B696D" w14:textId="04825B56"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D695625"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080</w:t>
            </w:r>
          </w:p>
        </w:tc>
        <w:tc>
          <w:tcPr>
            <w:tcW w:w="1214" w:type="dxa"/>
            <w:tcBorders>
              <w:top w:val="nil"/>
              <w:left w:val="nil"/>
              <w:bottom w:val="single" w:sz="8" w:space="0" w:color="auto"/>
              <w:right w:val="single" w:sz="8" w:space="0" w:color="auto"/>
            </w:tcBorders>
            <w:shd w:val="clear" w:color="auto" w:fill="auto"/>
            <w:noWrap/>
            <w:vAlign w:val="center"/>
          </w:tcPr>
          <w:p w14:paraId="7186E41E" w14:textId="285C13D5"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966D6D4" w:rsidR="00E828CB"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032</w:t>
            </w:r>
          </w:p>
        </w:tc>
        <w:tc>
          <w:tcPr>
            <w:tcW w:w="1214" w:type="dxa"/>
            <w:tcBorders>
              <w:top w:val="nil"/>
              <w:left w:val="nil"/>
              <w:bottom w:val="single" w:sz="8" w:space="0" w:color="auto"/>
              <w:right w:val="single" w:sz="8" w:space="0" w:color="auto"/>
            </w:tcBorders>
            <w:shd w:val="clear" w:color="auto" w:fill="auto"/>
            <w:noWrap/>
            <w:vAlign w:val="center"/>
          </w:tcPr>
          <w:p w14:paraId="173E7ADB" w14:textId="75FCFC9E"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8A44D6">
              <w:rPr>
                <w:rFonts w:eastAsia="Times New Roman" w:cstheme="minorHAnsi"/>
                <w:color w:val="000000"/>
                <w:sz w:val="20"/>
                <w:szCs w:val="18"/>
                <w:lang w:eastAsia="es-MX"/>
              </w:rPr>
              <w:t>7</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017BDB9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212</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6A398B24"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FE59F7">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199</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972</w:t>
            </w:r>
          </w:p>
        </w:tc>
        <w:tc>
          <w:tcPr>
            <w:tcW w:w="1214" w:type="dxa"/>
            <w:tcBorders>
              <w:top w:val="nil"/>
              <w:left w:val="nil"/>
              <w:bottom w:val="single" w:sz="8" w:space="0" w:color="auto"/>
              <w:right w:val="single" w:sz="8" w:space="0" w:color="auto"/>
            </w:tcBorders>
            <w:shd w:val="clear" w:color="auto" w:fill="auto"/>
            <w:noWrap/>
            <w:vAlign w:val="center"/>
          </w:tcPr>
          <w:p w14:paraId="4FDD53D7" w14:textId="55A7A824"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5D67E1">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0A32850A"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751</w:t>
            </w:r>
          </w:p>
        </w:tc>
        <w:tc>
          <w:tcPr>
            <w:tcW w:w="1214" w:type="dxa"/>
            <w:tcBorders>
              <w:top w:val="nil"/>
              <w:left w:val="nil"/>
              <w:bottom w:val="single" w:sz="8" w:space="0" w:color="auto"/>
              <w:right w:val="single" w:sz="8" w:space="0" w:color="auto"/>
            </w:tcBorders>
            <w:shd w:val="clear" w:color="auto" w:fill="auto"/>
            <w:noWrap/>
            <w:vAlign w:val="center"/>
          </w:tcPr>
          <w:p w14:paraId="73AE023E" w14:textId="220409AD"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EF7B0F6"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979</w:t>
            </w:r>
          </w:p>
        </w:tc>
        <w:tc>
          <w:tcPr>
            <w:tcW w:w="1214" w:type="dxa"/>
            <w:tcBorders>
              <w:top w:val="nil"/>
              <w:left w:val="nil"/>
              <w:bottom w:val="single" w:sz="8" w:space="0" w:color="auto"/>
              <w:right w:val="single" w:sz="8" w:space="0" w:color="auto"/>
            </w:tcBorders>
            <w:shd w:val="clear" w:color="auto" w:fill="auto"/>
            <w:noWrap/>
            <w:vAlign w:val="center"/>
          </w:tcPr>
          <w:p w14:paraId="2DD88D54" w14:textId="5841B93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0013F3D"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FE59F7">
              <w:rPr>
                <w:rFonts w:eastAsia="Times New Roman" w:cstheme="minorHAnsi"/>
                <w:color w:val="000000"/>
                <w:sz w:val="20"/>
                <w:szCs w:val="18"/>
                <w:lang w:eastAsia="es-MX"/>
              </w:rPr>
              <w:t>2</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FE59F7">
              <w:rPr>
                <w:rFonts w:eastAsia="Times New Roman" w:cstheme="minorHAnsi"/>
                <w:color w:val="000000"/>
                <w:sz w:val="20"/>
                <w:szCs w:val="18"/>
                <w:lang w:eastAsia="es-MX"/>
              </w:rPr>
              <w:t>0</w:t>
            </w:r>
            <w:r>
              <w:rPr>
                <w:rFonts w:eastAsia="Times New Roman" w:cstheme="minorHAnsi"/>
                <w:color w:val="000000"/>
                <w:sz w:val="20"/>
                <w:szCs w:val="18"/>
                <w:lang w:eastAsia="es-MX"/>
              </w:rPr>
              <w:t>1</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872</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616</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398E1137"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835">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50835">
        <w:rPr>
          <w:rFonts w:ascii="Arial" w:hAnsi="Arial" w:cs="Arial"/>
          <w:sz w:val="18"/>
          <w:szCs w:val="18"/>
        </w:rPr>
        <w:t>323</w:t>
      </w:r>
      <w:r w:rsidR="0098545B">
        <w:rPr>
          <w:rFonts w:ascii="Arial" w:hAnsi="Arial" w:cs="Arial"/>
          <w:sz w:val="18"/>
          <w:szCs w:val="18"/>
        </w:rPr>
        <w:t>,</w:t>
      </w:r>
      <w:r w:rsidR="00F50835">
        <w:rPr>
          <w:rFonts w:ascii="Arial" w:hAnsi="Arial" w:cs="Arial"/>
          <w:sz w:val="18"/>
          <w:szCs w:val="18"/>
        </w:rPr>
        <w:t>594</w:t>
      </w:r>
      <w:r w:rsidR="0098545B">
        <w:rPr>
          <w:rFonts w:ascii="Arial" w:hAnsi="Arial" w:cs="Arial"/>
          <w:sz w:val="18"/>
          <w:szCs w:val="18"/>
        </w:rPr>
        <w:t>,</w:t>
      </w:r>
      <w:r w:rsidR="00F50835">
        <w:rPr>
          <w:rFonts w:ascii="Arial" w:hAnsi="Arial" w:cs="Arial"/>
          <w:sz w:val="18"/>
          <w:szCs w:val="18"/>
        </w:rPr>
        <w:t>472</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5C019D0D"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50835">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50835">
        <w:rPr>
          <w:rFonts w:ascii="Arial" w:hAnsi="Arial" w:cs="Arial"/>
          <w:sz w:val="18"/>
          <w:szCs w:val="18"/>
        </w:rPr>
        <w:t>marzo</w:t>
      </w:r>
      <w:r w:rsidR="00134F21">
        <w:rPr>
          <w:rFonts w:ascii="Arial" w:hAnsi="Arial" w:cs="Arial"/>
          <w:sz w:val="18"/>
          <w:szCs w:val="18"/>
        </w:rPr>
        <w:t xml:space="preserve"> por este concepto un monto de $</w:t>
      </w:r>
      <w:r w:rsidR="00F50835">
        <w:rPr>
          <w:rFonts w:ascii="Arial" w:hAnsi="Arial" w:cs="Arial"/>
          <w:sz w:val="18"/>
          <w:szCs w:val="18"/>
        </w:rPr>
        <w:t>706</w:t>
      </w:r>
      <w:r w:rsidR="00134F21">
        <w:rPr>
          <w:rFonts w:ascii="Arial" w:hAnsi="Arial" w:cs="Arial"/>
          <w:sz w:val="18"/>
          <w:szCs w:val="18"/>
        </w:rPr>
        <w:t>,</w:t>
      </w:r>
      <w:r w:rsidR="00F50835">
        <w:rPr>
          <w:rFonts w:ascii="Arial" w:hAnsi="Arial" w:cs="Arial"/>
          <w:sz w:val="18"/>
          <w:szCs w:val="18"/>
        </w:rPr>
        <w:t>458</w:t>
      </w:r>
      <w:r w:rsidR="00134F21">
        <w:rPr>
          <w:rFonts w:ascii="Arial" w:hAnsi="Arial" w:cs="Arial"/>
          <w:sz w:val="18"/>
          <w:szCs w:val="18"/>
        </w:rPr>
        <w:t>,</w:t>
      </w:r>
      <w:r w:rsidR="00F50835">
        <w:rPr>
          <w:rFonts w:ascii="Arial" w:hAnsi="Arial" w:cs="Arial"/>
          <w:sz w:val="18"/>
          <w:szCs w:val="18"/>
        </w:rPr>
        <w:t>986</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cremento del 7</w:t>
      </w:r>
      <w:r w:rsidR="00F50835">
        <w:rPr>
          <w:rFonts w:ascii="Arial" w:hAnsi="Arial" w:cs="Arial"/>
          <w:sz w:val="18"/>
          <w:szCs w:val="18"/>
        </w:rPr>
        <w:t>5</w:t>
      </w:r>
      <w:r w:rsidR="007615D9">
        <w:rPr>
          <w:rFonts w:ascii="Arial" w:hAnsi="Arial" w:cs="Arial"/>
          <w:sz w:val="18"/>
          <w:szCs w:val="18"/>
        </w:rPr>
        <w:t>.</w:t>
      </w:r>
      <w:r w:rsidR="00F50835">
        <w:rPr>
          <w:rFonts w:ascii="Arial" w:hAnsi="Arial" w:cs="Arial"/>
          <w:sz w:val="18"/>
          <w:szCs w:val="18"/>
        </w:rPr>
        <w:t>4</w:t>
      </w:r>
      <w:r w:rsidR="007615D9">
        <w:rPr>
          <w:rFonts w:ascii="Arial" w:hAnsi="Arial" w:cs="Arial"/>
          <w:sz w:val="18"/>
          <w:szCs w:val="18"/>
        </w:rPr>
        <w:t>% respecto al ejercicio 202</w:t>
      </w:r>
      <w:r w:rsidR="00F50835">
        <w:rPr>
          <w:rFonts w:ascii="Arial" w:hAnsi="Arial" w:cs="Arial"/>
          <w:sz w:val="18"/>
          <w:szCs w:val="18"/>
        </w:rPr>
        <w:t>2</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3F2F8ECC"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F50835">
        <w:rPr>
          <w:rFonts w:ascii="Arial" w:hAnsi="Arial" w:cs="Arial"/>
          <w:sz w:val="18"/>
          <w:szCs w:val="18"/>
        </w:rPr>
        <w:t>17</w:t>
      </w:r>
      <w:r>
        <w:rPr>
          <w:rFonts w:ascii="Arial" w:hAnsi="Arial" w:cs="Arial"/>
          <w:sz w:val="18"/>
          <w:szCs w:val="18"/>
        </w:rPr>
        <w:t>,</w:t>
      </w:r>
      <w:r w:rsidR="00F50835">
        <w:rPr>
          <w:rFonts w:ascii="Arial" w:hAnsi="Arial" w:cs="Arial"/>
          <w:sz w:val="18"/>
          <w:szCs w:val="18"/>
        </w:rPr>
        <w:t>744</w:t>
      </w:r>
      <w:r>
        <w:rPr>
          <w:rFonts w:ascii="Arial" w:hAnsi="Arial" w:cs="Arial"/>
          <w:sz w:val="18"/>
          <w:szCs w:val="18"/>
        </w:rPr>
        <w:t>,</w:t>
      </w:r>
      <w:r w:rsidR="00663540">
        <w:rPr>
          <w:rFonts w:ascii="Arial" w:hAnsi="Arial" w:cs="Arial"/>
          <w:sz w:val="18"/>
          <w:szCs w:val="18"/>
        </w:rPr>
        <w:t>495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8D67DB6"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7615D9">
        <w:rPr>
          <w:rFonts w:ascii="Arial" w:hAnsi="Arial" w:cs="Arial"/>
          <w:sz w:val="18"/>
          <w:szCs w:val="18"/>
        </w:rPr>
        <w:t>5</w:t>
      </w:r>
      <w:r w:rsidR="00663540">
        <w:rPr>
          <w:rFonts w:ascii="Arial" w:hAnsi="Arial" w:cs="Arial"/>
          <w:sz w:val="18"/>
          <w:szCs w:val="18"/>
        </w:rPr>
        <w:t>5</w:t>
      </w:r>
      <w:r w:rsidR="00BA3B1D">
        <w:rPr>
          <w:rFonts w:ascii="Arial" w:hAnsi="Arial" w:cs="Arial"/>
          <w:sz w:val="18"/>
          <w:szCs w:val="18"/>
        </w:rPr>
        <w:t>,</w:t>
      </w:r>
      <w:r w:rsidR="00663540">
        <w:rPr>
          <w:rFonts w:ascii="Arial" w:hAnsi="Arial" w:cs="Arial"/>
          <w:sz w:val="18"/>
          <w:szCs w:val="18"/>
        </w:rPr>
        <w:t>838</w:t>
      </w:r>
      <w:r w:rsidR="00BA3B1D">
        <w:rPr>
          <w:rFonts w:ascii="Arial" w:hAnsi="Arial" w:cs="Arial"/>
          <w:sz w:val="18"/>
          <w:szCs w:val="18"/>
        </w:rPr>
        <w:t>,</w:t>
      </w:r>
      <w:r w:rsidR="007615D9">
        <w:rPr>
          <w:rFonts w:ascii="Arial" w:hAnsi="Arial" w:cs="Arial"/>
          <w:sz w:val="18"/>
          <w:szCs w:val="18"/>
        </w:rPr>
        <w:t>4</w:t>
      </w:r>
      <w:r w:rsidR="00663540">
        <w:rPr>
          <w:rFonts w:ascii="Arial" w:hAnsi="Arial" w:cs="Arial"/>
          <w:sz w:val="18"/>
          <w:szCs w:val="18"/>
        </w:rPr>
        <w:t>83</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663540">
        <w:rPr>
          <w:rFonts w:ascii="Arial" w:hAnsi="Arial" w:cs="Arial"/>
          <w:sz w:val="18"/>
          <w:szCs w:val="18"/>
        </w:rPr>
        <w:t>88</w:t>
      </w:r>
      <w:r w:rsidR="007615D9">
        <w:rPr>
          <w:rFonts w:ascii="Arial" w:hAnsi="Arial" w:cs="Arial"/>
          <w:sz w:val="18"/>
          <w:szCs w:val="18"/>
        </w:rPr>
        <w:t>.</w:t>
      </w:r>
      <w:r w:rsidR="00663540">
        <w:rPr>
          <w:rFonts w:ascii="Arial" w:hAnsi="Arial" w:cs="Arial"/>
          <w:sz w:val="18"/>
          <w:szCs w:val="18"/>
        </w:rPr>
        <w:t>9</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391F6F39"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663540">
        <w:rPr>
          <w:rFonts w:ascii="Arial" w:hAnsi="Arial" w:cs="Arial"/>
          <w:sz w:val="18"/>
          <w:szCs w:val="18"/>
        </w:rPr>
        <w:t>2</w:t>
      </w:r>
      <w:r w:rsidR="001A78A4">
        <w:rPr>
          <w:rFonts w:ascii="Arial" w:hAnsi="Arial" w:cs="Arial"/>
          <w:sz w:val="18"/>
          <w:szCs w:val="18"/>
        </w:rPr>
        <w:t>,</w:t>
      </w:r>
      <w:r w:rsidR="00663540">
        <w:rPr>
          <w:rFonts w:ascii="Arial" w:hAnsi="Arial" w:cs="Arial"/>
          <w:sz w:val="18"/>
          <w:szCs w:val="18"/>
        </w:rPr>
        <w:t>907</w:t>
      </w:r>
      <w:r>
        <w:rPr>
          <w:rFonts w:ascii="Arial" w:hAnsi="Arial" w:cs="Arial"/>
          <w:sz w:val="18"/>
          <w:szCs w:val="18"/>
        </w:rPr>
        <w:t>,</w:t>
      </w:r>
      <w:r w:rsidR="007615D9">
        <w:rPr>
          <w:rFonts w:ascii="Arial" w:hAnsi="Arial" w:cs="Arial"/>
          <w:sz w:val="18"/>
          <w:szCs w:val="18"/>
        </w:rPr>
        <w:t>5</w:t>
      </w:r>
      <w:r w:rsidR="00663540">
        <w:rPr>
          <w:rFonts w:ascii="Arial" w:hAnsi="Arial" w:cs="Arial"/>
          <w:sz w:val="18"/>
          <w:szCs w:val="18"/>
        </w:rPr>
        <w:t>98</w:t>
      </w:r>
      <w:r>
        <w:rPr>
          <w:rFonts w:ascii="Arial" w:hAnsi="Arial" w:cs="Arial"/>
          <w:sz w:val="18"/>
          <w:szCs w:val="18"/>
        </w:rPr>
        <w:t>,</w:t>
      </w:r>
      <w:r w:rsidR="00663540">
        <w:rPr>
          <w:rFonts w:ascii="Arial" w:hAnsi="Arial" w:cs="Arial"/>
          <w:sz w:val="18"/>
          <w:szCs w:val="18"/>
        </w:rPr>
        <w:t>692</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w:t>
      </w:r>
      <w:r w:rsidR="00663540">
        <w:rPr>
          <w:rFonts w:ascii="Arial" w:hAnsi="Arial" w:cs="Arial"/>
          <w:sz w:val="18"/>
          <w:szCs w:val="18"/>
        </w:rPr>
        <w:t>3.5</w:t>
      </w:r>
      <w:r>
        <w:rPr>
          <w:rFonts w:ascii="Arial" w:hAnsi="Arial" w:cs="Arial"/>
          <w:sz w:val="18"/>
          <w:szCs w:val="18"/>
        </w:rPr>
        <w:t xml:space="preserve">% y el sector salud con un </w:t>
      </w:r>
      <w:r w:rsidR="00663540">
        <w:rPr>
          <w:rFonts w:ascii="Arial" w:hAnsi="Arial" w:cs="Arial"/>
          <w:sz w:val="18"/>
          <w:szCs w:val="18"/>
        </w:rPr>
        <w:t>38.5</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3172339A"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63540">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663540">
        <w:rPr>
          <w:rFonts w:ascii="Arial" w:hAnsi="Arial" w:cs="Arial"/>
          <w:sz w:val="18"/>
          <w:szCs w:val="18"/>
        </w:rPr>
        <w:t>1</w:t>
      </w:r>
      <w:r w:rsidR="00303EA9">
        <w:rPr>
          <w:rFonts w:ascii="Arial" w:hAnsi="Arial" w:cs="Arial"/>
          <w:sz w:val="18"/>
          <w:szCs w:val="18"/>
        </w:rPr>
        <w:t>,</w:t>
      </w:r>
      <w:r w:rsidR="00663540">
        <w:rPr>
          <w:rFonts w:ascii="Arial" w:hAnsi="Arial" w:cs="Arial"/>
          <w:sz w:val="18"/>
          <w:szCs w:val="18"/>
        </w:rPr>
        <w:t>278</w:t>
      </w:r>
      <w:r>
        <w:rPr>
          <w:rFonts w:ascii="Arial" w:hAnsi="Arial" w:cs="Arial"/>
          <w:sz w:val="18"/>
          <w:szCs w:val="18"/>
        </w:rPr>
        <w:t>,</w:t>
      </w:r>
      <w:r w:rsidR="00663540">
        <w:rPr>
          <w:rFonts w:ascii="Arial" w:hAnsi="Arial" w:cs="Arial"/>
          <w:sz w:val="18"/>
          <w:szCs w:val="18"/>
        </w:rPr>
        <w:t>820</w:t>
      </w:r>
      <w:r>
        <w:rPr>
          <w:rFonts w:ascii="Arial" w:hAnsi="Arial" w:cs="Arial"/>
          <w:sz w:val="18"/>
          <w:szCs w:val="18"/>
        </w:rPr>
        <w:t>,</w:t>
      </w:r>
      <w:r w:rsidR="00663540">
        <w:rPr>
          <w:rFonts w:ascii="Arial" w:hAnsi="Arial" w:cs="Arial"/>
          <w:sz w:val="18"/>
          <w:szCs w:val="18"/>
        </w:rPr>
        <w:t>775</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663540">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663540">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663540">
        <w:rPr>
          <w:rFonts w:ascii="Arial" w:hAnsi="Arial" w:cs="Arial"/>
          <w:sz w:val="18"/>
          <w:szCs w:val="18"/>
        </w:rPr>
        <w:t>negativa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3EDE8608"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90730">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A90730">
        <w:rPr>
          <w:rFonts w:ascii="Arial" w:hAnsi="Arial" w:cs="Arial"/>
          <w:sz w:val="18"/>
          <w:szCs w:val="18"/>
        </w:rPr>
        <w:t>1</w:t>
      </w:r>
      <w:r w:rsidR="008A4453">
        <w:rPr>
          <w:rFonts w:ascii="Arial" w:hAnsi="Arial" w:cs="Arial"/>
          <w:sz w:val="18"/>
          <w:szCs w:val="18"/>
        </w:rPr>
        <w:t>,</w:t>
      </w:r>
      <w:r w:rsidR="00A90730">
        <w:rPr>
          <w:rFonts w:ascii="Arial" w:hAnsi="Arial" w:cs="Arial"/>
          <w:sz w:val="18"/>
          <w:szCs w:val="18"/>
        </w:rPr>
        <w:t>281</w:t>
      </w:r>
      <w:r>
        <w:rPr>
          <w:rFonts w:ascii="Arial" w:eastAsia="Times New Roman" w:hAnsi="Arial" w:cs="Arial"/>
          <w:bCs/>
          <w:sz w:val="18"/>
          <w:szCs w:val="18"/>
          <w:lang w:eastAsia="es-MX"/>
        </w:rPr>
        <w:t>,</w:t>
      </w:r>
      <w:r w:rsidR="00A90730">
        <w:rPr>
          <w:rFonts w:ascii="Arial" w:eastAsia="Times New Roman" w:hAnsi="Arial" w:cs="Arial"/>
          <w:bCs/>
          <w:sz w:val="18"/>
          <w:szCs w:val="18"/>
          <w:lang w:eastAsia="es-MX"/>
        </w:rPr>
        <w:t>467</w:t>
      </w:r>
      <w:r>
        <w:rPr>
          <w:rFonts w:ascii="Arial" w:eastAsia="Times New Roman" w:hAnsi="Arial" w:cs="Arial"/>
          <w:bCs/>
          <w:sz w:val="18"/>
          <w:szCs w:val="18"/>
          <w:lang w:eastAsia="es-MX"/>
        </w:rPr>
        <w:t>,</w:t>
      </w:r>
      <w:r w:rsidR="00A90730">
        <w:rPr>
          <w:rFonts w:ascii="Arial" w:eastAsia="Times New Roman" w:hAnsi="Arial" w:cs="Arial"/>
          <w:bCs/>
          <w:sz w:val="18"/>
          <w:szCs w:val="18"/>
          <w:lang w:eastAsia="es-MX"/>
        </w:rPr>
        <w:t>256</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42A5DF5F"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A90730">
        <w:rPr>
          <w:lang w:val="es-MX"/>
        </w:rPr>
        <w:t>727</w:t>
      </w:r>
      <w:r w:rsidR="00AC2CB6">
        <w:rPr>
          <w:lang w:val="es-MX"/>
        </w:rPr>
        <w:t>,</w:t>
      </w:r>
      <w:r w:rsidR="00A90730">
        <w:rPr>
          <w:lang w:val="es-MX"/>
        </w:rPr>
        <w:t>339</w:t>
      </w:r>
      <w:r w:rsidR="00AC2CB6">
        <w:rPr>
          <w:lang w:val="es-MX"/>
        </w:rPr>
        <w:t>,</w:t>
      </w:r>
      <w:r w:rsidR="00A90730">
        <w:rPr>
          <w:lang w:val="es-MX"/>
        </w:rPr>
        <w:t>058</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3CB69898"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A90730">
        <w:rPr>
          <w:lang w:val="es-MX"/>
        </w:rPr>
        <w:t>1</w:t>
      </w:r>
      <w:r w:rsidR="008F5C9C">
        <w:rPr>
          <w:lang w:val="es-MX"/>
        </w:rPr>
        <w:t>,</w:t>
      </w:r>
      <w:r w:rsidR="00A90730">
        <w:rPr>
          <w:lang w:val="es-MX"/>
        </w:rPr>
        <w:t>278</w:t>
      </w:r>
      <w:r>
        <w:rPr>
          <w:lang w:val="es-MX"/>
        </w:rPr>
        <w:t>,</w:t>
      </w:r>
      <w:r w:rsidR="00A90730">
        <w:rPr>
          <w:lang w:val="es-MX"/>
        </w:rPr>
        <w:t>820</w:t>
      </w:r>
      <w:r>
        <w:rPr>
          <w:lang w:val="es-MX"/>
        </w:rPr>
        <w:t>,</w:t>
      </w:r>
      <w:r w:rsidR="00A90730">
        <w:rPr>
          <w:lang w:val="es-MX"/>
        </w:rPr>
        <w:t>775</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2E957D63"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90730">
        <w:rPr>
          <w:lang w:val="es-MX"/>
        </w:rPr>
        <w:t>marzo</w:t>
      </w:r>
      <w:r>
        <w:rPr>
          <w:lang w:val="es-MX"/>
        </w:rPr>
        <w:t xml:space="preserve"> un importe de </w:t>
      </w:r>
      <w:r w:rsidRPr="004466A7">
        <w:rPr>
          <w:lang w:val="es-MX"/>
        </w:rPr>
        <w:t>$</w:t>
      </w:r>
      <w:r w:rsidR="00A90730">
        <w:rPr>
          <w:lang w:val="es-MX"/>
        </w:rPr>
        <w:t>106</w:t>
      </w:r>
      <w:r>
        <w:rPr>
          <w:lang w:val="es-MX"/>
        </w:rPr>
        <w:t>,</w:t>
      </w:r>
      <w:r w:rsidR="00A90730">
        <w:rPr>
          <w:lang w:val="es-MX"/>
        </w:rPr>
        <w:t>141</w:t>
      </w:r>
      <w:r>
        <w:rPr>
          <w:lang w:val="es-MX"/>
        </w:rPr>
        <w:t>,</w:t>
      </w:r>
      <w:r w:rsidR="00A90730">
        <w:rPr>
          <w:lang w:val="es-MX"/>
        </w:rPr>
        <w:t>918</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3CB0D01B" w:rsidR="00D71A33" w:rsidRDefault="0032384C" w:rsidP="005F52B3">
      <w:pPr>
        <w:pStyle w:val="ROMANOS"/>
        <w:tabs>
          <w:tab w:val="clear" w:pos="720"/>
          <w:tab w:val="left" w:pos="284"/>
        </w:tabs>
        <w:spacing w:after="0" w:line="276" w:lineRule="auto"/>
        <w:ind w:left="284" w:firstLine="0"/>
        <w:rPr>
          <w:lang w:val="es-MX"/>
        </w:rPr>
      </w:pPr>
      <w:r>
        <w:rPr>
          <w:lang w:val="es-MX"/>
        </w:rPr>
        <w:lastRenderedPageBreak/>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A90730">
        <w:rPr>
          <w:lang w:val="es-MX"/>
        </w:rPr>
        <w:t>marzo</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A90730">
        <w:rPr>
          <w:lang w:val="es-MX"/>
        </w:rPr>
        <w:t>657</w:t>
      </w:r>
      <w:r w:rsidR="00A16DA6">
        <w:rPr>
          <w:lang w:val="es-MX"/>
        </w:rPr>
        <w:t>,</w:t>
      </w:r>
      <w:r w:rsidR="00A90730">
        <w:rPr>
          <w:lang w:val="es-MX"/>
        </w:rPr>
        <w:t>623</w:t>
      </w:r>
      <w:r w:rsidR="00A16DA6">
        <w:rPr>
          <w:lang w:val="es-MX"/>
        </w:rPr>
        <w:t>,</w:t>
      </w:r>
      <w:r w:rsidR="00A90730">
        <w:rPr>
          <w:lang w:val="es-MX"/>
        </w:rPr>
        <w:t>635</w:t>
      </w:r>
      <w:r w:rsidRPr="00DA18AC">
        <w:rPr>
          <w:lang w:val="es-MX"/>
        </w:rPr>
        <w:t>.</w:t>
      </w:r>
    </w:p>
    <w:p w14:paraId="0F635CBD" w14:textId="77777777" w:rsidR="005C02A4" w:rsidRDefault="00941945"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11.35pt;margin-top:12.7pt;width:553.45pt;height:587.15pt;z-index:251699200;mso-position-horizontal-relative:text;mso-position-vertical-relative:text;mso-width-relative:page;mso-height-relative:page">
            <v:imagedata r:id="rId8" o:title=""/>
          </v:shape>
          <o:OLEObject Type="Embed" ProgID="Excel.Sheet.12" ShapeID="_x0000_s1081" DrawAspect="Content" ObjectID="_1743933137"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lastRenderedPageBreak/>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941945" w:rsidP="006942ED">
      <w:pPr>
        <w:rPr>
          <w:lang w:eastAsia="es-ES"/>
        </w:rPr>
      </w:pPr>
      <w:r>
        <w:rPr>
          <w:noProof/>
          <w:szCs w:val="18"/>
          <w:lang w:val="es-ES" w:eastAsia="es-MX"/>
        </w:rPr>
        <w:object w:dxaOrig="1440" w:dyaOrig="1440" w14:anchorId="7CF3A5A1">
          <v:shape id="_x0000_s1046" type="#_x0000_t75" style="position:absolute;margin-left:-26.6pt;margin-top:24.9pt;width:532.9pt;height:473.35pt;z-index:251663360">
            <v:imagedata r:id="rId10" o:title=""/>
            <w10:wrap type="topAndBottom"/>
          </v:shape>
          <o:OLEObject Type="Embed" ProgID="Excel.Sheet.12" ShapeID="_x0000_s1046" DrawAspect="Content" ObjectID="_1743933138"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941945"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12" o:title=""/>
            <w10:wrap type="topAndBottom"/>
          </v:shape>
          <o:OLEObject Type="Embed" ProgID="Excel.Sheet.12" ShapeID="_x0000_s1047" DrawAspect="Content" ObjectID="_1743933139"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178ADF6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2615F9">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62A65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2022, las finanzas públicas presentaron resultados positivos. Destacó el desempeño de la deuda pública, medida por el SHRFSP, la cual alcanzó un nivel de 49.5% del PIB, menor al estimado en el Paquete Económico 2022 de 51.0% y al nivel observado en 2021 de 50.8%. El dato observado en 2022 implicó un incremento de 9.4% real respecto a lo registrado en 2018; no obstante, esta cifra es menor al crecimiento promedio observado en las tres administraciones anteriores de 27.0% para el mismo horizonte de tiempo. </w:t>
      </w:r>
    </w:p>
    <w:p w14:paraId="299B1C7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déficit público alcanzó el 3.4% del PIB, lo que implicó una desviación de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 lo aprobado debido a las presiones en el costo financiero ligadas al endurecimiento de la política monetaria, así como al aumento de las necesidades de inversión, el cual estuvo acompañado de un incremento en el costo de las materias primas y materiales de construcción. En cuanto a los RFSP, en 2022 alcanzaron un nivel de 4.4% del PIB, como resultado del mayor balance público, y del componente inflacionario de los bonos indexados, el cual contribuyó con 0.7% del PIB. Al interior, los ingresos petroleros del Sector Público tuvieron un excedente respecto a lo previsto en el programa para 2022 de 269.2 mil millones de pesos y alcanzaron un nivel de 5.2% del PIB, el más alto desde 2014 cuando ascendieron a 7.0% del PIB, año en que el precio promedio del petróleo se ubicó en 89.5 dpb y la plataforma de producción alcanzó los 2,429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2022, el incremento en el precio del crudo se debió principalmente a los efectos de la guerra en Ucrania y las sanciones impuestas a Rusia, factores que favorecieron a que la mezcla mexicana de exportación (MME) alcanzara los 88.8 dpb, en comparación con los 55.1 dpb previstos en el presupuesto para 2022. Asimismo, se observó una plataforma de producción de 1,849 </w:t>
      </w:r>
      <w:proofErr w:type="spellStart"/>
      <w:r w:rsidRPr="002615F9">
        <w:rPr>
          <w:rFonts w:ascii="Arial" w:hAnsi="Arial" w:cs="Arial"/>
          <w:sz w:val="18"/>
          <w:szCs w:val="18"/>
        </w:rPr>
        <w:t>mbd</w:t>
      </w:r>
      <w:proofErr w:type="spellEnd"/>
      <w:r w:rsidRPr="002615F9">
        <w:rPr>
          <w:rFonts w:ascii="Arial" w:hAnsi="Arial" w:cs="Arial"/>
          <w:sz w:val="18"/>
          <w:szCs w:val="18"/>
        </w:rPr>
        <w:t xml:space="preserve"> (incluyendo condensados, Pemex, socios y privados), resultado superior al nivel presupuestado de 1,826 </w:t>
      </w:r>
      <w:proofErr w:type="spellStart"/>
      <w:r w:rsidRPr="002615F9">
        <w:rPr>
          <w:rFonts w:ascii="Arial" w:hAnsi="Arial" w:cs="Arial"/>
          <w:sz w:val="18"/>
          <w:szCs w:val="18"/>
        </w:rPr>
        <w:t>mbd</w:t>
      </w:r>
      <w:proofErr w:type="spellEnd"/>
      <w:r w:rsidRPr="002615F9">
        <w:rPr>
          <w:rFonts w:ascii="Arial" w:hAnsi="Arial" w:cs="Arial"/>
          <w:sz w:val="18"/>
          <w:szCs w:val="18"/>
        </w:rPr>
        <w:t>.</w:t>
      </w:r>
    </w:p>
    <w:p w14:paraId="1822368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reducciones al DUC que esta administración llevó a cabo desde 2019 situaron la tasa del DUC en 2022 en 40.0%, en lugar del 65.0% existente en 2018. Como resultado de ello, se ha logrado reducir la carga tributaria a Pemex, lo cual permitió que en 2022 la empresa recibiera un 56.8% del total de los ingresos petroleros, a diferencia de 2014 cuando Pemex sólo recibió el 36.1%. En este contexto, en 2022 los ingresos petroleros del Gobierno Federal se ubicaron en 2.2% del PIB, mientras que los ingresos propios de Pemex ascendieron a 3.0% del PIB. </w:t>
      </w:r>
    </w:p>
    <w:p w14:paraId="36761FF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desempeño de Pemex, la solidez de sus ingresos propios en el contexto de los altos precios del petróleo favoreció que su balance de operación registrara un superávit de 38.2 mil millones de pesos al cierre de 2022. Al mismo tiempo, su deuda bruta continuó disminuyendo, acumulando una caída equivalente al 2.0% del PIB desde el inicio de la administración. Esta tendencia favorable también obedece a los efectos de la reducción de la carga fiscal de la empresa por medio del DUC y de las aportaciones patrimoniales del Gobierno Federal, mismas que, en su conjunto, han permitido que Pemex haya aumentado su inversión física en un 45.0% real entre 2018 y 2022. </w:t>
      </w:r>
    </w:p>
    <w:p w14:paraId="7D2AC1A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 xml:space="preserve">La puesta en marcha de mejoras en materia de eficiencia tributaria y combate a la corrupción han contribuido a incrementar los ingresos tributarios en 0.4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entre 2018 y 2022 sin la necesidad de crear o aumentar impuestos. No obstante, en 2022 los mayores precios del crudo se tradujeron en incrementos en los precios internacionales de los combustibles, lo cual llevó al Gobierno de México a aplicar estímulos al precio de los combustibles complementarios al propio mecanismo legal del IEPS que prevalece desde noviembre de 2018, el cual continúa con el objetivo de aminorar el impacto de éstos sobre el nivel general de precios. Por lo anterior, los ingresos tributarios del Gobierno Federal se ubicaron 135.8 mil millones de pesos por debajo del programa. Esta caída se explicó, fundamentalmente, por los menores ingresos del IEPS federal de combustibles que al cierre de 2022 resultó en 396.6 millones de pesos de menor recaudación respecto al programa. </w:t>
      </w:r>
    </w:p>
    <w:p w14:paraId="5ADE090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No obstante, los ingresos tributarios excluyendo el IEPS de combustibles federal fueron superiores a lo previsto en la Ley de Ingresos de la Federación (LIF) 2022 en 260.9 mil millones de pesos y alcanzaron un nivel de 13.8% del PIB, el cual representó un máximo histórico. Además, cabe destacar que los ingresos tributarios sin IEPS de combustibles federal tuvieron un crecimiento real anual de 7.7%, superior al crecimiento real de la economía e incluso al crecimiento real programado en el Paquete Económico 2022. </w:t>
      </w:r>
    </w:p>
    <w:p w14:paraId="03CEBDF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interior de los ingresos tributarios, destacó la recaudación del ISR con un crecimiento real de 11.0% y un nivel alcanzado de 8.0% del PIB, monto sin precedentes, que reflejó los resultados positivos en las utilidades de las empresas en nuestro país, así como el efecto de mayores niveles de empleo formal y el incremento de los salarios reales. La recaudación del IVA, por su parte, alcanzó un nivel de 4.3% del PIB, superior al promedio de los últimos cinco años, apoyada también por el desempeño de la economía y el consumo, en particular. </w:t>
      </w:r>
    </w:p>
    <w:p w14:paraId="23A7BE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gasto público, la política promovida por el Gobierno de México durante 2022 continuó impulsando el desarrollo económico, al tiempo que fomentó el bienestar de la población a través de una asignación de recursos con el objetivo de reducir las desigualdades entre grupos de la población y regiones. Lo anterior, bajo los principios de austeridad, disciplina y transparencia plasmados en el Plan Nacional de Desarrollo 2019-2024. En 2022, se continuó invirtiendo en proyectos de infraestructura en la región sur-sureste del país, principalmente, lo que ha permitido integrar a regiones históricamente rezagadas, aumentar la capacidad productiva del país y fomentar el desarrollo económico en el mediano plazo. Asimismo, desde el segundo año de la administración se logró revertir la tendencia a la baja de la inversión física registrada desde 2014, de tal manera que, en términos reales, entre 2019 y 2022 la inversión física creció 41.2%, lo que se compara favorablemente con la reducción registrada entre 2014 y 2018 de 38.1% real. </w:t>
      </w:r>
    </w:p>
    <w:p w14:paraId="7A9BB79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Dentro de los recursos ejercidos en 2022, destacó la construcción del Tren Maya, con una inversión equivalente al 0.6% del PIB en el año; proyecto que conectará a las comunidades vecinas de la Península de Yucatán, lo cual estimulará el comercio, el turismo sustentable y el desarrollo de la región. Asimismo, se asignaron recursos para la construcción de la refinería Olmeca-Dos Bocas, que, junto con el fortalecimiento de la inversión en exploración y producción de petróleo crudo, forma parte de la estrategia para garantizar la soberanía energética de México. En este contexto, el gasto en inversión física alcanzó un nivel de 3.3% del PIB, el más alto desde 2016. Al mismo tiempo, el gasto en desarrollo económico alcanzó un nivel equivalente al 6.2% del PIB, superior al promedio de los últimos cinco años. </w:t>
      </w:r>
    </w:p>
    <w:p w14:paraId="33F717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del gasto ejercido en infraestructura, destaca el gasto en desarrollo social, que incluye erogaciones en salud, educación y otros rubros relacionados, se ubicó en 12.1% del PIB, cifra superior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al promedio de los últimos cinco años. Al interior, al cierre de 2022 el gasto en salud mostró un máximo histórico en términos reales desde que se tiene registro. Comparado con el cierre de 2018, este rubro registró un crecimiento real de 13.4% y fue mayor en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respecto al nivel que habría registrado si hubiera continuado con la tendencia observada en administraciones pasadas. Por último, la inversión física destinada al sector salud fue mayor en 39.0% en términos reales en comparación con lo registrado en 2018. </w:t>
      </w:r>
    </w:p>
    <w:p w14:paraId="6F6AC72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Asimismo, para impulsar la educación, el Gobierno Federal destinó 71.4 mil millones de pesos en becas para todos los niveles educativos durante 2022, monto superior en 6.8 veces respecto a lo destinado en 2018 en términos reales. Los resultados de gasto social también reflejan el avance de los programas prioritarios impulsados por esta administración. Por ejemplo, los recursos destinados para el programa de Pensión para el Bienestar de las Personas Adultas Mayores se incrementaron en 5.6 veces entre 2018 y 2022 en términos reales. Por su parte, el programa de Pensión para el Bienestar de las Personas con Discapacidad Permanente, creado en 2019, registró recursos por 18.9 mil millones de pesos al cierre de 2022. Además, el programa Sembrando Vida recibió 29.5 mil </w:t>
      </w:r>
      <w:r w:rsidRPr="002615F9">
        <w:rPr>
          <w:rFonts w:ascii="Arial" w:hAnsi="Arial" w:cs="Arial"/>
          <w:sz w:val="18"/>
          <w:szCs w:val="18"/>
        </w:rPr>
        <w:lastRenderedPageBreak/>
        <w:t xml:space="preserve">millones de pesos en 2022, monto superior en un 77.2% real anual respecto a lo observado en 2019 como parte de la estrategia de apoyo al campo. </w:t>
      </w:r>
    </w:p>
    <w:p w14:paraId="673D04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cooperación entre el Gobierno Federal, los estados y los municipios resulta esencial para avanzar de manera conjunta en los objetivos de política pública relacionados con el desarrollo económico y el bienestar de las personas. Con respecto al gasto federalizado, este alcanzó un monto equivalente al 7.8% del PIB al cierre de 2022. Al interior, y como porcentaje del PIB, las participaciones correspondieron a un 3.7%, mientras que las aportaciones federales (a través de los ramos 25 y 33) se ubicaron en 3.1% y los subsidios y convenios, en su conjunto, a un 1.0%.</w:t>
      </w:r>
    </w:p>
    <w:p w14:paraId="259B2D0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costo financiero del Sector Público se encuentra controlado y no representa un riesgo para la estabilidad de las finanzas públicas. Al cierre de 2022, este ascendió a 815.2 mil millones de pesos, monto superior a lo previsto en el programa en 23.8 mil millones de pesos, pero inferior en 89.7 mil millones de pesos respecto a la estimación presentada en los Criterios Generales de Política Económica para el ejercicio 2023. En el agregado, el mayor costo financiero fue compensado por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por 26.8 mil millones de pesos, con lo cual no fue necesario llevar a cabo recortes de gasto programable que perjudicaran la asignación de recursos con impacto directo en el bienestar de la población. </w:t>
      </w:r>
    </w:p>
    <w:p w14:paraId="078F29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Por último, conviene destacar que en 2022 el 80.6% de la deuda se emitió en pesos en el mercado local, cuyo perfil está denominado mayoritariamente a tasa fija (77.1%) y con un plazo de vencimiento promedio de 9.8 años. Esta condición seguirá contribuyendo a hacer frente a los choques económicos, lo cual ha sido reconocido por los principales organismos internacionales y agencias calificadoras. Para muestra, el pasado 12 de enero de 2023 se cerró el ciclo de calificaciones de 2022, tras el cual nuestro país mantuvo el grado de inversión y una perspectiva estable por parte de las ocho agencias que evalúan a nuestro país. En particular, estas agencias han destacado la fortaleza de los fundamentos macroeconómicos y el compromiso de la actual administración por mantener finanzas públicas sanas.</w:t>
      </w:r>
    </w:p>
    <w:p w14:paraId="2FB906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estimación de finanzas públicas para el presente ejercicio fiscal está basada en las proyecciones económicas presentadas por el Ejecutivo Federal, en el Documento Relativo al Cumplimiento de las Disposiciones Contenidas en el artículo 42, fracción I, de la Ley Federal de Presupuesto y Responsabilidad Hacendaria al considerar una tasa de crecimiento del PIB igual al valor medio del intervalo presentado en el marco macroeconómico. De esta manera, para el cierre de 2023 se anticipa un superávit del balance presupuestario de 0.2% del PIB, al excluir la inversión pública presupuestaria, en cumplimiento con lo previsto en la LIF 2023. Se prevé, además, un déficit primario de 0.1% del PIB y un nivel de los RFSP de 4.2% del PIB, cifra que mantendrá la deuda pública en 49.9% del PIB, con lo cual se garantiza una trayectoria estable y sostenible hacia el cierre de la administración. </w:t>
      </w:r>
    </w:p>
    <w:p w14:paraId="765EEE5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 la evolución de los ingresos presupuestarios, se espera que estos sean inferiores a los previstos en la LIF 2023 en 131 mil 537 millones de pesos. Esto se explica, fundamentalmente, por los menores ingresos petroleros en 162 mil 807 millones de pesos, asociados a menores precios del crudo y del gas natural que han venido a la baja ante las expectativas de una menor demanda global, así como a un tipo de cambio más apreciado que impacta negativamente el valor en pesos de venta. </w:t>
      </w:r>
    </w:p>
    <w:p w14:paraId="6A6C6BF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recaudación tributaria, se estima que al cierre de 2023 muestre un nivel inferior en 66 mil 928 millones de pesos con respecto a lo aprobado en la LIF 2023. Lo anterior se explica, entre otros factores, por una moderación en los resultados al cierre de 2022 y de las expectativas en ciertos rubros de ingresos. Esta situación se podría atenuar, en parte, con esfuerzos adicionales por parte del Sistema de Administración Tributaria para reducir la evasión fiscal. Finalmente, se esperan mayores ingresos propios de los organismos y empresas distintas de Pemex por 60 mil 710 millones de pesos y mayores ingresos no tributarios del Gobierno Federal en 37 mil 487 millones de pesos los cuales, de acuerdo con la LFPRH, se destinarán a ampliaciones de gasto para las mismas entidades y dependencias que los generaron. </w:t>
      </w:r>
    </w:p>
    <w:p w14:paraId="66B0B26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Ante la expectativa de menores ingresos presupuestarios y con el objetivo de seguir garantizando la sostenibilidad de las cuentas fiscales, se estima una disminución del gasto neto presupuestario de 131 mil 537 millones de pesos con respecto al monto aprobado. Al interior, se prevé una disminución en el gasto programable en 117 mil 249 millones de pesos, como resultado de las medidas de contención establecidas en la LFPRH, priorizando la continuidad de las erogaciones destinadas a los programas sociales, así como a las relacionadas con los proyectos de infraestructura que permitirán conectar a las zonas con mayores tasas de marginación y pobreza con el resto del país, logrando un país más equitativo y con una base productiva más extensa. Cabe destacar que, desde su </w:t>
      </w:r>
      <w:r w:rsidRPr="002615F9">
        <w:rPr>
          <w:rFonts w:ascii="Arial" w:hAnsi="Arial" w:cs="Arial"/>
          <w:sz w:val="18"/>
          <w:szCs w:val="18"/>
        </w:rPr>
        <w:lastRenderedPageBreak/>
        <w:t xml:space="preserve">diseño, el Presupuesto de Egresos de la Federación consideró un crecimiento significativo de la inversión pública en términos reales respecto a lo aprobado para 2022, mismo que se mantendrá según lo programado. </w:t>
      </w:r>
    </w:p>
    <w:p w14:paraId="35C75C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al costo financiero, se estima un incremento de 21 mil 227 millones de pesos con respecto a lo aprobado. Lo anterior es resultado de mayores tasas de interés, además de revisiones constantes al alza en las expectativas relativas al nivel terminal de las tasas y el tiempo en que permanecerán en tales niveles. Estas expectativas podrían moderarse en el contexto de múltiples episodios de volatilidad asociados a los problemas financieros en parte del sector bancario estadounidense. Con independencia de lo anterior, el costo financiero no representa una presión significativa para la estabilidad de las finanzas públicas o pone en riesgo la ejecución del gasto presupuestado. Se anticipa, además, un menor pago de participaciones a entidades federativas y municipios de 23 mil 515 millones de pesos y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de 12 mil millones de pesos.</w:t>
      </w:r>
    </w:p>
    <w:p w14:paraId="5F908CE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panorama económico global presenta retos importantes para 2023 que posiblemente se extiendan hacia 2024. Entre los más destacados se encuentran el entorno inflacionario global, principalmente en los precios de alimentos y servicios, que aún no muestran un ritmo acelerado para regresar a los niveles anteriores a la pandemia. Adicionalmente, el conflicto geopolítico derivado de la guerra en Ucrania y las tensiones entre EE.UU. y China ha dado un impulso adicional a las presiones inflacionarias y llevado a una reconfiguración del comercio global. </w:t>
      </w:r>
    </w:p>
    <w:p w14:paraId="167F2EA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la política monetaria restrictiva de la FED que inició en marzo de 2022 y de una alta base de comparación, la actividad económica de EE.UU. podría disminuir su ritmo de crecimiento. Para 2023 y 2024, se espera un aumento de 1.5 y 1.2% anual, respectivamente, inferior en 0.3 y en 0.8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el Paquete Económico 2023. Respecto a la producción industrial, se prevé un crecimiento positivo derivado de la normalización de las cadenas globales de valor, el fin de la política de confinamientos en China y la relocalización de empresas hacia EE.UU. No obstante, podría reducir su ritmo de crecimiento, respecto a años previos, por una menor demanda global de insumos y productos estadounidenses derivado de la persistencia inflacionaria a nivel internacional y el efecto restrictivo de las altas tasas de interés. Por ello, se anticipa que dicha variable alcance tasas anuales de 1.1% en 2023 y 1.0% en 2024, las cuales son inferiores en 1.1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los CGPE 2023.</w:t>
      </w:r>
    </w:p>
    <w:p w14:paraId="22DE1C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Para la economía mexicana, el factor inflacionario es relevante porque definirá la postura monetaria del Banco de México y la Reserva Federal de EE.UU., así como las condiciones financieras y parte de la dinámica económica que se tendrán en el curso de estos dos años. En cambio, el factor geopolítico presenta una oportunidad para que México utilice sus ventajas geográficas, demográficas y económicas para atraer e impulsar nuevas inversiones que detonen un crecimiento más acelerado y un desarrollo compartido para toda su población.</w:t>
      </w:r>
    </w:p>
    <w:p w14:paraId="1F22231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contexto, para 2023 se estima un crecimiento de 3.0% con un rango que va de 2.2 a 3.0% y para 2024 un crecimiento de 3.0% con un rango de 1.6 a 3.0%. Cabe resaltar que no se modifica la estimación puntual para 2023 debido a que los supuestos sobre la economía mundial se mantienen. Sin embargo, el cambio sí modifica el nivel mínimo del rango y la media del pronóstico de 2023 que pasan, respectivamente, de 1.2 a 2.2% y de 2.1 a 2.6%, como resultado del buen desempeño de la economía nacional que da un piso de crecimiento superior al estimado en los CGPE 2023. En particular, este desempeño se encuentra sustentado, principalmente, en las condiciones globales, pero en mayor medida en los factores internos que han mostrado un alto dinamismo desde el fin de la pandemia y han sido apoyados por las políticas públicas de esta administración. </w:t>
      </w:r>
    </w:p>
    <w:p w14:paraId="3F2EA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primer lugar, se prevé que la inversión pública con el portafolio de proyectos prioritarios de infraestructura emprendido al inicio de esta administración alcance este año un nivel de 3.6% del PIB, no visto en los últimos seis años. Asimismo, se espera que en 2024 y hacia adelante esta tendencia se mantenga. Lo anterior derivado de la construcción de los proyectos en el sur-sureste del país, así como la edificación de diez parques industriales en el Corredor de Istmo de Tehuantepec para atraer inversión privada en el contexto de la relocalización de empresas. En particular, para 2023 se tiene contempladas la inauguración del Tren Maya, el Aeropuerto Felipe Carrillo Puerto en Tulum, el Tren Interurbano México Toluca y el Corredor Interoceánico en el Istmo de Tehuantepec; además, se espera que en este mismo año la Refinería Dos Bocas comience a operar al 100% de su capacidad. Por otra parte, en 2024 se concluirá la obra de Agua Saludable para la Laguna en Durango y Coahuila, así como otras obras pendientes en carreteras y caminos y puentes.  </w:t>
      </w:r>
    </w:p>
    <w:p w14:paraId="6E2754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También la inversión privada será una fuente adicional de crecimiento, sobre todo con la disipación de presiones como la escasez de insumos industriales y los altos precios de materiales de construcción que afectaron a la construcción y el equipo de transporte, así como el hecho de que continuará la relocalización de empresas </w:t>
      </w:r>
      <w:r w:rsidRPr="002615F9">
        <w:rPr>
          <w:rFonts w:ascii="Arial" w:hAnsi="Arial" w:cs="Arial"/>
          <w:sz w:val="18"/>
          <w:szCs w:val="18"/>
        </w:rPr>
        <w:lastRenderedPageBreak/>
        <w:t xml:space="preserve">manufactureras hacia México. En su conjunto, la inversión pública y privada sentarán las bases para ampliar la capacidad productiva del país y aumentar el crecimiento de mediano plazo. </w:t>
      </w:r>
    </w:p>
    <w:p w14:paraId="046082F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respecto, mediante una colaboración con el Gobierno de México, destaca el parque solar de Puerto Peñasco, el cual será el séptimo más grande a nivel mundial y el primero en Latinoamérica. Se prevé que la primera fase iniciará actividades comerciales en mayo de 2023 y la segunda fase en junio de 2024. Dicho proyecto garantizará el abasto de energía eléctrica limpia en los próximos 30 años y beneficiará a 1.6 millones de consumidores a nivel nacional. Simultáneamente, en Sonora se desarrollarán parques tecnológicos con industrias de semiconductores y empresas relacionadas a la electro-movilidad, lo cual apoyará el incremento del capital humano, la tecnificación y la especialización de la mano de obra, así como mayores salarios.  </w:t>
      </w:r>
    </w:p>
    <w:p w14:paraId="320A8E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externo, se prevé que, pese a una posible desaceleración de la economía global, continué la demanda de productos de origen mexicano, a la par que se prolongue el ritmo positivo del turismo, las remesas y la inversión extranjera directa. En particular, el efecto de la relocalización de empresas abre la posibilidad de que, a pesar de una desaceleración en la demanda global y estadounidense por importaciones mexicanas, se registre un aumento relativo a China por un efecto de sustitución que se complementaría con nuevas líneas de productos mexicanos para ser exportados. </w:t>
      </w:r>
    </w:p>
    <w:p w14:paraId="140E19A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sentido, desde el año anterior, diversas empresas automotrices han acelerado la reconversión de sus plantas de producción hacia vehículos eléctricos, y compañías de autopartes relacionadas con la electro-movilidad han estado invirtiendo en México para fortalecer su cadena de valor. De acuerdo con información de la Industria Nacional de Autopartes, hacia finales de este año podría comenzar una fuerte producción nacional de baterías eléctricas, lo cual apoyaría la mayor fabricación de vehículos eléctricos. Otro elemento positivo para 2023 y 2024 será una menor inflación que permeará en toda la cadena productiva del país. Por una parte, continuará la disminución de la inflación de los materiales de la construcción como el alambrón y varilla, con lo cual disminuirán las presiones en el sector de la construcción que tiene un peso de 7.3% del PIB total. Adicionalmente, se prevé que la inflación de alimentos ceda en la medida que se normalicen las cadenas de valor, aumenten los insumos que se utilizan para los envases y contenedores, se incremente la producción nacional de alimentos y fertilizantes.  </w:t>
      </w:r>
    </w:p>
    <w:p w14:paraId="53EB9A3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programas públicos para el control de la inflación como el PACIC y el APECIC, así como la política de estabilización del precio de combustibles y tarifas eléctricas seguirán contribuyendo a paliar los efectos adversos en la economía global en el poder adquisitivo de la población, particularmente aquella de menores ingresos. Asimismo, esta administración seguirá buscando mecanismos de cooperación internacional y comerciales para contribuir al abatimiento de la inflación, esto en el marco de la Cumbre Antiinflacionaria y de Seguridad Alimentaria con varios países Latinoamericanos y del Caribe.  </w:t>
      </w:r>
    </w:p>
    <w:p w14:paraId="690E568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adición a lo anterior, el mercado laboral seguirá mostrando resultados favorables en términos de generación de empleo, participación laboral e ingresos como sucedió en 2021 y 2022. Estos resultados seguirán apoyados por las reformas en materia de contratación, derechos laborales, aumento salarial, pensiones y seguridad social. Ello aunado al despliegue de los diversos programas sociales que contribuirán a una sólida base para el consumo privado nacional y la reducción de la pobreza laboral. Al respecto, primero destacan los aumentos en el salario mínimo de 90% en términos reales desde diciembre de 2018, lo que benefició a más de seis millones de personas. Segundo, la eliminación de la subcontratación en 2021 con implicaciones positivas para 2.9 millones de personas, derivado del mayor acceso a las prestaciones en salud y vivienda que además aumentaron el ingreso disponible de las familias, junto con mayores remuneraciones como bonos y aguinaldos. Tercero, en mayo de 2023 será obligatoria la incorporación de los trabajadores del hogar a la seguridad social, con lo que se prevé que cerca de tres millones de personas se beneficien de esa medida.</w:t>
      </w:r>
    </w:p>
    <w:p w14:paraId="00CC669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Cuarto, en 2022 entró en vigor la ley que establece un incremento de seis a doce en los días de vacaciones para el primer año, con aumentos subsecuentes de dos días por año hasta llegar a los 20 días. Lo anterior será positivo para la salud y la productividad de los trabajadores, así como para el turismo nacional y el consumo privado. Quinto, el impulso sin precedentes en desarrollo social a través de programas como la Pensión para el Bienestar de las Personas Adultas Mayores, la Pensión para el Bienestar de las Personas con Discapacidad Permanente, Jóvenes Construyendo el Futuro, Sembrado Vida, entre otros, continuarán fortaleciendo el consumo durante este y el siguiente año.</w:t>
      </w:r>
    </w:p>
    <w:p w14:paraId="5656B26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2023, se espera que, después de los altos niveles de precios observados desde febrero del año anterior tras el inicio de la guerra entre Rusia y Ucrania, éstos se desaceleren convergiendo hacia el rango objetivo de Banco de </w:t>
      </w:r>
      <w:r w:rsidRPr="002615F9">
        <w:rPr>
          <w:rFonts w:ascii="Arial" w:hAnsi="Arial" w:cs="Arial"/>
          <w:sz w:val="18"/>
          <w:szCs w:val="18"/>
        </w:rPr>
        <w:lastRenderedPageBreak/>
        <w:t xml:space="preserve">México. Lo anterior, derivado de las políticas y paquetes de apoyo contra la inflación y la carestía que han sido complementadas por las acciones de política monetaria y fiscal, así como de las mejores condiciones en las cadenas globales de valor. Por ello, se estima que la inflación para el fin de periodo cerrará 2023 en 5.0%, lo cual representa un ajuste al alza respecto a la cifra presentada en el Paquete Económico 2023 de 3.2% anual. No obstante, en 2024, la inflación convergerá hacia el rango objetivo del banco central ya que se estima que disminuirán las presiones de oferta provenientes del exterior, y seguirá contribuyendo la política monetaria a contener las presiones de demanda y contribuir al anclaje de las expectativas de inflación de coto plazo. </w:t>
      </w:r>
    </w:p>
    <w:p w14:paraId="20C88C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lo anterior, la inflación cerrará en 4.0% anual, mayor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cifra presentada en el Paquete Económico 2023. Respecto a la tasa de interés, se espera que el Banco de México continúe con una política monetaria restrictiva con el fin de mantener ancladas las expectativas de inflación y alcanzar una trayectoria estable y descendente en la inflación hacia su objetivo. De esta manera, se anticipa que las tasas de CETES de 28 días se ubiquen al cierre de año en 11.3% y 8.5% para 2023 y 2024, respectivamente. Lo anterior es superior en 2.8 y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al Paquete Económico 2023.   </w:t>
      </w:r>
    </w:p>
    <w:p w14:paraId="74DB7B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al tipo de cambio, se prevé que el peso mexicano continúe mostrando fortaleza consistente con los fundamentales macroeconómicos del país, la estabilidad política, los niveles de deuda pública estables y una menor percepción de riesgo del país. Así, se espera un compartimento favorable del tipo de cambio promedio, incluso comparado con otras monedas de países emergentes, en 18.9 y 19.2 pesos por dólar en 2023 y en 2024, respectivamente. Lo anterior es inferior en 1.7 y 1.5 pesos al Paquete Económico 2023. No obstante, no se descartan episodios de volatilidad ante la incertidumbre en torno a la tasa terminal de la FED, la desaceleración económica global, un posible escalamiento de la guerra en Ucrania y un entorno de condiciones financieras restrictivas que pueda crear un ambiente de estrés para empresas y bancos que tomaron riesgos en un entorno de bajas tasas de interés. </w:t>
      </w:r>
    </w:p>
    <w:p w14:paraId="2B6F200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Se espera que los precios internacionales se mantengan presionados a la baja por una oferta mayor a la demanda global, así como por la acumulación de inventarios. No obstante, la presión estará limitada por la alta demanda de crudo por parte de las refinerías, las cuales tratarán de reemplazar la oferta rusa de petrolíferos, especialmente de diésel. Por ello, se prevé que en promedio la cotización de la mezcla mexicana se ubique en 66.6 dpb en 2023 y resulte en una disminución respecto a los 68.7 dpb de CGPE 2023. Para 2024, se estima una cotización de 56.3 dpb, la cual se encuentra en línea con la metodología establecida en el artículo 31 de la LFPRH y el 15 de su Reglamento.</w:t>
      </w:r>
    </w:p>
    <w:p w14:paraId="312A49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se estima que la plataforma de producción de petróleo promedie 1,877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2023, cifra ligeramente mayor a la plataforma aprobada en el Paquete Económico 2023 de 1,872 </w:t>
      </w:r>
      <w:proofErr w:type="spellStart"/>
      <w:r w:rsidRPr="002615F9">
        <w:rPr>
          <w:rFonts w:ascii="Arial" w:hAnsi="Arial" w:cs="Arial"/>
          <w:sz w:val="18"/>
          <w:szCs w:val="18"/>
        </w:rPr>
        <w:t>mbd</w:t>
      </w:r>
      <w:proofErr w:type="spellEnd"/>
      <w:r w:rsidRPr="002615F9">
        <w:rPr>
          <w:rFonts w:ascii="Arial" w:hAnsi="Arial" w:cs="Arial"/>
          <w:sz w:val="18"/>
          <w:szCs w:val="18"/>
        </w:rPr>
        <w:t xml:space="preserve">. Cabe destacar, como cada año, que en la elaboración de las proyecciones la plataforma contempla la producción agregada de Pemex, socios, condensados y las empresas privadas. Para 2024 se estima que la plataforma promedie 1,914 </w:t>
      </w:r>
      <w:proofErr w:type="spellStart"/>
      <w:r w:rsidRPr="002615F9">
        <w:rPr>
          <w:rFonts w:ascii="Arial" w:hAnsi="Arial" w:cs="Arial"/>
          <w:sz w:val="18"/>
          <w:szCs w:val="18"/>
        </w:rPr>
        <w:t>mbd</w:t>
      </w:r>
      <w:proofErr w:type="spellEnd"/>
      <w:r w:rsidRPr="002615F9">
        <w:rPr>
          <w:rFonts w:ascii="Arial" w:hAnsi="Arial" w:cs="Arial"/>
          <w:sz w:val="18"/>
          <w:szCs w:val="18"/>
        </w:rPr>
        <w:t>, ligeramente por arriba de lo previsto en los CGPE 2023. En ambos casos las cifras son conservadoras para garantizar los equilibrios fiscales sin presionar a las finanzas públicas y toman en cuenta el desempeño de la producción de Pemex, socios, condensados y los productores privados durante los primeros meses de 2023.</w:t>
      </w:r>
    </w:p>
    <w:p w14:paraId="778193F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2022 la actividad económica registró un crecimiento de 3.1% anual, superior a su promedio histórico de 2011 a 2019. Cabe destacar que, desde el cuarto trimestre de 2021, la actividad ha registrado crecimientos trimestrales consecutivos, derivado del buen ritmo de los sectores servicios e industrial, los cuales presentaron alzas trimestrales continuas por cinco y siete trimestres, respectivamente. Con estos resultados, el nivel del PIB en el cuarto trimestre de 2022 alcanzó un nuevo máximo histórico. En el mercado interno destacó el crecimiento del consumo privado de bienes y, en particular, el de los servicios que cerraron su brecha respecto a sus niveles prepandemia.</w:t>
      </w:r>
    </w:p>
    <w:p w14:paraId="31F7EC4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elementos principales que contribuyeron a dicho resultado fueron la solidez del mercado laboral, las alzas en la confianza del consumidor, el aumento del crédito al consumo, los ingresos por remesas y los efectos de los programas sociales impulsados por esta administración. Adicionalmente, la inversión fija bruta continuó con su tendencia al alza. En particular, la inversión en construcción cerró el año con un mejor desempeño al observado al inicio de 2022 por la desaceleración de los precios de materiales de construcción, así como las perspectivas de demanda futura por la relocalización de empresas y los grandes proyectos de obra pública con enfoque regional. </w:t>
      </w:r>
    </w:p>
    <w:p w14:paraId="21882A0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el sector externo se vio favorecido por la entrada de divisas proveniente de la Inversión Extranjera Directa (IED), así como de los niveles de las exportaciones manufactureras y petroleras, las cuales registraron </w:t>
      </w:r>
      <w:r w:rsidRPr="002615F9">
        <w:rPr>
          <w:rFonts w:ascii="Arial" w:hAnsi="Arial" w:cs="Arial"/>
          <w:sz w:val="18"/>
          <w:szCs w:val="18"/>
        </w:rPr>
        <w:lastRenderedPageBreak/>
        <w:t xml:space="preserve">niveles máximos históricos. Por otra parte, los flujos de remesas y los ingresos por turismo también registraron máximos históricos con los altos niveles de masa salarial de los migrantes mexicanos en EE.UU. y la llegada récord de visitantes internacionales. Todos estos factores continuaron impulsando a la economía nacional y los altos niveles de reservas internacionales. </w:t>
      </w:r>
    </w:p>
    <w:p w14:paraId="201A22D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Con información al primer bimestre del 2023, la actividad económica siguió en su senda de crecimiento. En particular, destacó el crecimiento del consumo en tiendas departamentales y de autoservicios, la venta de vehículos, la confianza del consumidor, los servicios relacionados al turismo, así como la moderación en la dinámica de la inflación y los costos de producción. Por ello, se anticipa que la demanda interna seguirá siendo el principal motor de la actividad económica en 2023. Asimismo, los niveles de la balanza comercial y los flujos de remesas en enero indicaron que el sector externo continuará con buen ritmo y apoyará al crecimiento económico del año.</w:t>
      </w:r>
    </w:p>
    <w:p w14:paraId="2082E26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términos sectoriales, las actividades primarias crecieron 2.8% anual en 2022 derivado de los incrementos de 3.6% en el sector agrícola y de 2.4% en la ganadería, lo cual más que compensó las caídas del aprovechamiento forestal (- 3.0%), pesca, caza y captura (- 3.9%) y servicios relacionados (- 11.1%). Las condiciones climatológicas explicaron el desempeño del sector en 2022: si bien a inicios se registraron mayores sequías respecto a las del año previo, en el segundo semestre dicha situación se normalizó y prevalecieron las mejores condiciones climatológicas.  </w:t>
      </w:r>
    </w:p>
    <w:p w14:paraId="7F8595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 las actividades secundarias, se registró un crecimiento de 3.3% anual en 2022 derivado de la contribución positiva de las manufacturas en 3.0 </w:t>
      </w:r>
      <w:proofErr w:type="spellStart"/>
      <w:r w:rsidRPr="002615F9">
        <w:rPr>
          <w:rFonts w:ascii="Arial" w:hAnsi="Arial" w:cs="Arial"/>
          <w:sz w:val="18"/>
          <w:szCs w:val="18"/>
        </w:rPr>
        <w:t>pp</w:t>
      </w:r>
      <w:proofErr w:type="spellEnd"/>
      <w:r w:rsidRPr="002615F9">
        <w:rPr>
          <w:rFonts w:ascii="Arial" w:hAnsi="Arial" w:cs="Arial"/>
          <w:sz w:val="18"/>
          <w:szCs w:val="18"/>
        </w:rPr>
        <w:t xml:space="preserve">, seguida de la energía eléctrica en 0.2 </w:t>
      </w:r>
      <w:proofErr w:type="spellStart"/>
      <w:r w:rsidRPr="002615F9">
        <w:rPr>
          <w:rFonts w:ascii="Arial" w:hAnsi="Arial" w:cs="Arial"/>
          <w:sz w:val="18"/>
          <w:szCs w:val="18"/>
        </w:rPr>
        <w:t>pp</w:t>
      </w:r>
      <w:proofErr w:type="spellEnd"/>
      <w:r w:rsidRPr="002615F9">
        <w:rPr>
          <w:rFonts w:ascii="Arial" w:hAnsi="Arial" w:cs="Arial"/>
          <w:sz w:val="18"/>
          <w:szCs w:val="18"/>
        </w:rPr>
        <w:t xml:space="preserve"> y de la construcción en 0.1 pp. En particular, destacaron las manufacturas de alimentos y bebidas; la fabricación de equipo de computación y otros aparatos electrónicos; la fabricación de equipo de transporte; la generación, transmisión y distribución de energía eléctrica; y la construcción de obra pública y los trabajos especializados en la construcción. </w:t>
      </w:r>
    </w:p>
    <w:p w14:paraId="5AC6AD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actividades terciarias en 2022 crecieron 2.8% anual, principalmente, por la fuerte recuperación de los subsectores más afectados por la pandemia: los servicios de esparcimiento (50.8%), alojamiento y restaurantes (26.3%) y los servicios de transportes (11.4%). No obstante, a finales de 2022 los servicios de alojamiento y restaurantes continuaron con niveles por debajo de los observados antes de la pandemia. Por otra parte, el comercio al por mayor y por menor registraron alzas de 6.9 y 4.1%, respectivamente, los cuales desaceleraron su ritmo de crecimiento hacia finales de 2022. En cuanto a los servicios financieros, éstos apuntalaron su crecimiento hacia finales de 2022 por el componente de seguros, con lo que se aproximaron a sus niveles pre-pandemia en un 99.8%. </w:t>
      </w:r>
    </w:p>
    <w:p w14:paraId="4F62252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 2023, durante enero, las actividades primarias tuvieron una disminución de 5.7% mensual, con cifras ajustadas por la estacionalidad, debido a la menor producción del sector agrícola por las mayores sequías en el país respecto a otros años. Al menos durante la primera mitad del 2023, y derivado de la presencia del fenómeno de La Niña, se estima que aumente la probabilidad de sequías en el país. De concretarse, el sector agrícola presentaría un menor dinamismo en el primer semestre de 2023 para posteriormente recuperar impulso hacia la segunda parte del año. Adicionalmente, un elemento que seguirá repercutiendo es la evolución de los precios al productor relacionados al sector, los cuales se prevén que continúen en desaceleración durante 2023. </w:t>
      </w:r>
    </w:p>
    <w:p w14:paraId="7681E11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cuanto a las actividades secundarias, en enero de 2023 no se registró variación mensual, con cifras ajustadas por estacionalidad, derivado de la caída de 1.0 mensual en la construcción por los retrocesos en las obras de ingeniería civil (- 8.6%) y los trabajos especializados (- 7.5%). No obstante, el resto de los subsectores crecieron, siendo las manufacturas las de mayor incremento mensual (0.7%) por las alzas de 13 de 21 subsectores, dentro de los que destacan los alimentos y bebidas (2.1%), equipo y aparatos eléctricos (1.3%), la industria química (1.0%), y la fabricación de muebles (11.1%).</w:t>
      </w:r>
    </w:p>
    <w:p w14:paraId="1975832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el sector que incluye la generación, transmisión y distribución de energía eléctrica, y el suministro de agua y gas creció 0.8% mensual por el componente eléctrico. Con respecto a la minería, ésta creció 0.2% mensual por el crecimiento de la extracción de petróleo y gas (1.3%) y de minerales metálicos y no metálicos (1.9%), así como por la caída en los servicios relacionados con la minería (- 2.2%). En lo que resta de 2023, se prevé que los siguientes elementos contribuyan al mayor dinamismo del sector de la construcción: la tendencia a la baja de los costos de materiales de construcción, los altos niveles de empleo formal, la confianza del consumidor acerca de posibilidades de compra o remodelación de vivienda, el crecimiento del crédito a la vivienda, los proyectos de obra </w:t>
      </w:r>
      <w:r w:rsidRPr="002615F9">
        <w:rPr>
          <w:rFonts w:ascii="Arial" w:hAnsi="Arial" w:cs="Arial"/>
          <w:sz w:val="18"/>
          <w:szCs w:val="18"/>
        </w:rPr>
        <w:lastRenderedPageBreak/>
        <w:t xml:space="preserve">pública y las construcciones en edificación para satisfacer la demanda de vivienda y de parques industriales por la relocalización de empresas, principalmente en el norte del país. </w:t>
      </w:r>
    </w:p>
    <w:p w14:paraId="4B1DD0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manufactura, se beneficiará de los menores costos de producción por parte de las empresas y el mayor abasto de insumos con la normalización de las cadenas globales de valor, así como la demanda nacional e internacional que continuará buscando satisfacerse en el mercado mexicano. Prueba de ello son los indicadores de sentimiento empresarial de las manufacturas en enero y febrero de 2023, los cuales mostraron que los empresarios anticipan que continuará el crecimiento del sector en buena parte del primer trimestre. </w:t>
      </w:r>
    </w:p>
    <w:p w14:paraId="1CA947B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de energía, se espera que continúe su ritmo positivo por las intenciones de inversión que ascienden a un monto de alrededor de 1,400 millones de dólares, que de concretarse permitirían un crecimiento de 30% anual en la IED del sector. Adicionalmente, otro elemento positivo será el inicio de las operaciones comerciales de la planta fotovoltaica de Puerto Peñasco en Sonora en mayo de 2023 que suministrará energía eléctrica limpia. Para el caso de la minería, ésta prolongará su ritmo de crecimiento ya que la reactivación económica en China y la India para el 2023 podría traducirse en una mayor demanda de minerales metálicos y no metálicos con beneficios para los sectores mineros en países productores como México. </w:t>
      </w:r>
    </w:p>
    <w:p w14:paraId="6EE9A6F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Finalmente, las actividades terciarias aumentaron en 1.2% mensual en enero de 2023, con cifras ajustadas por estacionalidad, como consecuencia de los incrementos en seis de nueve subsectores. En particular, destacó el crecimiento de los servicios de transporte (4.5%), el comercio al por menor (2.4%) y los servicios de alojamiento (3.3%), los cuales crecieron por arriba de sus promedios históricos para dicho mes. Para lo que resta del año, el desempeño esperado estará apoyado principalmente de un mayor tráfico en las tiendas físicas dentro de los centros comerciales, un sólido mercado laboral, los altos niveles de confianza del consumidor y la desaceleración de la inflación y los costos de insumos.</w:t>
      </w:r>
    </w:p>
    <w:p w14:paraId="3B04DB2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 inicios de 2023, los indicadores relacionados al consumo privado prolongaron su desempeño positivo. En enero, con cifras ajustadas por estacionalidad, las ventas totales de la Asociación Nacional de Tiendas de Autoservicio y Departamentales (ANTAD) registraron un alza de 0.4% mensual, mientras que en febrero se observó un crecimiento de 0.1%, acumulando así tres meses continuos de crecimiento. Adicionalmente, en enero la confianza del consumidor aumentó 1.5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al mes previo y presentó un mejor desempeño respecto a su promedio histórico (- 0.7 </w:t>
      </w:r>
      <w:proofErr w:type="spellStart"/>
      <w:r w:rsidRPr="002615F9">
        <w:rPr>
          <w:rFonts w:ascii="Arial" w:hAnsi="Arial" w:cs="Arial"/>
          <w:sz w:val="18"/>
          <w:szCs w:val="18"/>
        </w:rPr>
        <w:t>pp</w:t>
      </w:r>
      <w:proofErr w:type="spellEnd"/>
      <w:r w:rsidRPr="002615F9">
        <w:rPr>
          <w:rFonts w:ascii="Arial" w:hAnsi="Arial" w:cs="Arial"/>
          <w:sz w:val="18"/>
          <w:szCs w:val="18"/>
        </w:rPr>
        <w:t xml:space="preserve">). Mientras que, en febrero, la confianza aumentó en 0.5 </w:t>
      </w:r>
      <w:proofErr w:type="spellStart"/>
      <w:r w:rsidRPr="002615F9">
        <w:rPr>
          <w:rFonts w:ascii="Arial" w:hAnsi="Arial" w:cs="Arial"/>
          <w:sz w:val="18"/>
          <w:szCs w:val="18"/>
        </w:rPr>
        <w:t>pp</w:t>
      </w:r>
      <w:proofErr w:type="spellEnd"/>
      <w:r w:rsidRPr="002615F9">
        <w:rPr>
          <w:rFonts w:ascii="Arial" w:hAnsi="Arial" w:cs="Arial"/>
          <w:sz w:val="18"/>
          <w:szCs w:val="18"/>
        </w:rPr>
        <w:t xml:space="preserve">, sumando seis meses de crecimientos continuos. Para lo que resta del año, se prevé que el consumo privado continúe impulsando a la demanda agregada y contribuyendo positivamente a la actividad económica. Lo anterior se explica por los sólidos fundamentales del consumo privado, dentro de los que destacan los crecimientos de la masa salarial en México, una menor inflación, mayores niveles de confianza del consumidor y un tipo de cambio más apreciado. Adicionalmente, derivado de la normalización de las cadenas de suministros, habrá una mayor disponibilidad de bienes como es el caso de automóviles. </w:t>
      </w:r>
    </w:p>
    <w:p w14:paraId="17B4AF4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inversión, en 2023 se espera que continúe el buen ritmo, principalmente explicado por un mejor desempeño en el componente de equipo de transporte en la medida que se incremente la disponibilidad de componentes para la fabricación de automóviles. Asimismo, los menores precios de los materiales de la construcción, el mayor abastecimiento de insumos, la relocalización de empresas que demandará vivienda y naves industriales, y la próxima finalización de algunas obras públicas, serán elementos positivos para que aumente la inversión en la construcción. En 2023, con información de la ENOE, al cierre de enero se crearon un total de 2.8 millones de empleos respecto al mismo mes de 2022 y se observó un incremento mensual de 409 mil personas. La mayor contribución del crecimiento mensual provino del sector formal, al aumentar en 236 mil mensuales, por lo que la tasa de informalidad laboral no registró cambios relevantes respecto al año previo (54.8%). </w:t>
      </w:r>
    </w:p>
    <w:p w14:paraId="711B0E8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sectores que presentaron mayor crecimiento mensual fueron el agropecuario (352 mil), el comercio (279 mil), el gobierno y organismos internacionales (222 mil), los servicios diversos (160 mil), y las manufacturas (45 mil).  Por su parte, la tasa de participación se ubicó en 60.3%, resultado superior al promedio de 2022 (59.7%). Otro indicador positivo fue la tasa de desempleo que se situó en 3.0% durante enero de 2023, el nivel más bajo para un mismo mes desde que se tiene registro. Adicionalmente, la tasa de subocupación se encontró en 7.7%, inferior en 0.6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tasa promedio de 2022. Finalmente, la población disponible disminuyó en 159 mil respecto al mes anterior, por lo que su nivel se encuentra por debajo de los niveles previos a la pandemia, cerca de medio millón.</w:t>
      </w:r>
    </w:p>
    <w:p w14:paraId="0FD7787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información del IMSS, el número de plazas de trabajo aumentó en 49 mil en enero y 74 mil en febrero, con cifras ajustadas por estacionalidad. Así, a febrero de 2023, el número de afiliados al IMSS creció en 122 mil, lo </w:t>
      </w:r>
      <w:r w:rsidRPr="002615F9">
        <w:rPr>
          <w:rFonts w:ascii="Arial" w:hAnsi="Arial" w:cs="Arial"/>
          <w:sz w:val="18"/>
          <w:szCs w:val="18"/>
        </w:rPr>
        <w:lastRenderedPageBreak/>
        <w:t>cual se encuentra por arriba de su promedio histórico en cerca de 20 mil plazas. Por sectores, destacaron los servicios de empresas y hogares (54 mil), comercio (35 mil) y la industria manufacturera (26 mil). Los salarios reales registraron una tendencia positiva en los primeros meses de 2023, lo cual podría prolongarse hacia adelante en la medida que continúe la desaceleración de la inflación. Por un lado, los salarios promedio reales del IMSS en 2023, subieron 3.1% anual en enero y 3.3% anual en febrero. Mientras tanto, los ingresos laborales del empleo total registrados en la ENOE mostraron un alza anual de 2.9% en enero. Adicionalmente, los salarios contractuales de jurisdicción federal registraron un incremento anual real de 2.9% en enero y 0.7% en febrero.</w:t>
      </w:r>
    </w:p>
    <w:p w14:paraId="234A050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Derivado de lo anterior, se observa que el mercado laboral prolongó su tendencia positiva a inicios de 2023, lo cual seguirá contribuyendo al buen ritmo de la demanda interna. Para lo que resta de 2023, derivado de la perspectiva positiva para la actividad económica (ver la sección III para mayor detalle), se prevé que la creación de empleos formales registrados en el IMSS oscile entre 600 y 700 mil. En particular, sectores como el de la construcción, manufacturas y servicios se verán favorecidos. Finalmente, se prevé que continúen las mejores condiciones laborales como consecuencia del aumento del salario mínimo de 20% en 2023, la implementación de políticas públicas para tener un mercado laboral más incluyente para cerrar las brechas salariales en materia de género, la mayor demanda laboral con la relocalización de empresas y las menores presiones inflacionarias. Asimismo, en mayo de 2023 entrará en vigor la ley que hace obligatoria la incorporación de personas trabajadoras del hogar al IMSS. Al respecto, se tienen identificadas más de dos millones de personas que podrían afiliarse en los siguientes dos años para cumplir con dicho requisito.</w:t>
      </w:r>
    </w:p>
    <w:p w14:paraId="6F6F0E2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los primeros meses del 2023, se observó un menor ritmo inflacionario en diversos genéricos y un patrón regular de alzas en otros genéricos por las revisiones anuales de algunos servicios y tarifas del gobierno, así como la estacionalidad de algunas frutas y verduras. En enero, la inflación general se ubicó en 0.7% mensual derivado del alza del componente subyacente en 0.7% mensual, principalmente, por bebidas como refrescos y algunas alcohólicas, así como del no subyacente de 0.6% mensual, principalmente, por algunos agropecuarios, las tarifas del gobierno y la electricidad. No obstante, disminuyó el ritmo de inflación en alimentos como la tortilla de maíz, el pan dulce y la leche, así como en servicios de telefonía móvil y restaurantes. En febrero, la inflación general se situó en 0.6% respecto al mes anterior, aunque mostró una menor inflación en el componente subyacente (0.6% mensual) por la tortilla de maíz, aceites vegetales y pollo rostizado, así como los servicios de loncherías, fondas y torterías; mientras que el componente no subyacente se situó en 0.4% mensual, principalmente, por una disminución en la inflación de algunas frutas y verduras, así como energéticos como el gas LP y la gasolina.</w:t>
      </w:r>
    </w:p>
    <w:p w14:paraId="3287486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información más reciente muestra que en los primeros dos meses de 2023, el comercio exterior mostró signos de mejoría respecto a los últimos meses de 2022, en línea con el ligero repunte de la producción manufacturera en EE.UU. Así, con datos ajustados por estacionalidad, el valor de las exportaciones manufactureras se incrementó 1.4% en el primer bimestre de 2023 respecto al último bimestre del año previo; en su interior, el valor de las exportaciones automotrices creció 1.5%, mientras que el de las no automotrices aumentó 1.4% bimestral. Por su parte, las exportaciones petroleras crecieron 0.8% respecto al bimestre anterior. En cuanto al valor de las importaciones totales, éste registró un alza de 3.8% bimestral, con cifras ajustadas por estacionalidad. En particular, las no petroleras crecieron 2.6% en el primer bimestre de 2023; por rubro, los bienes de consumo, los intermedios y de capital crecieron 16.7%, 0.3% y 5.6% con respecto al bimestre previo. Por su parte, las petroleras crecieron 15.2% bimestral derivado de los recientes aumentos en los precios del gas. Al considerar lo anterior, en lo que resta del año se espera que el comercio exterior mantenga un ritmo de crecimiento positivo. </w:t>
      </w:r>
    </w:p>
    <w:p w14:paraId="4EAEAF6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en enero de 2023, los ingresos por remesas registraron un crecimiento anual de 12.5% y, con cifras ajustadas por estacionalidad, un retroceso mensual de 1.5%. Derivado de lo anterior, se prevé que a lo largo del año se registre una moderación de las remesas, pero también que se ubiquen en niveles elevados en la medida que se mantenga la fortaleza del mercado laboral en EE.UU. Respecto al ingreso por viajeros internacionales, en enero de 2023, éste aumentó 0.9% mensual como consecuencia de la continua llegada de turistas. Se prevé que, durante 2023, estos flujos mantengan una tendencia creciente por los ahorros de las familias en el mundo y particularmente de EE.UU., derivados de dos años de contingencia sanitaria y estímulos fiscales, así como de la alta demanda por viajes. Así, se prevé que en 2023 el sector turístico mantenga la tendencia creciente que ha superado los niveles previos a la pandemia. </w:t>
      </w:r>
    </w:p>
    <w:p w14:paraId="78C3E8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todo lo anterior, se prevé que en 2023 la cuenta corriente presente un saldo deficitario moderado, financiado en su mayor parte por la esperada entrada de recursos del exterior en la cuenta financiera. Esto último es derivado de que se tienen registrados anuncios de inversión que podrían materializarse en 2023 por un monto de alrededor de 9 mil 130 millones de dólares, impulsados principalmente por las ventajas competitivas de México y la </w:t>
      </w:r>
      <w:r w:rsidRPr="002615F9">
        <w:rPr>
          <w:rFonts w:ascii="Arial" w:hAnsi="Arial" w:cs="Arial"/>
          <w:sz w:val="18"/>
          <w:szCs w:val="18"/>
        </w:rPr>
        <w:lastRenderedPageBreak/>
        <w:t>relocalización de empresas. Tan sólo Tesla, una empresa de automóviles eléctricos, invertirá entre 5 y 10 mil millones de dólares en nuestro país.</w:t>
      </w:r>
    </w:p>
    <w:p w14:paraId="64B1A6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07B35D6A"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trimestre julio-septiembre de 2022, a tasa trimestral y con cifras ajustadas estacionalmente, las entidades federativas que mostraron los aumentos más pronunciados en su actividad económica fueron: Baja California Sur, Oaxaca, Sinaloa, Nayarit y Tlaxcala. En el tercer trimestre de 2022, a tasa anual y con cifras desestacionalizadas, reportaron los avances más significativos en su actividad económica: Hidalgo, Jalisco, Baja California Sur, Chiapas, Tabasco y Puebla.</w:t>
      </w:r>
    </w:p>
    <w:p w14:paraId="0CC53A4F" w14:textId="055AAC51" w:rsidR="008C1333" w:rsidRDefault="008C1333"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mc:AlternateContent>
          <mc:Choice Requires="wps">
            <w:drawing>
              <wp:anchor distT="0" distB="0" distL="114300" distR="114300" simplePos="0" relativeHeight="251705344" behindDoc="0" locked="0" layoutInCell="1" allowOverlap="1" wp14:anchorId="17294ACF" wp14:editId="08F07A76">
                <wp:simplePos x="0" y="0"/>
                <wp:positionH relativeFrom="margin">
                  <wp:posOffset>3073400</wp:posOffset>
                </wp:positionH>
                <wp:positionV relativeFrom="paragraph">
                  <wp:posOffset>3161030</wp:posOffset>
                </wp:positionV>
                <wp:extent cx="147955" cy="52705"/>
                <wp:effectExtent l="19050" t="38100" r="61595" b="61595"/>
                <wp:wrapNone/>
                <wp:docPr id="51" name="Flecha: a la derech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29F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1" o:spid="_x0000_s1026" type="#_x0000_t13" style="position:absolute;margin-left:242pt;margin-top:248.9pt;width:11.65pt;height: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3296" behindDoc="0" locked="0" layoutInCell="1" allowOverlap="1" wp14:anchorId="5081B5F5" wp14:editId="5DE75FBC">
                <wp:simplePos x="0" y="0"/>
                <wp:positionH relativeFrom="margin">
                  <wp:posOffset>4540250</wp:posOffset>
                </wp:positionH>
                <wp:positionV relativeFrom="paragraph">
                  <wp:posOffset>3249930</wp:posOffset>
                </wp:positionV>
                <wp:extent cx="147955" cy="52705"/>
                <wp:effectExtent l="19050" t="38100" r="61595" b="61595"/>
                <wp:wrapNone/>
                <wp:docPr id="50" name="Flecha: a la derech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46E089" id="Flecha: a la derecha 50" o:spid="_x0000_s1026" type="#_x0000_t13" style="position:absolute;margin-left:357.5pt;margin-top:255.9pt;width:11.65pt;height:4.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1248" behindDoc="0" locked="0" layoutInCell="1" allowOverlap="1" wp14:anchorId="0BA094DF" wp14:editId="13028F43">
                <wp:simplePos x="0" y="0"/>
                <wp:positionH relativeFrom="margin">
                  <wp:posOffset>69850</wp:posOffset>
                </wp:positionH>
                <wp:positionV relativeFrom="paragraph">
                  <wp:posOffset>3402330</wp:posOffset>
                </wp:positionV>
                <wp:extent cx="147955" cy="52705"/>
                <wp:effectExtent l="19050" t="38100" r="61595" b="61595"/>
                <wp:wrapNone/>
                <wp:docPr id="47" name="Flecha: a l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C83CD" id="Flecha: a la derecha 47" o:spid="_x0000_s1026" type="#_x0000_t13" style="position:absolute;margin-left:5.5pt;margin-top:267.9pt;width:11.65pt;height: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" adj="13194" fillcolor="red" strokecolor="red" strokeweight="3pt">
                <v:shadow on="t" color="#823b0b" opacity=".5" offset="1pt"/>
                <w10:wrap anchorx="margin"/>
              </v:shape>
            </w:pict>
          </mc:Fallback>
        </mc:AlternateContent>
      </w:r>
      <w:r w:rsidR="002615F9" w:rsidRPr="002615F9">
        <w:rPr>
          <w:rFonts w:ascii="Arial" w:hAnsi="Arial" w:cs="Arial"/>
          <w:noProof/>
          <w:sz w:val="18"/>
          <w:szCs w:val="18"/>
          <w:lang w:eastAsia="es-MX"/>
        </w:rPr>
        <w:drawing>
          <wp:inline distT="0" distB="0" distL="0" distR="0" wp14:anchorId="5BB1FBDF" wp14:editId="0255FC6E">
            <wp:extent cx="2635439" cy="4083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5815" t="12502" r="35440" b="8344"/>
                    <a:stretch>
                      <a:fillRect/>
                    </a:stretch>
                  </pic:blipFill>
                  <pic:spPr bwMode="auto">
                    <a:xfrm>
                      <a:off x="0" y="0"/>
                      <a:ext cx="2643580" cy="4095662"/>
                    </a:xfrm>
                    <a:prstGeom prst="rect">
                      <a:avLst/>
                    </a:prstGeom>
                    <a:noFill/>
                    <a:ln>
                      <a:noFill/>
                    </a:ln>
                  </pic:spPr>
                </pic:pic>
              </a:graphicData>
            </a:graphic>
          </wp:inline>
        </w:drawing>
      </w:r>
      <w:r w:rsidR="002615F9" w:rsidRPr="002615F9">
        <w:rPr>
          <w:rFonts w:ascii="Arial" w:hAnsi="Arial" w:cs="Arial"/>
          <w:noProof/>
          <w:sz w:val="18"/>
          <w:szCs w:val="18"/>
          <w:lang w:eastAsia="es-MX"/>
        </w:rPr>
        <w:drawing>
          <wp:inline distT="0" distB="0" distL="0" distR="0" wp14:anchorId="5E71187B" wp14:editId="100E4E1B">
            <wp:extent cx="2940050" cy="39314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9718" t="18117" r="29469" b="8284"/>
                    <a:stretch>
                      <a:fillRect/>
                    </a:stretch>
                  </pic:blipFill>
                  <pic:spPr bwMode="auto">
                    <a:xfrm>
                      <a:off x="0" y="0"/>
                      <a:ext cx="2954905" cy="3951355"/>
                    </a:xfrm>
                    <a:prstGeom prst="rect">
                      <a:avLst/>
                    </a:prstGeom>
                    <a:noFill/>
                    <a:ln>
                      <a:noFill/>
                    </a:ln>
                  </pic:spPr>
                </pic:pic>
              </a:graphicData>
            </a:graphic>
          </wp:inline>
        </w:drawing>
      </w:r>
    </w:p>
    <w:p w14:paraId="5BE61FF6" w14:textId="0C96B5B3"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14:paraId="0DD672C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tercer trimestre de 2022, el Indicador Trimestral de la Actividad Económica Estatal (ITAEE), muestra que el Estado de Tlaxcala ha tenido un crecimiento mixto, en relación al trimestre anterior y al mismo periodo de 2021; con una variación del 0.4%, destacándose la aportación del sector terciario con un 3.2% a tasa anualizada.</w:t>
      </w:r>
    </w:p>
    <w:p w14:paraId="16013C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 tasa anual y con series ajustadas por estacionalidad, los estados que reportaron los crecimientos más significativos en el tercer respecto al trimestre anterior fueron: Baja California Sur, Oaxaca, Sinaloa, Nayarit y Tlaxcala.</w:t>
      </w:r>
    </w:p>
    <w:p w14:paraId="3F11835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el tercer trimestre de 2022 y a tasa anual, la variación nacional del total de la economía 21 entidades reportaron variaciones positivas. Dos más no reportaron movimiento alguno y las nueve restantes retrocedieron. Jalisco, </w:t>
      </w:r>
      <w:r w:rsidRPr="002615F9">
        <w:rPr>
          <w:rFonts w:ascii="Arial" w:hAnsi="Arial" w:cs="Arial"/>
          <w:sz w:val="18"/>
          <w:szCs w:val="18"/>
        </w:rPr>
        <w:lastRenderedPageBreak/>
        <w:t>Chihuahua y Sinaloa fueron los estados con los ascensos más pronunciados. Jalisco y Chihuahua contribuyeron, en mayor medida, a la recuperación de la economía en el periodo de estudio.</w:t>
      </w:r>
    </w:p>
    <w:p w14:paraId="291962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el tercer trimestre de 2022, las Actividades Secundarias sin minería petrolera mostró incrementos en 19 entidades federativas y las trece restantes tuvieron una disminución en el periodo de estudio o se mantuvieron sin cambios. Los aumentos más importantes se dieron en Jalisco con 0.67%, así como en Puebla con 0.51% y Guanajuato con 0.37%. Los estados que más influyeron en la variación del nacional fueron: Jalisco y Puebla.</w:t>
      </w:r>
    </w:p>
    <w:p w14:paraId="11ADD6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16597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mes de febrero de 2023 la tasa de ocupación reflejó una participación del 0.51% al total nacional, presentando un incremento de 2,235, puestos de trabajo permanentes respecto a diciembre de 2022. Al mes de febrero de 2023, se tienen registrados 112,119 trabajadores asegurados en el IMSS, tal y como se muestra en los cuadros siguientes:</w:t>
      </w:r>
    </w:p>
    <w:p w14:paraId="01549BE8" w14:textId="77777777" w:rsidR="002615F9" w:rsidRPr="002615F9" w:rsidRDefault="002615F9" w:rsidP="002615F9">
      <w:pPr>
        <w:tabs>
          <w:tab w:val="left" w:pos="284"/>
        </w:tabs>
        <w:ind w:left="284"/>
        <w:jc w:val="both"/>
        <w:rPr>
          <w:rFonts w:ascii="Arial" w:hAnsi="Arial" w:cs="Arial"/>
          <w:sz w:val="18"/>
          <w:szCs w:val="18"/>
        </w:rPr>
      </w:pPr>
    </w:p>
    <w:p w14:paraId="25EDD6DE" w14:textId="7E210DFB" w:rsid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0362A0A8" wp14:editId="2D276AA6">
            <wp:extent cx="5943600" cy="548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5438" t="23486" r="26950" b="11850"/>
                    <a:stretch>
                      <a:fillRect/>
                    </a:stretch>
                  </pic:blipFill>
                  <pic:spPr bwMode="auto">
                    <a:xfrm>
                      <a:off x="0" y="0"/>
                      <a:ext cx="5943600" cy="5480050"/>
                    </a:xfrm>
                    <a:prstGeom prst="rect">
                      <a:avLst/>
                    </a:prstGeom>
                    <a:noFill/>
                    <a:ln>
                      <a:noFill/>
                    </a:ln>
                  </pic:spPr>
                </pic:pic>
              </a:graphicData>
            </a:graphic>
          </wp:inline>
        </w:drawing>
      </w:r>
    </w:p>
    <w:p w14:paraId="3349B81E" w14:textId="77777777" w:rsidR="008C1333" w:rsidRDefault="008C1333" w:rsidP="008C1333">
      <w:pPr>
        <w:tabs>
          <w:tab w:val="left" w:pos="284"/>
        </w:tabs>
        <w:ind w:left="284"/>
        <w:jc w:val="center"/>
        <w:rPr>
          <w:rFonts w:ascii="Arial" w:hAnsi="Arial" w:cs="Arial"/>
          <w:sz w:val="18"/>
          <w:szCs w:val="18"/>
        </w:rPr>
      </w:pPr>
    </w:p>
    <w:p w14:paraId="7A14F8CC" w14:textId="77777777" w:rsidR="008C1333" w:rsidRPr="002615F9" w:rsidRDefault="008C1333" w:rsidP="008C1333">
      <w:pPr>
        <w:tabs>
          <w:tab w:val="left" w:pos="284"/>
        </w:tabs>
        <w:ind w:left="284"/>
        <w:jc w:val="center"/>
        <w:rPr>
          <w:rFonts w:ascii="Arial" w:hAnsi="Arial" w:cs="Arial"/>
          <w:sz w:val="18"/>
          <w:szCs w:val="18"/>
        </w:rPr>
      </w:pPr>
    </w:p>
    <w:p w14:paraId="3058D659" w14:textId="5ACADA02"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79B9FF28" wp14:editId="2886E9FA">
            <wp:extent cx="5943600" cy="435483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4431" t="20815" r="25525" b="13867"/>
                    <a:stretch>
                      <a:fillRect/>
                    </a:stretch>
                  </pic:blipFill>
                  <pic:spPr bwMode="auto">
                    <a:xfrm>
                      <a:off x="0" y="0"/>
                      <a:ext cx="5943600" cy="4354830"/>
                    </a:xfrm>
                    <a:prstGeom prst="rect">
                      <a:avLst/>
                    </a:prstGeom>
                    <a:noFill/>
                    <a:ln>
                      <a:noFill/>
                    </a:ln>
                  </pic:spPr>
                </pic:pic>
              </a:graphicData>
            </a:graphic>
          </wp:inline>
        </w:drawing>
      </w:r>
    </w:p>
    <w:p w14:paraId="5B23CF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 acuerdo al Directorio Estadístico Nacional de Unidades Económicas, Tlaxcala cuenta con 82,520 Unidades Económicas al mes de marzo de 2023, en los rubros siguientes:</w:t>
      </w:r>
    </w:p>
    <w:p w14:paraId="07D04523" w14:textId="3148FE69" w:rsidR="002615F9" w:rsidRP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6F7E8F39" wp14:editId="5414279E">
            <wp:extent cx="2660650" cy="2981325"/>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442" cy="2984454"/>
                    </a:xfrm>
                    <a:prstGeom prst="rect">
                      <a:avLst/>
                    </a:prstGeom>
                    <a:noFill/>
                    <a:ln>
                      <a:noFill/>
                    </a:ln>
                  </pic:spPr>
                </pic:pic>
              </a:graphicData>
            </a:graphic>
          </wp:inline>
        </w:drawing>
      </w:r>
    </w:p>
    <w:p w14:paraId="5BF8FFAB" w14:textId="77777777" w:rsidR="002615F9" w:rsidRPr="002615F9" w:rsidRDefault="002615F9" w:rsidP="008C1333">
      <w:pPr>
        <w:ind w:left="2694"/>
        <w:rPr>
          <w:rFonts w:ascii="Arial" w:hAnsi="Arial" w:cs="Arial"/>
          <w:sz w:val="18"/>
          <w:szCs w:val="18"/>
        </w:rPr>
      </w:pPr>
      <w:r w:rsidRPr="008C1333">
        <w:rPr>
          <w:rFonts w:ascii="Arial" w:hAnsi="Arial" w:cs="Arial"/>
          <w:sz w:val="14"/>
          <w:szCs w:val="14"/>
        </w:rPr>
        <w:t>FUENTE: INEGI. DENUE. Marzo 2023.</w:t>
      </w:r>
    </w:p>
    <w:p w14:paraId="7A7526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 que representa una participación del 1.5% del Estado en el total nacional. Al cuarto trimestre de 2022 la Población Económicamente Activa (PEA) ascendió a 648,539 personas, representando el 61.1% de la población en edad de trabajar. Del total de la PEA, el 96.6% está ocupada y el 3.4% se encuentra desocupada.</w:t>
      </w:r>
    </w:p>
    <w:p w14:paraId="7EE8DA2C" w14:textId="08F2EA8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5497AE9" wp14:editId="5ED7AE97">
            <wp:extent cx="5943600" cy="3676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5018" t="20134" r="26070" b="14549"/>
                    <a:stretch>
                      <a:fillRect/>
                    </a:stretch>
                  </pic:blipFill>
                  <pic:spPr bwMode="auto">
                    <a:xfrm>
                      <a:off x="0" y="0"/>
                      <a:ext cx="5943600" cy="3676650"/>
                    </a:xfrm>
                    <a:prstGeom prst="rect">
                      <a:avLst/>
                    </a:prstGeom>
                    <a:noFill/>
                    <a:ln>
                      <a:noFill/>
                    </a:ln>
                  </pic:spPr>
                </pic:pic>
              </a:graphicData>
            </a:graphic>
          </wp:inline>
        </w:drawing>
      </w:r>
    </w:p>
    <w:p w14:paraId="4606D62D" w14:textId="7930FD56"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4EFD2A90" wp14:editId="60A6293F">
            <wp:extent cx="5943600" cy="4229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7429" t="21939" r="26651" b="14903"/>
                    <a:stretch>
                      <a:fillRect/>
                    </a:stretch>
                  </pic:blipFill>
                  <pic:spPr bwMode="auto">
                    <a:xfrm>
                      <a:off x="0" y="0"/>
                      <a:ext cx="5943600" cy="4229100"/>
                    </a:xfrm>
                    <a:prstGeom prst="rect">
                      <a:avLst/>
                    </a:prstGeom>
                    <a:noFill/>
                    <a:ln>
                      <a:noFill/>
                    </a:ln>
                  </pic:spPr>
                </pic:pic>
              </a:graphicData>
            </a:graphic>
          </wp:inline>
        </w:drawing>
      </w:r>
    </w:p>
    <w:p w14:paraId="0F5350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65CD38D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cuarto trimestre de 2022, la Inversión Extranjera Directa Acumulada del año 1999 al mes de diciembre de 2022 en el Estado de Tlaxcala fue de 3,947.5 millones de dólares, lo que representó un aporte del 0.58 % al total nacional, instalándose empresas de diversas nacionalidades, tal y como se observa en el cuadro comparativo siguiente:</w:t>
      </w:r>
    </w:p>
    <w:p w14:paraId="114B0BD8" w14:textId="59944165"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156C20F" wp14:editId="63AF5D1E">
            <wp:extent cx="5943600" cy="313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p>
    <w:p w14:paraId="5DC4673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2615F9">
        <w:rPr>
          <w:rFonts w:ascii="Arial" w:hAnsi="Arial" w:cs="Arial"/>
          <w:sz w:val="18"/>
          <w:szCs w:val="18"/>
        </w:rPr>
        <w:t>privada</w:t>
      </w:r>
      <w:proofErr w:type="gramEnd"/>
      <w:r w:rsidRPr="002615F9">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6D483FF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9E2C83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096CFF9"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2B69A426" w14:textId="77777777" w:rsidR="0087691B" w:rsidRDefault="0087691B" w:rsidP="0087691B">
      <w:pPr>
        <w:pStyle w:val="Texto"/>
        <w:tabs>
          <w:tab w:val="left" w:pos="284"/>
        </w:tabs>
        <w:spacing w:after="0" w:line="276" w:lineRule="auto"/>
        <w:ind w:left="284" w:firstLine="0"/>
        <w:rPr>
          <w:b/>
          <w:szCs w:val="18"/>
          <w:lang w:val="es-MX"/>
        </w:rPr>
      </w:pP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60B1EE56" w14:textId="77777777" w:rsidR="0087691B" w:rsidRDefault="0087691B" w:rsidP="0087691B">
      <w:pPr>
        <w:pStyle w:val="Texto"/>
        <w:tabs>
          <w:tab w:val="left" w:pos="284"/>
        </w:tabs>
        <w:spacing w:after="0" w:line="276" w:lineRule="auto"/>
        <w:ind w:left="284" w:firstLine="0"/>
        <w:rPr>
          <w:b/>
          <w:szCs w:val="18"/>
          <w:lang w:val="es-MX"/>
        </w:rPr>
      </w:pP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3AFD8EA" w14:textId="77777777" w:rsidR="0087691B" w:rsidRDefault="0087691B" w:rsidP="0087691B">
      <w:pPr>
        <w:pStyle w:val="Texto"/>
        <w:tabs>
          <w:tab w:val="left" w:pos="284"/>
        </w:tabs>
        <w:spacing w:after="0" w:line="276" w:lineRule="auto"/>
        <w:ind w:left="284" w:firstLine="0"/>
        <w:rPr>
          <w:b/>
          <w:szCs w:val="18"/>
          <w:lang w:val="es-MX"/>
        </w:rPr>
      </w:pP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53390777" w14:textId="77777777" w:rsidR="0087691B" w:rsidRDefault="0087691B" w:rsidP="0087691B">
      <w:pPr>
        <w:pStyle w:val="Texto"/>
        <w:tabs>
          <w:tab w:val="left" w:pos="284"/>
        </w:tabs>
        <w:spacing w:after="0" w:line="276" w:lineRule="auto"/>
        <w:ind w:left="284" w:firstLine="0"/>
        <w:rPr>
          <w:b/>
          <w:szCs w:val="18"/>
          <w:lang w:val="es-MX"/>
        </w:rPr>
      </w:pP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22"/>
      <w:headerReference w:type="default" r:id="rId23"/>
      <w:footerReference w:type="even" r:id="rId24"/>
      <w:footerReference w:type="default" r:id="rId2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C1039" w14:textId="77777777" w:rsidR="00987ABB" w:rsidRDefault="00987ABB" w:rsidP="00EA5418">
      <w:pPr>
        <w:spacing w:after="0" w:line="240" w:lineRule="auto"/>
      </w:pPr>
      <w:r>
        <w:separator/>
      </w:r>
    </w:p>
  </w:endnote>
  <w:endnote w:type="continuationSeparator" w:id="0">
    <w:p w14:paraId="6DDE1E4F" w14:textId="77777777" w:rsidR="00987ABB" w:rsidRDefault="00987AB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0CF053E7"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F3A79" w:rsidRPr="009F3A79">
          <w:rPr>
            <w:rFonts w:ascii="Arial" w:hAnsi="Arial" w:cs="Arial"/>
            <w:noProof/>
            <w:sz w:val="20"/>
            <w:lang w:val="es-ES"/>
          </w:rPr>
          <w:t>32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0791E69B"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F3A79" w:rsidRPr="009F3A79">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3D85A" w14:textId="77777777" w:rsidR="00987ABB" w:rsidRDefault="00987ABB" w:rsidP="00EA5418">
      <w:pPr>
        <w:spacing w:after="0" w:line="240" w:lineRule="auto"/>
      </w:pPr>
      <w:r>
        <w:separator/>
      </w:r>
    </w:p>
  </w:footnote>
  <w:footnote w:type="continuationSeparator" w:id="0">
    <w:p w14:paraId="4ACA2A28" w14:textId="77777777" w:rsidR="00987ABB" w:rsidRDefault="00987AB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80CD3"/>
    <w:rsid w:val="00280CDA"/>
    <w:rsid w:val="002833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72B"/>
    <w:rsid w:val="003A3013"/>
    <w:rsid w:val="003A4518"/>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443A"/>
    <w:rsid w:val="00675B86"/>
    <w:rsid w:val="00677384"/>
    <w:rsid w:val="006774BF"/>
    <w:rsid w:val="006822AA"/>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945"/>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ABB"/>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F239C"/>
    <w:rsid w:val="009F23C4"/>
    <w:rsid w:val="009F270C"/>
    <w:rsid w:val="009F3A79"/>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5B81"/>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7D"/>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59FCE-77DF-4395-B8A6-8C2558A4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13178</Words>
  <Characters>72483</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2023-04-25T19:06:00Z</dcterms:created>
  <dcterms:modified xsi:type="dcterms:W3CDTF">2023-04-25T19:06:00Z</dcterms:modified>
</cp:coreProperties>
</file>