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906" w14:textId="4209CE03" w:rsidR="00B844F0" w:rsidRDefault="00075F11" w:rsidP="000A2A48">
      <w:pPr>
        <w:jc w:val="center"/>
        <w:rPr>
          <w:rFonts w:ascii="Arial" w:hAnsi="Arial" w:cs="Arial"/>
          <w:sz w:val="18"/>
          <w:szCs w:val="18"/>
        </w:rPr>
      </w:pPr>
      <w:r w:rsidRPr="00B372A2">
        <w:rPr>
          <w:rFonts w:ascii="Arial" w:hAnsi="Arial" w:cs="Arial"/>
          <w:b/>
          <w:sz w:val="18"/>
          <w:szCs w:val="18"/>
        </w:rPr>
        <w:t>Introducción</w:t>
      </w:r>
    </w:p>
    <w:p w14:paraId="376261CF" w14:textId="77777777" w:rsidR="003D0D78" w:rsidRDefault="003D0D78" w:rsidP="003D0D78">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w:t>
      </w:r>
      <w:r>
        <w:rPr>
          <w:rFonts w:ascii="Arial" w:hAnsi="Arial" w:cs="Arial"/>
          <w:sz w:val="18"/>
          <w:szCs w:val="18"/>
        </w:rPr>
        <w:t xml:space="preserve"> “FOMTLAX”, contribuye al desarrollo económico del Estado con el otorgamiento de créditos para</w:t>
      </w:r>
      <w:r w:rsidRPr="002D3FE8">
        <w:rPr>
          <w:rFonts w:ascii="Arial" w:hAnsi="Arial" w:cs="Arial"/>
          <w:sz w:val="18"/>
          <w:szCs w:val="18"/>
        </w:rPr>
        <w:t xml:space="preserve"> las micro y pequeñas empresas </w:t>
      </w:r>
      <w:r>
        <w:rPr>
          <w:rFonts w:ascii="Arial" w:hAnsi="Arial" w:cs="Arial"/>
          <w:sz w:val="18"/>
          <w:szCs w:val="18"/>
        </w:rPr>
        <w:t xml:space="preserve">de los diversos sectores económicos,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544F1B70" w14:textId="77777777" w:rsidR="003D0D78" w:rsidRDefault="003D0D78" w:rsidP="003D0D78">
      <w:pPr>
        <w:jc w:val="both"/>
        <w:rPr>
          <w:rFonts w:ascii="Arial" w:hAnsi="Arial" w:cs="Arial"/>
          <w:sz w:val="18"/>
          <w:szCs w:val="18"/>
        </w:rPr>
      </w:pPr>
      <w:r>
        <w:rPr>
          <w:rFonts w:ascii="Arial" w:hAnsi="Arial" w:cs="Arial"/>
          <w:sz w:val="18"/>
          <w:szCs w:val="18"/>
        </w:rPr>
        <w:t xml:space="preserve">Del mes de enero al mes de marzo, se brindó orientación a 653 personas interesadas en obtener un crédito, recibiéndose 447 solicitudes, otorgándose 400 créditos, con una inversión de 13 MDP, </w:t>
      </w:r>
      <w:r w:rsidRPr="00E339ED">
        <w:rPr>
          <w:rFonts w:ascii="Arial" w:hAnsi="Arial" w:cs="Arial"/>
          <w:sz w:val="18"/>
          <w:szCs w:val="18"/>
        </w:rPr>
        <w:t xml:space="preserve">que beneficiaron </w:t>
      </w:r>
      <w:r>
        <w:rPr>
          <w:rFonts w:ascii="Arial" w:hAnsi="Arial" w:cs="Arial"/>
          <w:sz w:val="18"/>
          <w:szCs w:val="18"/>
        </w:rPr>
        <w:t xml:space="preserve">a 640 familias. Lo anterior aprobado en 12 sesiones ordinarias del Comité de Crédito Interno de este Organismo. </w:t>
      </w:r>
    </w:p>
    <w:p w14:paraId="79DC7E56" w14:textId="77777777" w:rsidR="003D0D78" w:rsidRDefault="003D0D78" w:rsidP="003D0D78">
      <w:pPr>
        <w:jc w:val="both"/>
        <w:rPr>
          <w:rFonts w:ascii="Arial" w:hAnsi="Arial" w:cs="Arial"/>
          <w:sz w:val="18"/>
          <w:szCs w:val="18"/>
        </w:rPr>
      </w:pPr>
      <w:r>
        <w:rPr>
          <w:rFonts w:ascii="Arial" w:hAnsi="Arial" w:cs="Arial"/>
          <w:sz w:val="18"/>
          <w:szCs w:val="18"/>
        </w:rPr>
        <w:t xml:space="preserve">Del total de créditos, 144 corresponden al Programa “Mujer </w:t>
      </w:r>
      <w:proofErr w:type="spellStart"/>
      <w:r>
        <w:rPr>
          <w:rFonts w:ascii="Arial" w:hAnsi="Arial" w:cs="Arial"/>
          <w:sz w:val="18"/>
          <w:szCs w:val="18"/>
        </w:rPr>
        <w:t>Fomtlax</w:t>
      </w:r>
      <w:proofErr w:type="spellEnd"/>
      <w:r>
        <w:rPr>
          <w:rFonts w:ascii="Arial" w:hAnsi="Arial" w:cs="Arial"/>
          <w:sz w:val="18"/>
          <w:szCs w:val="18"/>
        </w:rPr>
        <w:t>”, en beneficio de igual número de mujeres conformadas en 45 grupos solidarios, por un monto total de 1.6 MDP.</w:t>
      </w:r>
    </w:p>
    <w:p w14:paraId="1AE7A39A" w14:textId="77777777" w:rsidR="003D0D78" w:rsidRDefault="003D0D78" w:rsidP="003D0D78">
      <w:pPr>
        <w:jc w:val="both"/>
        <w:rPr>
          <w:rFonts w:ascii="Arial" w:hAnsi="Arial" w:cs="Arial"/>
          <w:sz w:val="18"/>
          <w:szCs w:val="18"/>
        </w:rPr>
      </w:pPr>
      <w:r>
        <w:rPr>
          <w:rFonts w:ascii="Arial" w:hAnsi="Arial" w:cs="Arial"/>
          <w:sz w:val="18"/>
          <w:szCs w:val="18"/>
        </w:rPr>
        <w:t xml:space="preserve">En el mes de enero se puso en operación el Programa </w:t>
      </w:r>
      <w:proofErr w:type="spellStart"/>
      <w:r>
        <w:rPr>
          <w:rFonts w:ascii="Arial" w:hAnsi="Arial" w:cs="Arial"/>
          <w:sz w:val="18"/>
          <w:szCs w:val="18"/>
        </w:rPr>
        <w:t>Microtandas</w:t>
      </w:r>
      <w:proofErr w:type="spellEnd"/>
      <w:r>
        <w:rPr>
          <w:rFonts w:ascii="Arial" w:hAnsi="Arial" w:cs="Arial"/>
          <w:sz w:val="18"/>
          <w:szCs w:val="18"/>
        </w:rPr>
        <w:t xml:space="preserve"> “FOMTLAX”, que tiene como objetivo el otorgamiento de microcréditos a pequeños negocios o actividades productivas de los sectores comercial, industrial y de servicios, con una tasa de interés anual del 6%, con un crédito inicial de 5 </w:t>
      </w:r>
      <w:proofErr w:type="gramStart"/>
      <w:r>
        <w:rPr>
          <w:rFonts w:ascii="Arial" w:hAnsi="Arial" w:cs="Arial"/>
          <w:sz w:val="18"/>
          <w:szCs w:val="18"/>
        </w:rPr>
        <w:t>mil ,</w:t>
      </w:r>
      <w:proofErr w:type="gramEnd"/>
      <w:r>
        <w:rPr>
          <w:rFonts w:ascii="Arial" w:hAnsi="Arial" w:cs="Arial"/>
          <w:sz w:val="18"/>
          <w:szCs w:val="18"/>
        </w:rPr>
        <w:t xml:space="preserve"> segundo ciclo 10 mil y tercer ciclo 15 mil pesos.</w:t>
      </w:r>
    </w:p>
    <w:p w14:paraId="437C1640" w14:textId="77777777" w:rsidR="003D0D78" w:rsidRDefault="003D0D78" w:rsidP="003D0D78">
      <w:pPr>
        <w:pStyle w:val="Prrafodelista"/>
        <w:suppressAutoHyphens/>
        <w:autoSpaceDE w:val="0"/>
        <w:autoSpaceDN w:val="0"/>
        <w:adjustRightInd w:val="0"/>
        <w:spacing w:after="0" w:line="240" w:lineRule="auto"/>
        <w:ind w:left="0"/>
        <w:jc w:val="both"/>
        <w:rPr>
          <w:rFonts w:ascii="Arial" w:hAnsi="Arial" w:cs="Arial"/>
          <w:sz w:val="18"/>
          <w:szCs w:val="18"/>
        </w:rPr>
      </w:pPr>
      <w:r w:rsidRPr="001E36AD">
        <w:rPr>
          <w:rFonts w:ascii="Arial" w:hAnsi="Arial" w:cs="Arial"/>
          <w:sz w:val="18"/>
          <w:szCs w:val="18"/>
        </w:rPr>
        <w:t xml:space="preserve">Se llevaron a cabo pláticas de promoción </w:t>
      </w:r>
      <w:r>
        <w:rPr>
          <w:rFonts w:ascii="Arial" w:hAnsi="Arial" w:cs="Arial"/>
          <w:sz w:val="18"/>
          <w:szCs w:val="18"/>
        </w:rPr>
        <w:t>de</w:t>
      </w:r>
      <w:r w:rsidRPr="001E36AD">
        <w:rPr>
          <w:rFonts w:ascii="Arial" w:hAnsi="Arial" w:cs="Arial"/>
          <w:sz w:val="18"/>
          <w:szCs w:val="18"/>
        </w:rPr>
        <w:t>l “Programa</w:t>
      </w:r>
      <w:r>
        <w:rPr>
          <w:rFonts w:ascii="Arial" w:hAnsi="Arial" w:cs="Arial"/>
          <w:sz w:val="18"/>
          <w:szCs w:val="18"/>
        </w:rPr>
        <w:t xml:space="preserve"> de Créditos para Unidades</w:t>
      </w:r>
      <w:r w:rsidRPr="001E36AD">
        <w:rPr>
          <w:rFonts w:ascii="Arial" w:hAnsi="Arial" w:cs="Arial"/>
          <w:sz w:val="18"/>
          <w:szCs w:val="18"/>
        </w:rPr>
        <w:t xml:space="preserve"> Productiv</w:t>
      </w:r>
      <w:r>
        <w:rPr>
          <w:rFonts w:ascii="Arial" w:hAnsi="Arial" w:cs="Arial"/>
          <w:sz w:val="18"/>
          <w:szCs w:val="18"/>
        </w:rPr>
        <w:t>a</w:t>
      </w:r>
      <w:r w:rsidRPr="001E36AD">
        <w:rPr>
          <w:rFonts w:ascii="Arial" w:hAnsi="Arial" w:cs="Arial"/>
          <w:sz w:val="18"/>
          <w:szCs w:val="18"/>
        </w:rPr>
        <w:t>s” en los municipios de:</w:t>
      </w:r>
      <w:r>
        <w:rPr>
          <w:rFonts w:ascii="Arial" w:hAnsi="Arial" w:cs="Arial"/>
          <w:sz w:val="18"/>
          <w:szCs w:val="18"/>
        </w:rPr>
        <w:t xml:space="preserve"> Nanacamilpa de Mariano Arista, Xaloztoc, San José Teacalco, Tepeyanco, Xaltocan, San Pablo del Monte, </w:t>
      </w:r>
      <w:proofErr w:type="spellStart"/>
      <w:r>
        <w:rPr>
          <w:rFonts w:ascii="Arial" w:hAnsi="Arial" w:cs="Arial"/>
          <w:sz w:val="18"/>
          <w:szCs w:val="18"/>
        </w:rPr>
        <w:t>Acuamanala</w:t>
      </w:r>
      <w:proofErr w:type="spellEnd"/>
      <w:r>
        <w:rPr>
          <w:rFonts w:ascii="Arial" w:hAnsi="Arial" w:cs="Arial"/>
          <w:sz w:val="18"/>
          <w:szCs w:val="18"/>
        </w:rPr>
        <w:t xml:space="preserve"> de Miguel Hidalgo,</w:t>
      </w:r>
      <w:r w:rsidRPr="001E36AD">
        <w:rPr>
          <w:rFonts w:ascii="Arial" w:hAnsi="Arial" w:cs="Arial"/>
          <w:sz w:val="18"/>
          <w:szCs w:val="18"/>
        </w:rPr>
        <w:t xml:space="preserve"> </w:t>
      </w:r>
      <w:r>
        <w:rPr>
          <w:rFonts w:ascii="Arial" w:hAnsi="Arial" w:cs="Arial"/>
          <w:sz w:val="18"/>
          <w:szCs w:val="18"/>
        </w:rPr>
        <w:t xml:space="preserve">Ixtenco, Sanctórum de Lázaro Cárdenas, San Francisco Tetlanohcan, Calpulalpan, Apetatitlán de Antonio Carvajal, Zacatelco, Ixtacuixtla de Mariano Matamoros, La Magdalena Tlaltelulco, Apizaco, Tepetitla de Lardizábal, Tlaxcala, Chiautempan y El Carmen Tequexquitla,  </w:t>
      </w:r>
      <w:r w:rsidRPr="001E36AD">
        <w:rPr>
          <w:rFonts w:ascii="Arial" w:hAnsi="Arial" w:cs="Arial"/>
          <w:sz w:val="18"/>
          <w:szCs w:val="18"/>
        </w:rPr>
        <w:t xml:space="preserve">brindando atención a </w:t>
      </w:r>
      <w:r>
        <w:rPr>
          <w:rFonts w:ascii="Arial" w:hAnsi="Arial" w:cs="Arial"/>
          <w:sz w:val="18"/>
          <w:szCs w:val="18"/>
        </w:rPr>
        <w:t>612</w:t>
      </w:r>
      <w:r w:rsidRPr="001E36AD">
        <w:rPr>
          <w:rFonts w:ascii="Arial" w:hAnsi="Arial" w:cs="Arial"/>
          <w:sz w:val="18"/>
          <w:szCs w:val="18"/>
        </w:rPr>
        <w:t xml:space="preserve"> personas.</w:t>
      </w:r>
    </w:p>
    <w:p w14:paraId="0A6E5DC9" w14:textId="77777777" w:rsidR="003D0D78" w:rsidRDefault="003D0D78" w:rsidP="003D0D78">
      <w:pPr>
        <w:pStyle w:val="Prrafodelista"/>
        <w:suppressAutoHyphens/>
        <w:autoSpaceDE w:val="0"/>
        <w:autoSpaceDN w:val="0"/>
        <w:adjustRightInd w:val="0"/>
        <w:spacing w:after="0" w:line="240" w:lineRule="auto"/>
        <w:ind w:left="0"/>
        <w:jc w:val="both"/>
        <w:rPr>
          <w:rFonts w:ascii="Arial" w:hAnsi="Arial" w:cs="Arial"/>
          <w:sz w:val="18"/>
          <w:szCs w:val="18"/>
        </w:rPr>
      </w:pPr>
    </w:p>
    <w:p w14:paraId="471094E7" w14:textId="77777777" w:rsidR="003D0D78" w:rsidRPr="001E36AD" w:rsidRDefault="003D0D78" w:rsidP="003D0D78">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Cabe mencionar la participación del “FOMTLAX” en las “Jornadas de Información y Servicios en el marco para atender la alerta de violencia de género contra las mujeres para el Estado de Tlaxcala”, convocado por la Secretaría de Gobierno y el IEM, así como las “Jornadas juventudes Cercanas” organizadas por el ITJ y en la “Feria de Servicios y Salud” de la Organización Fuerza Izquierda Progresista.</w:t>
      </w:r>
    </w:p>
    <w:p w14:paraId="622D3430" w14:textId="77777777" w:rsidR="003D0D78" w:rsidRDefault="003D0D78" w:rsidP="003D0D78">
      <w:pPr>
        <w:suppressAutoHyphens/>
        <w:autoSpaceDE w:val="0"/>
        <w:autoSpaceDN w:val="0"/>
        <w:adjustRightInd w:val="0"/>
        <w:spacing w:after="0" w:line="240" w:lineRule="auto"/>
        <w:jc w:val="both"/>
        <w:rPr>
          <w:rFonts w:ascii="Arial" w:hAnsi="Arial" w:cs="Arial"/>
          <w:sz w:val="18"/>
          <w:szCs w:val="18"/>
        </w:rPr>
      </w:pPr>
    </w:p>
    <w:p w14:paraId="7B380035" w14:textId="77777777" w:rsidR="003D0D78" w:rsidRPr="00DF1D97" w:rsidRDefault="003D0D78" w:rsidP="003D0D78">
      <w:pPr>
        <w:pStyle w:val="Prrafodelista"/>
        <w:suppressAutoHyphens/>
        <w:autoSpaceDE w:val="0"/>
        <w:autoSpaceDN w:val="0"/>
        <w:adjustRightInd w:val="0"/>
        <w:spacing w:after="0" w:line="240" w:lineRule="auto"/>
        <w:ind w:left="0"/>
        <w:jc w:val="both"/>
        <w:rPr>
          <w:rFonts w:ascii="Arial" w:hAnsi="Arial" w:cs="Arial"/>
          <w:sz w:val="18"/>
          <w:szCs w:val="18"/>
        </w:rPr>
      </w:pPr>
      <w:r w:rsidRPr="00DF1D97">
        <w:rPr>
          <w:rFonts w:ascii="Arial" w:hAnsi="Arial" w:cs="Arial"/>
          <w:sz w:val="18"/>
          <w:szCs w:val="18"/>
        </w:rPr>
        <w:t>Se llevó a cabo la cuarta sesión del Comité de Control Interno del Fondo Macro para el Desarrollo Integral de Tlaxcala “FOMTLAX”, con el objetivo de analizar el estado que guarda la normatividad del “FOMTLAX”, así como el seguimiento de las actividades programadas para el ejercicio fiscal 2022.</w:t>
      </w:r>
    </w:p>
    <w:p w14:paraId="2E6CEB3D" w14:textId="77777777" w:rsidR="003D0D78" w:rsidRDefault="003D0D78" w:rsidP="003D0D78">
      <w:pPr>
        <w:suppressAutoHyphens/>
        <w:autoSpaceDE w:val="0"/>
        <w:autoSpaceDN w:val="0"/>
        <w:adjustRightInd w:val="0"/>
        <w:spacing w:after="0" w:line="240" w:lineRule="auto"/>
        <w:jc w:val="both"/>
        <w:rPr>
          <w:rFonts w:ascii="Arial" w:hAnsi="Arial" w:cs="Arial"/>
          <w:sz w:val="18"/>
          <w:szCs w:val="18"/>
        </w:rPr>
      </w:pPr>
      <w:r w:rsidRPr="004968A5">
        <w:rPr>
          <w:rFonts w:ascii="Arial" w:hAnsi="Arial" w:cs="Arial"/>
          <w:sz w:val="18"/>
          <w:szCs w:val="18"/>
        </w:rPr>
        <w:t>.</w:t>
      </w:r>
    </w:p>
    <w:p w14:paraId="238951E9" w14:textId="77777777" w:rsidR="003D0D78" w:rsidRDefault="003D0D78" w:rsidP="003D0D78">
      <w:pPr>
        <w:suppressAutoHyphens/>
        <w:autoSpaceDE w:val="0"/>
        <w:autoSpaceDN w:val="0"/>
        <w:adjustRightInd w:val="0"/>
        <w:spacing w:after="0" w:line="240" w:lineRule="auto"/>
        <w:jc w:val="both"/>
        <w:rPr>
          <w:rFonts w:ascii="Arial" w:hAnsi="Arial" w:cs="Arial"/>
          <w:sz w:val="18"/>
          <w:szCs w:val="18"/>
        </w:rPr>
      </w:pPr>
      <w:r w:rsidRPr="007A641B">
        <w:rPr>
          <w:rFonts w:ascii="Arial" w:hAnsi="Arial" w:cs="Arial"/>
          <w:sz w:val="18"/>
          <w:szCs w:val="18"/>
        </w:rPr>
        <w:t xml:space="preserve">Personal del “FOMTLAX” recibió </w:t>
      </w:r>
      <w:r>
        <w:rPr>
          <w:rFonts w:ascii="Arial" w:hAnsi="Arial" w:cs="Arial"/>
          <w:sz w:val="18"/>
          <w:szCs w:val="18"/>
        </w:rPr>
        <w:t>capacitación sobre los siguientes temas:</w:t>
      </w:r>
    </w:p>
    <w:p w14:paraId="66182DCF" w14:textId="77777777" w:rsidR="003D0D78" w:rsidRDefault="003D0D78" w:rsidP="003D0D78">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“Sistema Integral de Gestión Único Estatal” (SIGUE),</w:t>
      </w:r>
      <w:r w:rsidRPr="00BF6501">
        <w:rPr>
          <w:rFonts w:ascii="Arial" w:hAnsi="Arial" w:cs="Arial"/>
          <w:color w:val="000000"/>
          <w:shd w:val="clear" w:color="auto" w:fill="FDFDFD"/>
        </w:rPr>
        <w:t xml:space="preserve"> </w:t>
      </w:r>
      <w:r w:rsidRPr="00034ECF">
        <w:rPr>
          <w:rFonts w:ascii="Arial" w:hAnsi="Arial" w:cs="Arial"/>
          <w:sz w:val="18"/>
          <w:szCs w:val="18"/>
        </w:rPr>
        <w:t>impartido por la SEP/USEP y del Despacho de la Gobernadora</w:t>
      </w:r>
      <w:r>
        <w:rPr>
          <w:rFonts w:ascii="Arial" w:hAnsi="Arial" w:cs="Arial"/>
          <w:sz w:val="18"/>
          <w:szCs w:val="18"/>
        </w:rPr>
        <w:t>.</w:t>
      </w:r>
    </w:p>
    <w:p w14:paraId="48A25A0E" w14:textId="77777777" w:rsidR="003D0D78" w:rsidRDefault="003D0D78" w:rsidP="003D0D78">
      <w:pPr>
        <w:suppressAutoHyphens/>
        <w:autoSpaceDE w:val="0"/>
        <w:autoSpaceDN w:val="0"/>
        <w:adjustRightInd w:val="0"/>
        <w:spacing w:after="0" w:line="240" w:lineRule="auto"/>
        <w:jc w:val="both"/>
        <w:rPr>
          <w:rFonts w:ascii="Arial" w:hAnsi="Arial" w:cs="Arial"/>
          <w:sz w:val="18"/>
          <w:szCs w:val="18"/>
        </w:rPr>
      </w:pPr>
      <w:r w:rsidRPr="007A641B">
        <w:rPr>
          <w:rFonts w:ascii="Arial" w:hAnsi="Arial" w:cs="Arial"/>
          <w:sz w:val="18"/>
          <w:szCs w:val="18"/>
        </w:rPr>
        <w:t>“Anticorrupción para los servidores públicos”, impartida por la Secretaría Ejecutiva del Sistema Anticorrupción del Estado de Tlaxcala.</w:t>
      </w:r>
    </w:p>
    <w:p w14:paraId="1765AE98" w14:textId="77777777" w:rsidR="003D0D78" w:rsidRDefault="003D0D78" w:rsidP="003D0D78">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“Protección de datos personales”, Clasificación y desclasificación del a información y elaboración de versiones de privacidad”</w:t>
      </w:r>
      <w:r w:rsidRPr="00BF6501">
        <w:rPr>
          <w:rFonts w:ascii="Arial" w:hAnsi="Arial" w:cs="Arial"/>
          <w:sz w:val="18"/>
          <w:szCs w:val="18"/>
        </w:rPr>
        <w:t xml:space="preserve"> </w:t>
      </w:r>
      <w:r>
        <w:rPr>
          <w:rFonts w:ascii="Arial" w:hAnsi="Arial" w:cs="Arial"/>
          <w:sz w:val="18"/>
          <w:szCs w:val="18"/>
        </w:rPr>
        <w:t>impartido por el Instituto de Acceso a la Información Pública y Protección de Datos Personales del Estado de Tlaxcala (</w:t>
      </w:r>
      <w:proofErr w:type="spellStart"/>
      <w:r>
        <w:rPr>
          <w:rFonts w:ascii="Arial" w:hAnsi="Arial" w:cs="Arial"/>
          <w:sz w:val="18"/>
          <w:szCs w:val="18"/>
        </w:rPr>
        <w:t>Iaip</w:t>
      </w:r>
      <w:proofErr w:type="spellEnd"/>
      <w:r>
        <w:rPr>
          <w:rFonts w:ascii="Arial" w:hAnsi="Arial" w:cs="Arial"/>
          <w:sz w:val="18"/>
          <w:szCs w:val="18"/>
        </w:rPr>
        <w:t>).</w:t>
      </w:r>
    </w:p>
    <w:p w14:paraId="32E7B916" w14:textId="77777777" w:rsidR="003D0D78" w:rsidRPr="007A641B" w:rsidRDefault="003D0D78" w:rsidP="003D0D78">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“Archivonomía Gubernamental, impartido por el Centro de Vinculación de Desarrollo Regional, Unidad Tlaxcala del IPN.</w:t>
      </w:r>
    </w:p>
    <w:p w14:paraId="7EB45FD9" w14:textId="77777777" w:rsidR="003D0D78" w:rsidRDefault="003D0D78" w:rsidP="003D0D78">
      <w:pPr>
        <w:shd w:val="clear" w:color="auto" w:fill="FFFFFF"/>
        <w:spacing w:after="90" w:line="240" w:lineRule="auto"/>
        <w:jc w:val="both"/>
        <w:rPr>
          <w:rFonts w:ascii="Arial" w:hAnsi="Arial" w:cs="Arial"/>
          <w:sz w:val="18"/>
          <w:szCs w:val="18"/>
        </w:rPr>
      </w:pPr>
    </w:p>
    <w:p w14:paraId="68CE0662" w14:textId="77777777" w:rsidR="003D0D78" w:rsidRDefault="003D0D78" w:rsidP="003D0D78">
      <w:pPr>
        <w:autoSpaceDE w:val="0"/>
        <w:autoSpaceDN w:val="0"/>
        <w:adjustRightInd w:val="0"/>
        <w:spacing w:after="0" w:line="240" w:lineRule="auto"/>
        <w:jc w:val="both"/>
        <w:rPr>
          <w:rFonts w:ascii="Arial" w:hAnsi="Arial" w:cs="Arial"/>
          <w:sz w:val="18"/>
          <w:szCs w:val="18"/>
        </w:rPr>
      </w:pPr>
      <w:r w:rsidRPr="00820592">
        <w:rPr>
          <w:rFonts w:ascii="Arial" w:hAnsi="Arial" w:cs="Arial"/>
          <w:sz w:val="18"/>
          <w:szCs w:val="18"/>
        </w:rPr>
        <w:t xml:space="preserve">Por lo que refiere a la recuperación de la cartera, se continuó con las diversas acciones de tratamientos de cartera a solicitud de acreditados, se llevaron a cabo </w:t>
      </w:r>
      <w:r>
        <w:rPr>
          <w:rFonts w:ascii="Arial" w:hAnsi="Arial" w:cs="Arial"/>
          <w:sz w:val="18"/>
          <w:szCs w:val="18"/>
        </w:rPr>
        <w:t>1,502</w:t>
      </w:r>
      <w:r w:rsidRPr="00820592">
        <w:rPr>
          <w:rFonts w:ascii="Arial" w:hAnsi="Arial" w:cs="Arial"/>
          <w:sz w:val="18"/>
          <w:szCs w:val="18"/>
        </w:rPr>
        <w:t xml:space="preserve"> visitas domiciliarias para entrega de requerimientos de pago, </w:t>
      </w:r>
      <w:r>
        <w:rPr>
          <w:rFonts w:ascii="Arial" w:hAnsi="Arial" w:cs="Arial"/>
          <w:sz w:val="18"/>
          <w:szCs w:val="18"/>
        </w:rPr>
        <w:t>se efectuaron 4</w:t>
      </w:r>
      <w:r w:rsidRPr="00820592">
        <w:rPr>
          <w:rFonts w:ascii="Arial" w:hAnsi="Arial" w:cs="Arial"/>
          <w:sz w:val="18"/>
          <w:szCs w:val="18"/>
        </w:rPr>
        <w:t>,</w:t>
      </w:r>
      <w:r>
        <w:rPr>
          <w:rFonts w:ascii="Arial" w:hAnsi="Arial" w:cs="Arial"/>
          <w:sz w:val="18"/>
          <w:szCs w:val="18"/>
        </w:rPr>
        <w:t>972</w:t>
      </w:r>
      <w:r w:rsidRPr="00820592">
        <w:rPr>
          <w:rFonts w:ascii="Arial" w:hAnsi="Arial" w:cs="Arial"/>
          <w:sz w:val="18"/>
          <w:szCs w:val="18"/>
        </w:rPr>
        <w:t xml:space="preserve"> llamadas telefónicas y se enviaron </w:t>
      </w:r>
      <w:r>
        <w:rPr>
          <w:rFonts w:ascii="Arial" w:hAnsi="Arial" w:cs="Arial"/>
          <w:sz w:val="18"/>
          <w:szCs w:val="18"/>
        </w:rPr>
        <w:t>3,992</w:t>
      </w:r>
      <w:r w:rsidRPr="00820592">
        <w:rPr>
          <w:rFonts w:ascii="Arial" w:hAnsi="Arial" w:cs="Arial"/>
          <w:sz w:val="18"/>
          <w:szCs w:val="18"/>
        </w:rPr>
        <w:t xml:space="preserve"> mensajes a celulares de recordatorio de pago. Del mes de enero al mes de marzo se logró un monto de recuperación </w:t>
      </w:r>
      <w:r>
        <w:rPr>
          <w:rFonts w:ascii="Arial" w:hAnsi="Arial" w:cs="Arial"/>
          <w:sz w:val="18"/>
          <w:szCs w:val="18"/>
        </w:rPr>
        <w:t>de</w:t>
      </w:r>
      <w:r w:rsidRPr="00820592">
        <w:rPr>
          <w:rFonts w:ascii="Arial" w:hAnsi="Arial" w:cs="Arial"/>
          <w:sz w:val="18"/>
          <w:szCs w:val="18"/>
        </w:rPr>
        <w:t xml:space="preserve"> 1</w:t>
      </w:r>
      <w:r>
        <w:rPr>
          <w:rFonts w:ascii="Arial" w:hAnsi="Arial" w:cs="Arial"/>
          <w:sz w:val="18"/>
          <w:szCs w:val="18"/>
        </w:rPr>
        <w:t>9</w:t>
      </w:r>
      <w:r w:rsidRPr="00820592">
        <w:rPr>
          <w:rFonts w:ascii="Arial" w:hAnsi="Arial" w:cs="Arial"/>
          <w:sz w:val="18"/>
          <w:szCs w:val="18"/>
        </w:rPr>
        <w:t>.</w:t>
      </w:r>
      <w:r>
        <w:rPr>
          <w:rFonts w:ascii="Arial" w:hAnsi="Arial" w:cs="Arial"/>
          <w:sz w:val="18"/>
          <w:szCs w:val="18"/>
        </w:rPr>
        <w:t>3</w:t>
      </w:r>
      <w:r w:rsidRPr="00820592">
        <w:rPr>
          <w:rFonts w:ascii="Arial" w:hAnsi="Arial" w:cs="Arial"/>
          <w:sz w:val="18"/>
          <w:szCs w:val="18"/>
        </w:rPr>
        <w:t xml:space="preserve"> MDP.</w:t>
      </w:r>
    </w:p>
    <w:p w14:paraId="52570E18" w14:textId="47A2617E" w:rsidR="00FF41A1" w:rsidRPr="003D0D78" w:rsidRDefault="00FF41A1" w:rsidP="00FF41A1">
      <w:pPr>
        <w:autoSpaceDE w:val="0"/>
        <w:autoSpaceDN w:val="0"/>
        <w:adjustRightInd w:val="0"/>
        <w:spacing w:after="0" w:line="240" w:lineRule="auto"/>
        <w:jc w:val="both"/>
        <w:rPr>
          <w:rFonts w:ascii="Arial" w:hAnsi="Arial" w:cs="Arial"/>
          <w:sz w:val="18"/>
          <w:szCs w:val="18"/>
        </w:rPr>
      </w:pPr>
    </w:p>
    <w:p w14:paraId="5B115403" w14:textId="0264B1D6"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w:t>
      </w:r>
      <w:r w:rsidRPr="00B372A2">
        <w:rPr>
          <w:rFonts w:ascii="Arial" w:hAnsi="Arial" w:cs="Arial"/>
          <w:sz w:val="18"/>
          <w:szCs w:val="18"/>
        </w:rPr>
        <w:lastRenderedPageBreak/>
        <w:t>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152ADE5" w14:textId="46B380FA" w:rsidR="005F103E" w:rsidRDefault="005F103E"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lastRenderedPageBreak/>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Pr="00A71207" w:rsidRDefault="00FF41A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0" w:name="_Hlk36026404"/>
      <w:bookmarkStart w:id="1" w:name="_Hlk36027996"/>
      <w:r w:rsidRPr="00A71207">
        <w:rPr>
          <w:rFonts w:ascii="Arial" w:eastAsia="Times New Roman" w:hAnsi="Arial" w:cs="Arial"/>
          <w:sz w:val="17"/>
          <w:szCs w:val="17"/>
        </w:rPr>
        <w:t>Estado Presupuestario de Ingresos desagregado por concepto</w:t>
      </w:r>
      <w:bookmarkStart w:id="2" w:name="_Hlk107994875"/>
      <w:r w:rsidR="00380130">
        <w:rPr>
          <w:rFonts w:ascii="Arial" w:eastAsia="Times New Roman" w:hAnsi="Arial" w:cs="Arial"/>
          <w:sz w:val="17"/>
          <w:szCs w:val="17"/>
        </w:rPr>
        <w:t>. (Trimestral y acumulado)</w:t>
      </w:r>
    </w:p>
    <w:bookmarkEnd w:id="0"/>
    <w:bookmarkEnd w:id="2"/>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1"/>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8B59" w14:textId="77777777" w:rsidR="000A65B1" w:rsidRDefault="000A65B1" w:rsidP="00EA5418">
      <w:pPr>
        <w:spacing w:after="0" w:line="240" w:lineRule="auto"/>
      </w:pPr>
      <w:r>
        <w:separator/>
      </w:r>
    </w:p>
  </w:endnote>
  <w:endnote w:type="continuationSeparator" w:id="0">
    <w:p w14:paraId="48E696FB" w14:textId="77777777" w:rsidR="000A65B1" w:rsidRDefault="000A65B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44E" w14:textId="5724075D" w:rsidR="0013011C"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3BD" w14:textId="211E9BEB" w:rsidR="008E3652"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6897" w14:textId="77777777" w:rsidR="000A65B1" w:rsidRDefault="000A65B1" w:rsidP="00EA5418">
      <w:pPr>
        <w:spacing w:after="0" w:line="240" w:lineRule="auto"/>
      </w:pPr>
      <w:r>
        <w:separator/>
      </w:r>
    </w:p>
  </w:footnote>
  <w:footnote w:type="continuationSeparator" w:id="0">
    <w:p w14:paraId="1A85427C" w14:textId="77777777" w:rsidR="000A65B1" w:rsidRDefault="000A65B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436" w14:textId="77777777" w:rsidR="0013011C" w:rsidRDefault="00000000">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6AACF344"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43968">
                      <w:rPr>
                        <w:rFonts w:ascii="Soberana Titular" w:hAnsi="Soberana Titular" w:cs="Arial"/>
                        <w:color w:val="808080" w:themeColor="background1" w:themeShade="80"/>
                        <w:sz w:val="42"/>
                        <w:szCs w:val="42"/>
                      </w:rPr>
                      <w:t>3</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78E" w14:textId="77777777" w:rsidR="008E3652"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37755"/>
    <w:multiLevelType w:val="hybridMultilevel"/>
    <w:tmpl w:val="365E03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CBC2749"/>
    <w:multiLevelType w:val="hybridMultilevel"/>
    <w:tmpl w:val="ADE840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4924FCC"/>
    <w:multiLevelType w:val="hybridMultilevel"/>
    <w:tmpl w:val="345E46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79193386">
    <w:abstractNumId w:val="1"/>
  </w:num>
  <w:num w:numId="2" w16cid:durableId="1590656596">
    <w:abstractNumId w:val="3"/>
  </w:num>
  <w:num w:numId="3" w16cid:durableId="884561451">
    <w:abstractNumId w:val="12"/>
  </w:num>
  <w:num w:numId="4" w16cid:durableId="1008675594">
    <w:abstractNumId w:val="7"/>
  </w:num>
  <w:num w:numId="5" w16cid:durableId="2091417277">
    <w:abstractNumId w:val="6"/>
  </w:num>
  <w:num w:numId="6" w16cid:durableId="2080667515">
    <w:abstractNumId w:val="17"/>
  </w:num>
  <w:num w:numId="7" w16cid:durableId="164440127">
    <w:abstractNumId w:val="26"/>
  </w:num>
  <w:num w:numId="8" w16cid:durableId="1598096655">
    <w:abstractNumId w:val="19"/>
  </w:num>
  <w:num w:numId="9" w16cid:durableId="203295090">
    <w:abstractNumId w:val="14"/>
  </w:num>
  <w:num w:numId="10" w16cid:durableId="759764931">
    <w:abstractNumId w:val="0"/>
  </w:num>
  <w:num w:numId="11" w16cid:durableId="1858077671">
    <w:abstractNumId w:val="9"/>
  </w:num>
  <w:num w:numId="12" w16cid:durableId="1238831989">
    <w:abstractNumId w:val="4"/>
  </w:num>
  <w:num w:numId="13" w16cid:durableId="1253710068">
    <w:abstractNumId w:val="15"/>
  </w:num>
  <w:num w:numId="14" w16cid:durableId="4481251">
    <w:abstractNumId w:val="18"/>
  </w:num>
  <w:num w:numId="15" w16cid:durableId="505708519">
    <w:abstractNumId w:val="21"/>
  </w:num>
  <w:num w:numId="16" w16cid:durableId="647902461">
    <w:abstractNumId w:val="16"/>
  </w:num>
  <w:num w:numId="17" w16cid:durableId="35551150">
    <w:abstractNumId w:val="25"/>
  </w:num>
  <w:num w:numId="18" w16cid:durableId="1142311819">
    <w:abstractNumId w:val="20"/>
  </w:num>
  <w:num w:numId="19" w16cid:durableId="1231189231">
    <w:abstractNumId w:val="11"/>
  </w:num>
  <w:num w:numId="20" w16cid:durableId="1810393480">
    <w:abstractNumId w:val="22"/>
  </w:num>
  <w:num w:numId="21" w16cid:durableId="340352203">
    <w:abstractNumId w:val="2"/>
  </w:num>
  <w:num w:numId="22" w16cid:durableId="42415472">
    <w:abstractNumId w:val="23"/>
  </w:num>
  <w:num w:numId="23" w16cid:durableId="912816434">
    <w:abstractNumId w:val="10"/>
  </w:num>
  <w:num w:numId="24" w16cid:durableId="2144148937">
    <w:abstractNumId w:val="5"/>
  </w:num>
  <w:num w:numId="25" w16cid:durableId="1123616206">
    <w:abstractNumId w:val="13"/>
  </w:num>
  <w:num w:numId="26" w16cid:durableId="361634891">
    <w:abstractNumId w:val="8"/>
  </w:num>
  <w:num w:numId="27" w16cid:durableId="19531278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5F11"/>
    <w:rsid w:val="00076A56"/>
    <w:rsid w:val="00081D79"/>
    <w:rsid w:val="000A2A48"/>
    <w:rsid w:val="000A65B1"/>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9674A"/>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87A2B"/>
    <w:rsid w:val="003A6522"/>
    <w:rsid w:val="003D0D78"/>
    <w:rsid w:val="003D5DBF"/>
    <w:rsid w:val="003E7FD0"/>
    <w:rsid w:val="003F05C2"/>
    <w:rsid w:val="004137E3"/>
    <w:rsid w:val="0044253C"/>
    <w:rsid w:val="00443075"/>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E2EB5"/>
    <w:rsid w:val="005F103E"/>
    <w:rsid w:val="005F7589"/>
    <w:rsid w:val="006048D2"/>
    <w:rsid w:val="00611E39"/>
    <w:rsid w:val="00623300"/>
    <w:rsid w:val="006458E9"/>
    <w:rsid w:val="006A4F83"/>
    <w:rsid w:val="006B729B"/>
    <w:rsid w:val="006D291A"/>
    <w:rsid w:val="006E6B8E"/>
    <w:rsid w:val="006E77DD"/>
    <w:rsid w:val="00731430"/>
    <w:rsid w:val="00742E35"/>
    <w:rsid w:val="00746D9B"/>
    <w:rsid w:val="0079582C"/>
    <w:rsid w:val="007D1E43"/>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65EFE"/>
    <w:rsid w:val="009E16FC"/>
    <w:rsid w:val="009E5258"/>
    <w:rsid w:val="009F62E7"/>
    <w:rsid w:val="00A14B74"/>
    <w:rsid w:val="00A516D8"/>
    <w:rsid w:val="00A71207"/>
    <w:rsid w:val="00A8165C"/>
    <w:rsid w:val="00AB13B7"/>
    <w:rsid w:val="00AC1FDF"/>
    <w:rsid w:val="00AC7243"/>
    <w:rsid w:val="00AD70F5"/>
    <w:rsid w:val="00AD791F"/>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3968"/>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DE728C"/>
    <w:rsid w:val="00E32708"/>
    <w:rsid w:val="00E45FD0"/>
    <w:rsid w:val="00E81959"/>
    <w:rsid w:val="00EA5418"/>
    <w:rsid w:val="00EB215E"/>
    <w:rsid w:val="00EC28F3"/>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1183</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56</cp:revision>
  <cp:lastPrinted>2021-10-06T19:07:00Z</cp:lastPrinted>
  <dcterms:created xsi:type="dcterms:W3CDTF">2014-09-01T14:30:00Z</dcterms:created>
  <dcterms:modified xsi:type="dcterms:W3CDTF">2023-04-04T21:54:00Z</dcterms:modified>
</cp:coreProperties>
</file>