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69BE" w:rsidRDefault="00E64128" w:rsidP="00386C8E">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78" type="#_x0000_t75" style="position:absolute;margin-left:-32.7pt;margin-top:9.45pt;width:539.55pt;height:650.8pt;z-index:251659264;mso-position-horizontal-relative:text;mso-position-vertical-relative:text">
            <v:imagedata r:id="rId8" o:title=""/>
          </v:shape>
          <o:OLEObject Type="Link" ProgID="Excel.Sheet.12" ShapeID="_x0000_s1078" DrawAspect="Content" r:id="rId9" UpdateMode="Always">
            <o:LinkType>EnhancedMetaFile</o:LinkType>
            <o:LockedField>false</o:LockedField>
            <o:FieldCodes>\f 0</o:FieldCodes>
          </o:OLEObject>
        </w:object>
      </w:r>
      <w:r w:rsidR="00386C8E">
        <w:br w:type="textWrapping" w:clear="all"/>
      </w:r>
    </w:p>
    <w:p w:rsidR="009425D6" w:rsidRDefault="009425D6" w:rsidP="009425D6">
      <w:pPr>
        <w:jc w:val="center"/>
      </w:pPr>
    </w:p>
    <w:p w:rsidR="009425D6" w:rsidRDefault="00E64128" w:rsidP="009425D6">
      <w:pPr>
        <w:jc w:val="center"/>
      </w:pPr>
      <w:r>
        <w:rPr>
          <w:noProof/>
        </w:rPr>
        <w:lastRenderedPageBreak/>
        <w:object w:dxaOrig="1440" w:dyaOrig="1440">
          <v:shape id="_x0000_s1087" type="#_x0000_t75" style="position:absolute;left:0;text-align:left;margin-left:-28.6pt;margin-top:33.75pt;width:534.8pt;height:638.4pt;z-index:251669504;mso-position-horizontal-relative:text;mso-position-vertical-relative:text">
            <v:imagedata r:id="rId10" o:title=""/>
            <w10:wrap type="square" side="right"/>
          </v:shape>
          <o:OLEObject Type="Link" ProgID="Excel.Sheet.12" ShapeID="_x0000_s1087" DrawAspect="Content" r:id="rId11" UpdateMode="Always">
            <o:LinkType>EnhancedMetaFile</o:LinkType>
            <o:LockedField>false</o:LockedField>
            <o:FieldCodes>\f 0</o:FieldCodes>
          </o:OLEObject>
        </w:object>
      </w:r>
    </w:p>
    <w:p w:rsidR="009425D6" w:rsidRDefault="009425D6" w:rsidP="009425D6">
      <w:pPr>
        <w:jc w:val="center"/>
      </w:pPr>
    </w:p>
    <w:bookmarkStart w:id="0" w:name="_Hlk124252524"/>
    <w:p w:rsidR="00217C35" w:rsidRDefault="00164A3F" w:rsidP="00DD47AF">
      <w:pPr>
        <w:tabs>
          <w:tab w:val="left" w:pos="2430"/>
        </w:tabs>
        <w:jc w:val="center"/>
      </w:pPr>
      <w:r>
        <w:object w:dxaOrig="12690" w:dyaOrig="15810">
          <v:shape id="_x0000_i1033" type="#_x0000_t75" style="width:447pt;height:664.5pt" o:ole="">
            <v:imagedata r:id="rId12" o:title=""/>
          </v:shape>
          <o:OLEObject Type="Link" ProgID="Excel.Sheet.12" ShapeID="_x0000_i1033" DrawAspect="Content" r:id="rId13" UpdateMode="Always">
            <o:LinkType>EnhancedMetaFile</o:LinkType>
            <o:LockedField>false</o:LockedField>
            <o:FieldCodes>\f 0</o:FieldCodes>
          </o:OLEObject>
        </w:object>
      </w:r>
      <w:bookmarkEnd w:id="0"/>
    </w:p>
    <w:p w:rsidR="00584B1F" w:rsidRDefault="00584B1F" w:rsidP="00DD47AF">
      <w:pPr>
        <w:tabs>
          <w:tab w:val="left" w:pos="2430"/>
        </w:tabs>
        <w:jc w:val="center"/>
      </w:pPr>
    </w:p>
    <w:p w:rsidR="00584B1F" w:rsidRDefault="00E64128" w:rsidP="00DD47AF">
      <w:pPr>
        <w:tabs>
          <w:tab w:val="left" w:pos="2430"/>
        </w:tabs>
        <w:jc w:val="center"/>
      </w:pPr>
      <w:r>
        <w:rPr>
          <w:noProof/>
        </w:rPr>
        <w:object w:dxaOrig="1440" w:dyaOrig="1440">
          <v:shape id="_x0000_s1081" type="#_x0000_t75" style="position:absolute;left:0;text-align:left;margin-left:-33.3pt;margin-top:24.6pt;width:547.3pt;height:558.7pt;z-index:251661312;mso-position-horizontal-relative:text;mso-position-vertical-relative:text">
            <v:imagedata r:id="rId14" o:title=""/>
          </v:shape>
          <o:OLEObject Type="Link" ProgID="Excel.Sheet.12" ShapeID="_x0000_s1081" DrawAspect="Content" r:id="rId15" UpdateMode="Always">
            <o:LinkType>EnhancedMetaFile</o:LinkType>
            <o:LockedField>false</o:LockedField>
            <o:FieldCodes>\f 0</o:FieldCodes>
          </o:OLEObject>
        </w:object>
      </w:r>
    </w:p>
    <w:p w:rsidR="005C162E" w:rsidRDefault="005C162E" w:rsidP="00DD47AF">
      <w:pPr>
        <w:tabs>
          <w:tab w:val="left" w:pos="2430"/>
        </w:tabs>
        <w:jc w:val="center"/>
      </w:pPr>
    </w:p>
    <w:p w:rsidR="005C162E" w:rsidRDefault="005C162E" w:rsidP="00DD47AF">
      <w:pPr>
        <w:tabs>
          <w:tab w:val="left" w:pos="2430"/>
        </w:tabs>
        <w:jc w:val="center"/>
      </w:pPr>
    </w:p>
    <w:p w:rsidR="005C162E" w:rsidRDefault="005C162E" w:rsidP="00DD47AF">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64128" w:rsidP="00927BA4">
      <w:pPr>
        <w:tabs>
          <w:tab w:val="left" w:pos="2430"/>
        </w:tabs>
      </w:pPr>
      <w:r>
        <w:rPr>
          <w:noProof/>
        </w:rPr>
        <w:object w:dxaOrig="1440" w:dyaOrig="1440">
          <v:shape id="_x0000_s1082" type="#_x0000_t75" style="position:absolute;margin-left:-46.55pt;margin-top:11.1pt;width:560.7pt;height:635.8pt;z-index:251663360;mso-position-horizontal-relative:text;mso-position-vertical-relative:text">
            <v:imagedata r:id="rId16" o:title=""/>
          </v:shape>
          <o:OLEObject Type="Link" ProgID="Excel.Sheet.12" ShapeID="_x0000_s1082" DrawAspect="Content" r:id="rId17"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066325">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64128" w:rsidP="00927BA4">
      <w:pPr>
        <w:tabs>
          <w:tab w:val="left" w:pos="2430"/>
        </w:tabs>
      </w:pPr>
      <w:r>
        <w:rPr>
          <w:noProof/>
        </w:rPr>
        <w:object w:dxaOrig="1440" w:dyaOrig="1440">
          <v:shape id="_x0000_s1083" type="#_x0000_t75" style="position:absolute;margin-left:-37.5pt;margin-top:24.65pt;width:542.35pt;height:631.95pt;z-index:251665408;mso-position-horizontal-relative:text;mso-position-vertical-relative:text">
            <v:imagedata r:id="rId18" o:title=""/>
          </v:shape>
          <o:OLEObject Type="Link" ProgID="Excel.Sheet.12" ShapeID="_x0000_s1083" DrawAspect="Content" r:id="rId19" UpdateMode="Always">
            <o:LinkType>EnhancedMetaFile</o:LinkType>
            <o:LockedField>false</o:LockedField>
            <o:FieldCodes>\f 0</o:FieldCodes>
          </o:OLEObject>
        </w:object>
      </w:r>
    </w:p>
    <w:p w:rsidR="00217C35" w:rsidRDefault="00217C35" w:rsidP="00927BA4">
      <w:pPr>
        <w:tabs>
          <w:tab w:val="left" w:pos="2430"/>
        </w:tabs>
      </w:pPr>
    </w:p>
    <w:p w:rsidR="00217C35" w:rsidRDefault="00217C35" w:rsidP="00927BA4">
      <w:pPr>
        <w:tabs>
          <w:tab w:val="left" w:pos="2430"/>
        </w:tabs>
      </w:pPr>
    </w:p>
    <w:p w:rsidR="00593097" w:rsidRDefault="00593097" w:rsidP="00593097">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E64128" w:rsidP="006D21D0">
      <w:pPr>
        <w:tabs>
          <w:tab w:val="left" w:pos="2430"/>
        </w:tabs>
        <w:jc w:val="center"/>
      </w:pPr>
      <w:r>
        <w:rPr>
          <w:noProof/>
        </w:rPr>
        <w:object w:dxaOrig="1440" w:dyaOrig="1440">
          <v:shape id="_x0000_s1085" type="#_x0000_t75" style="position:absolute;left:0;text-align:left;margin-left:23.25pt;margin-top:11.55pt;width:456.95pt;height:659.75pt;z-index:251667456;mso-position-horizontal-relative:text;mso-position-vertical-relative:text">
            <v:imagedata r:id="rId20" o:title=""/>
          </v:shape>
          <o:OLEObject Type="Link" ProgID="Excel.Sheet.12" ShapeID="_x0000_s1085" DrawAspect="Content" r:id="rId21" UpdateMode="Always">
            <o:LinkType>EnhancedMetaFile</o:LinkType>
            <o:LockedField>false</o:LockedField>
            <o:FieldCodes>\f 0</o:FieldCodes>
          </o:OLEObject>
        </w:object>
      </w:r>
    </w:p>
    <w:p w:rsidR="006D21D0" w:rsidRDefault="006D21D0" w:rsidP="006D21D0">
      <w:pPr>
        <w:tabs>
          <w:tab w:val="left" w:pos="2430"/>
        </w:tabs>
        <w:jc w:val="center"/>
      </w:pPr>
    </w:p>
    <w:p w:rsidR="006D21D0" w:rsidRDefault="006D21D0" w:rsidP="006D21D0">
      <w:pPr>
        <w:tabs>
          <w:tab w:val="left" w:pos="2430"/>
        </w:tabs>
        <w:jc w:val="center"/>
      </w:pPr>
    </w:p>
    <w:p w:rsidR="006D21D0" w:rsidRDefault="006D21D0" w:rsidP="006D21D0">
      <w:pPr>
        <w:tabs>
          <w:tab w:val="left" w:pos="2430"/>
        </w:tabs>
        <w:jc w:val="center"/>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217C35" w:rsidRDefault="00217C35" w:rsidP="00927BA4">
      <w:pPr>
        <w:tabs>
          <w:tab w:val="left" w:pos="2430"/>
        </w:tabs>
      </w:pPr>
    </w:p>
    <w:p w:rsidR="00667D50" w:rsidRDefault="00667D50" w:rsidP="00927BA4">
      <w:pPr>
        <w:tabs>
          <w:tab w:val="left" w:pos="2430"/>
        </w:tabs>
      </w:pPr>
    </w:p>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667D50" w:rsidRPr="00667D50" w:rsidRDefault="00667D50" w:rsidP="00667D50"/>
    <w:p w:rsidR="00164A3F" w:rsidRDefault="00164A3F" w:rsidP="00667D50">
      <w:pPr>
        <w:sectPr w:rsidR="00164A3F" w:rsidSect="000474FE">
          <w:headerReference w:type="even" r:id="rId22"/>
          <w:headerReference w:type="default" r:id="rId23"/>
          <w:footerReference w:type="even" r:id="rId24"/>
          <w:footerReference w:type="default" r:id="rId25"/>
          <w:pgSz w:w="12240" w:h="15840" w:code="1"/>
          <w:pgMar w:top="567" w:right="1440" w:bottom="851" w:left="1440" w:header="709" w:footer="709" w:gutter="0"/>
          <w:cols w:space="708"/>
          <w:docGrid w:linePitch="360"/>
        </w:sectPr>
      </w:pPr>
    </w:p>
    <w:p w:rsidR="000D21BD" w:rsidRPr="000D21BD" w:rsidRDefault="000D21BD" w:rsidP="000D21BD">
      <w:pPr>
        <w:tabs>
          <w:tab w:val="left" w:pos="6255"/>
        </w:tabs>
        <w:jc w:val="center"/>
        <w:rPr>
          <w:rFonts w:ascii="Arial Narrow" w:eastAsia="Times New Roman" w:hAnsi="Arial Narrow" w:cs="Times New Roman"/>
          <w:b/>
        </w:rPr>
      </w:pPr>
      <w:r w:rsidRPr="000D21BD">
        <w:rPr>
          <w:rFonts w:ascii="Arial Narrow" w:eastAsia="Times New Roman" w:hAnsi="Arial Narrow" w:cs="Times New Roman"/>
          <w:b/>
        </w:rPr>
        <w:lastRenderedPageBreak/>
        <w:t>NOTAS A LOS ESTADOS FINANCIEROS</w:t>
      </w:r>
    </w:p>
    <w:p w:rsidR="000D21BD" w:rsidRPr="000D21BD" w:rsidRDefault="000D21BD" w:rsidP="000D21BD">
      <w:pPr>
        <w:jc w:val="center"/>
        <w:rPr>
          <w:rFonts w:ascii="Arial Narrow" w:eastAsia="Times New Roman" w:hAnsi="Arial Narrow" w:cs="Times New Roman"/>
          <w:b/>
        </w:rPr>
      </w:pPr>
      <w:r w:rsidRPr="000D21BD">
        <w:rPr>
          <w:rFonts w:ascii="Arial Narrow" w:eastAsia="Times New Roman" w:hAnsi="Arial Narrow" w:cs="Times New Roman"/>
          <w:b/>
        </w:rPr>
        <w:t xml:space="preserve">   Del 01 de enero al 30 de </w:t>
      </w:r>
      <w:r w:rsidR="002F3AC1">
        <w:rPr>
          <w:rFonts w:ascii="Arial Narrow" w:eastAsia="Times New Roman" w:hAnsi="Arial Narrow" w:cs="Times New Roman"/>
          <w:b/>
        </w:rPr>
        <w:t>junio</w:t>
      </w:r>
      <w:r w:rsidRPr="000D21BD">
        <w:rPr>
          <w:rFonts w:ascii="Arial Narrow" w:eastAsia="Times New Roman" w:hAnsi="Arial Narrow" w:cs="Times New Roman"/>
          <w:b/>
        </w:rPr>
        <w:t xml:space="preserve"> de 202</w:t>
      </w:r>
      <w:r w:rsidR="002F3AC1">
        <w:rPr>
          <w:rFonts w:ascii="Arial Narrow" w:eastAsia="Times New Roman" w:hAnsi="Arial Narrow" w:cs="Times New Roman"/>
          <w:b/>
        </w:rPr>
        <w:t>3</w:t>
      </w:r>
      <w:r w:rsidRPr="000D21BD">
        <w:rPr>
          <w:rFonts w:ascii="Arial Narrow" w:eastAsia="Times New Roman" w:hAnsi="Arial Narrow" w:cs="Times New Roman"/>
          <w:b/>
        </w:rPr>
        <w:t>.</w:t>
      </w:r>
    </w:p>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tabs>
          <w:tab w:val="left" w:pos="255"/>
          <w:tab w:val="center" w:pos="7044"/>
        </w:tabs>
        <w:rPr>
          <w:rFonts w:ascii="Arial Narrow" w:eastAsia="Times New Roman" w:hAnsi="Arial Narrow" w:cs="Times New Roman"/>
          <w:b/>
        </w:rPr>
      </w:pPr>
      <w:r w:rsidRPr="000D21BD">
        <w:rPr>
          <w:rFonts w:ascii="Arial Narrow" w:eastAsia="Times New Roman" w:hAnsi="Arial Narrow" w:cs="Times New Roman"/>
          <w:b/>
        </w:rPr>
        <w:tab/>
      </w:r>
      <w:r w:rsidRPr="000D21BD">
        <w:rPr>
          <w:rFonts w:ascii="Arial Narrow" w:eastAsia="Times New Roman" w:hAnsi="Arial Narrow" w:cs="Times New Roman"/>
          <w:b/>
        </w:rPr>
        <w:tab/>
        <w:t>NOTAS DE DESGLOSE</w:t>
      </w:r>
    </w:p>
    <w:p w:rsidR="000D21BD" w:rsidRPr="000D21BD" w:rsidRDefault="000D21BD" w:rsidP="002F3AC1">
      <w:pPr>
        <w:jc w:val="both"/>
        <w:rPr>
          <w:rFonts w:ascii="Arial Narrow" w:eastAsia="Times New Roman" w:hAnsi="Arial Narrow" w:cs="Times New Roman"/>
        </w:rPr>
      </w:pPr>
      <w:r w:rsidRPr="000D21BD">
        <w:rPr>
          <w:rFonts w:ascii="Arial Narrow" w:eastAsia="Times New Roman" w:hAnsi="Arial Narrow" w:cs="Times New Roman"/>
        </w:rPr>
        <w:t xml:space="preserve">Tomando en cuenta los postulados de revelación suficiente e importancia relativa y con la finalidad de que la información sea transparente, en este apartado son reveladas las cuentas que tuvieron movimientos durante el periodo de enero a </w:t>
      </w:r>
      <w:r w:rsidR="002F3AC1">
        <w:rPr>
          <w:rFonts w:ascii="Arial Narrow" w:eastAsia="Times New Roman" w:hAnsi="Arial Narrow" w:cs="Times New Roman"/>
        </w:rPr>
        <w:t>junio</w:t>
      </w:r>
      <w:r w:rsidRPr="000D21BD">
        <w:rPr>
          <w:rFonts w:ascii="Arial Narrow" w:eastAsia="Times New Roman" w:hAnsi="Arial Narrow" w:cs="Times New Roman"/>
        </w:rPr>
        <w:t xml:space="preserve"> de 202</w:t>
      </w:r>
      <w:r w:rsidR="002F3AC1">
        <w:rPr>
          <w:rFonts w:ascii="Arial Narrow" w:eastAsia="Times New Roman" w:hAnsi="Arial Narrow" w:cs="Times New Roman"/>
        </w:rPr>
        <w:t>3</w:t>
      </w:r>
      <w:r w:rsidRPr="000D21BD">
        <w:rPr>
          <w:rFonts w:ascii="Arial Narrow" w:eastAsia="Times New Roman" w:hAnsi="Arial Narrow" w:cs="Times New Roman"/>
        </w:rPr>
        <w:t xml:space="preserve"> que se presenta, de conformidad con los artículos 46 y 49 de la Ley General de Contabilidad Gubernamental, las cuales se derivan de las operaciones financieras y presupuestales del Tribunal de Superior de Justicia.</w:t>
      </w:r>
    </w:p>
    <w:p w:rsidR="000D21BD" w:rsidRPr="000D21BD" w:rsidRDefault="000D21BD" w:rsidP="002F3AC1">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t>NOTAS AL ESTADO DE SITUACIÓN FINANCIERA.</w:t>
      </w:r>
    </w:p>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ACTIVO.</w:t>
      </w:r>
    </w:p>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1. Efectivo y equivalentes.</w:t>
      </w:r>
    </w:p>
    <w:tbl>
      <w:tblPr>
        <w:tblStyle w:val="Cuadrculamedia1-nfasis5"/>
        <w:tblpPr w:leftFromText="141" w:rightFromText="141" w:vertAnchor="text" w:horzAnchor="margin" w:tblpXSpec="center" w:tblpY="-29"/>
        <w:tblOverlap w:val="never"/>
        <w:tblW w:w="0" w:type="auto"/>
        <w:tblLook w:val="04A0" w:firstRow="1" w:lastRow="0" w:firstColumn="1" w:lastColumn="0" w:noHBand="0" w:noVBand="1"/>
      </w:tblPr>
      <w:tblGrid>
        <w:gridCol w:w="4668"/>
        <w:gridCol w:w="719"/>
        <w:gridCol w:w="1843"/>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Fondos fijos</w:t>
            </w:r>
          </w:p>
        </w:tc>
        <w:tc>
          <w:tcPr>
            <w:tcW w:w="719" w:type="dxa"/>
          </w:tcPr>
          <w:p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p>
        </w:tc>
        <w:tc>
          <w:tcPr>
            <w:tcW w:w="1843" w:type="dxa"/>
          </w:tcPr>
          <w:p w:rsidR="000D21BD" w:rsidRPr="000D21BD" w:rsidRDefault="000D21BD" w:rsidP="002F3AC1">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38,000.00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Bancos</w:t>
            </w:r>
          </w:p>
        </w:tc>
        <w:tc>
          <w:tcPr>
            <w:tcW w:w="719"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843"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2F3AC1">
              <w:rPr>
                <w:rFonts w:ascii="Arial Narrow" w:hAnsi="Arial Narrow"/>
                <w:b/>
                <w:sz w:val="18"/>
                <w:szCs w:val="18"/>
              </w:rPr>
              <w:t>22</w:t>
            </w:r>
            <w:r w:rsidRPr="000D21BD">
              <w:rPr>
                <w:rFonts w:ascii="Arial Narrow" w:hAnsi="Arial Narrow"/>
                <w:b/>
                <w:sz w:val="18"/>
                <w:szCs w:val="18"/>
              </w:rPr>
              <w:t>,</w:t>
            </w:r>
            <w:r w:rsidR="002F3AC1">
              <w:rPr>
                <w:rFonts w:ascii="Arial Narrow" w:hAnsi="Arial Narrow"/>
                <w:b/>
                <w:sz w:val="18"/>
                <w:szCs w:val="18"/>
              </w:rPr>
              <w:t>597</w:t>
            </w:r>
            <w:r w:rsidRPr="000D21BD">
              <w:rPr>
                <w:rFonts w:ascii="Arial Narrow" w:hAnsi="Arial Narrow"/>
                <w:b/>
                <w:sz w:val="18"/>
                <w:szCs w:val="18"/>
              </w:rPr>
              <w:t>,</w:t>
            </w:r>
            <w:r w:rsidR="002F3AC1">
              <w:rPr>
                <w:rFonts w:ascii="Arial Narrow" w:hAnsi="Arial Narrow"/>
                <w:b/>
                <w:sz w:val="18"/>
                <w:szCs w:val="18"/>
              </w:rPr>
              <w:t>759</w:t>
            </w:r>
            <w:r w:rsidRPr="000D21BD">
              <w:rPr>
                <w:rFonts w:ascii="Arial Narrow" w:hAnsi="Arial Narrow"/>
                <w:b/>
                <w:sz w:val="18"/>
                <w:szCs w:val="18"/>
              </w:rPr>
              <w:t>.</w:t>
            </w:r>
            <w:r w:rsidR="002F3AC1">
              <w:rPr>
                <w:rFonts w:ascii="Arial Narrow" w:hAnsi="Arial Narrow"/>
                <w:b/>
                <w:sz w:val="18"/>
                <w:szCs w:val="18"/>
              </w:rPr>
              <w:t>10</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 xml:space="preserve">Inversiones Temporales </w:t>
            </w:r>
          </w:p>
        </w:tc>
        <w:tc>
          <w:tcPr>
            <w:tcW w:w="719"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2F3AC1">
              <w:rPr>
                <w:rFonts w:ascii="Arial Narrow" w:hAnsi="Arial Narrow"/>
                <w:b/>
                <w:sz w:val="18"/>
                <w:szCs w:val="18"/>
              </w:rPr>
              <w:t xml:space="preserve"> </w:t>
            </w:r>
            <w:r w:rsidRPr="000D21BD">
              <w:rPr>
                <w:rFonts w:ascii="Arial Narrow" w:hAnsi="Arial Narrow"/>
                <w:b/>
                <w:sz w:val="18"/>
                <w:szCs w:val="18"/>
              </w:rPr>
              <w:t>$</w:t>
            </w:r>
            <w:r w:rsidR="002F3AC1">
              <w:rPr>
                <w:rFonts w:ascii="Arial Narrow" w:hAnsi="Arial Narrow"/>
                <w:b/>
                <w:sz w:val="18"/>
                <w:szCs w:val="18"/>
              </w:rPr>
              <w:t xml:space="preserve">    </w:t>
            </w:r>
            <w:r w:rsidRPr="000D21BD">
              <w:rPr>
                <w:rFonts w:ascii="Arial Narrow" w:hAnsi="Arial Narrow"/>
                <w:b/>
                <w:sz w:val="18"/>
                <w:szCs w:val="18"/>
              </w:rPr>
              <w:t xml:space="preserve"> </w:t>
            </w:r>
            <w:r w:rsidR="002F3AC1">
              <w:rPr>
                <w:rFonts w:ascii="Arial Narrow" w:hAnsi="Arial Narrow"/>
                <w:b/>
                <w:sz w:val="18"/>
                <w:szCs w:val="18"/>
              </w:rPr>
              <w:t xml:space="preserve">  128</w:t>
            </w:r>
            <w:r w:rsidRPr="000D21BD">
              <w:rPr>
                <w:rFonts w:ascii="Arial Narrow" w:hAnsi="Arial Narrow"/>
                <w:b/>
                <w:sz w:val="18"/>
                <w:szCs w:val="18"/>
              </w:rPr>
              <w:t>,</w:t>
            </w:r>
            <w:r w:rsidR="002F3AC1">
              <w:rPr>
                <w:rFonts w:ascii="Arial Narrow" w:hAnsi="Arial Narrow"/>
                <w:b/>
                <w:sz w:val="18"/>
                <w:szCs w:val="18"/>
              </w:rPr>
              <w:t>200</w:t>
            </w:r>
            <w:r w:rsidRPr="000D21BD">
              <w:rPr>
                <w:rFonts w:ascii="Arial Narrow" w:hAnsi="Arial Narrow"/>
                <w:b/>
                <w:sz w:val="18"/>
                <w:szCs w:val="18"/>
              </w:rPr>
              <w:t>,</w:t>
            </w:r>
            <w:r w:rsidR="002F3AC1">
              <w:rPr>
                <w:rFonts w:ascii="Arial Narrow" w:hAnsi="Arial Narrow"/>
                <w:b/>
                <w:sz w:val="18"/>
                <w:szCs w:val="18"/>
              </w:rPr>
              <w:t>733</w:t>
            </w:r>
            <w:r w:rsidRPr="000D21BD">
              <w:rPr>
                <w:rFonts w:ascii="Arial Narrow" w:hAnsi="Arial Narrow"/>
                <w:b/>
                <w:sz w:val="18"/>
                <w:szCs w:val="18"/>
              </w:rPr>
              <w:t>.</w:t>
            </w:r>
            <w:r w:rsidR="002F3AC1">
              <w:rPr>
                <w:rFonts w:ascii="Arial Narrow" w:hAnsi="Arial Narrow"/>
                <w:b/>
                <w:sz w:val="18"/>
                <w:szCs w:val="18"/>
              </w:rPr>
              <w:t>36</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Depósitos en garantía</w:t>
            </w:r>
          </w:p>
        </w:tc>
        <w:tc>
          <w:tcPr>
            <w:tcW w:w="719"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25,000.00</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4668" w:type="dxa"/>
          </w:tcPr>
          <w:p w:rsidR="000D21BD" w:rsidRPr="000D21BD" w:rsidRDefault="000D21BD" w:rsidP="002F3AC1">
            <w:pPr>
              <w:jc w:val="both"/>
              <w:rPr>
                <w:rFonts w:ascii="Arial Narrow" w:hAnsi="Arial Narrow"/>
                <w:sz w:val="18"/>
                <w:szCs w:val="18"/>
              </w:rPr>
            </w:pPr>
            <w:r w:rsidRPr="000D21BD">
              <w:rPr>
                <w:rFonts w:ascii="Arial Narrow" w:hAnsi="Arial Narrow"/>
                <w:sz w:val="18"/>
                <w:szCs w:val="18"/>
              </w:rPr>
              <w:t>Suma Efectivo y equivalentes</w:t>
            </w:r>
          </w:p>
        </w:tc>
        <w:tc>
          <w:tcPr>
            <w:tcW w:w="719"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843" w:type="dxa"/>
          </w:tcPr>
          <w:p w:rsidR="000D21BD" w:rsidRPr="000D21BD" w:rsidRDefault="000D21BD" w:rsidP="002F3AC1">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       </w:t>
            </w:r>
            <w:r w:rsidR="002F3AC1">
              <w:rPr>
                <w:rFonts w:ascii="Arial Narrow" w:hAnsi="Arial Narrow"/>
                <w:b/>
                <w:sz w:val="18"/>
                <w:szCs w:val="18"/>
              </w:rPr>
              <w:t>150</w:t>
            </w:r>
            <w:r w:rsidRPr="000D21BD">
              <w:rPr>
                <w:rFonts w:ascii="Arial Narrow" w:hAnsi="Arial Narrow"/>
                <w:b/>
                <w:sz w:val="18"/>
                <w:szCs w:val="18"/>
              </w:rPr>
              <w:t>,</w:t>
            </w:r>
            <w:r w:rsidR="002F3AC1">
              <w:rPr>
                <w:rFonts w:ascii="Arial Narrow" w:hAnsi="Arial Narrow"/>
                <w:b/>
                <w:sz w:val="18"/>
                <w:szCs w:val="18"/>
              </w:rPr>
              <w:t>861</w:t>
            </w:r>
            <w:r w:rsidRPr="000D21BD">
              <w:rPr>
                <w:rFonts w:ascii="Arial Narrow" w:hAnsi="Arial Narrow"/>
                <w:b/>
                <w:sz w:val="18"/>
                <w:szCs w:val="18"/>
              </w:rPr>
              <w:t>,</w:t>
            </w:r>
            <w:r w:rsidR="002F3AC1">
              <w:rPr>
                <w:rFonts w:ascii="Arial Narrow" w:hAnsi="Arial Narrow"/>
                <w:b/>
                <w:sz w:val="18"/>
                <w:szCs w:val="18"/>
              </w:rPr>
              <w:t>492</w:t>
            </w:r>
            <w:r w:rsidRPr="000D21BD">
              <w:rPr>
                <w:rFonts w:ascii="Arial Narrow" w:hAnsi="Arial Narrow"/>
                <w:b/>
                <w:sz w:val="18"/>
                <w:szCs w:val="18"/>
              </w:rPr>
              <w:t>.</w:t>
            </w:r>
            <w:r w:rsidR="002F3AC1">
              <w:rPr>
                <w:rFonts w:ascii="Arial Narrow" w:hAnsi="Arial Narrow"/>
                <w:b/>
                <w:sz w:val="18"/>
                <w:szCs w:val="18"/>
              </w:rPr>
              <w:t>46</w:t>
            </w:r>
          </w:p>
        </w:tc>
      </w:tr>
    </w:tbl>
    <w:p w:rsidR="000D21BD" w:rsidRPr="000D21BD" w:rsidRDefault="000D21BD" w:rsidP="002F3AC1">
      <w:pPr>
        <w:jc w:val="both"/>
        <w:rPr>
          <w:rFonts w:ascii="Arial Narrow" w:eastAsia="Times New Roman" w:hAnsi="Arial Narrow" w:cs="Times New Roman"/>
          <w:b/>
          <w:u w:val="single"/>
        </w:rPr>
      </w:pPr>
      <w:r w:rsidRPr="000D21BD">
        <w:rPr>
          <w:rFonts w:ascii="Arial Narrow" w:eastAsia="Times New Roman" w:hAnsi="Arial Narrow" w:cs="Times New Roman"/>
          <w:b/>
          <w:u w:val="single"/>
        </w:rPr>
        <w:br w:type="textWrapping" w:clear="all"/>
      </w:r>
    </w:p>
    <w:p w:rsidR="000D21BD" w:rsidRPr="002F3AC1" w:rsidRDefault="000D21BD" w:rsidP="002F3AC1">
      <w:pPr>
        <w:spacing w:after="0"/>
        <w:jc w:val="both"/>
        <w:rPr>
          <w:rFonts w:ascii="Arial Narrow" w:eastAsia="Times New Roman" w:hAnsi="Arial Narrow" w:cs="Times New Roman"/>
        </w:rPr>
      </w:pPr>
      <w:r w:rsidRPr="002F3AC1">
        <w:rPr>
          <w:rFonts w:ascii="Arial Narrow" w:eastAsia="Times New Roman" w:hAnsi="Arial Narrow" w:cs="Times New Roman"/>
        </w:rPr>
        <w:t>La cuenta de fondos fijos se conforma por los fondos revolventes que fueron creados a efecto de cubrir gastos menores de operación en áreas principalmente administrativas.</w:t>
      </w:r>
    </w:p>
    <w:p w:rsidR="000D21BD" w:rsidRPr="002F3AC1" w:rsidRDefault="000D21BD" w:rsidP="002F3AC1">
      <w:pPr>
        <w:spacing w:after="0"/>
        <w:jc w:val="both"/>
        <w:rPr>
          <w:rFonts w:ascii="Arial Narrow" w:eastAsia="Times New Roman" w:hAnsi="Arial Narrow" w:cs="Times New Roman"/>
        </w:rPr>
      </w:pPr>
    </w:p>
    <w:p w:rsidR="000D21BD" w:rsidRPr="002F3AC1" w:rsidRDefault="000D21BD" w:rsidP="002F3AC1">
      <w:pPr>
        <w:spacing w:after="0"/>
        <w:jc w:val="both"/>
        <w:rPr>
          <w:rFonts w:ascii="Arial Narrow" w:eastAsia="Times New Roman" w:hAnsi="Arial Narrow" w:cs="Times New Roman"/>
        </w:rPr>
      </w:pPr>
      <w:r w:rsidRPr="002F3AC1">
        <w:rPr>
          <w:rFonts w:ascii="Arial Narrow" w:eastAsia="Times New Roman" w:hAnsi="Arial Narrow" w:cs="Times New Roman"/>
        </w:rPr>
        <w:t xml:space="preserve">En la cuenta de bancos, se refleja al 30 de </w:t>
      </w:r>
      <w:r w:rsidR="002F3AC1" w:rsidRPr="002F3AC1">
        <w:rPr>
          <w:rFonts w:ascii="Arial Narrow" w:eastAsia="Times New Roman" w:hAnsi="Arial Narrow" w:cs="Times New Roman"/>
        </w:rPr>
        <w:t>junio</w:t>
      </w:r>
      <w:r w:rsidRPr="002F3AC1">
        <w:rPr>
          <w:rFonts w:ascii="Arial Narrow" w:eastAsia="Times New Roman" w:hAnsi="Arial Narrow" w:cs="Times New Roman"/>
        </w:rPr>
        <w:t xml:space="preserve"> de 202</w:t>
      </w:r>
      <w:r w:rsidR="002F3AC1" w:rsidRPr="002F3AC1">
        <w:rPr>
          <w:rFonts w:ascii="Arial Narrow" w:eastAsia="Times New Roman" w:hAnsi="Arial Narrow" w:cs="Times New Roman"/>
        </w:rPr>
        <w:t>3</w:t>
      </w:r>
      <w:r w:rsidRPr="002F3AC1">
        <w:rPr>
          <w:rFonts w:ascii="Arial Narrow" w:eastAsia="Times New Roman" w:hAnsi="Arial Narrow" w:cs="Times New Roman"/>
        </w:rPr>
        <w:t xml:space="preserve"> la cantidad de $ </w:t>
      </w:r>
      <w:r w:rsidR="002F3AC1">
        <w:rPr>
          <w:rFonts w:ascii="Arial Narrow" w:eastAsia="Times New Roman" w:hAnsi="Arial Narrow" w:cs="Times New Roman"/>
        </w:rPr>
        <w:t>22</w:t>
      </w:r>
      <w:r w:rsidRPr="002F3AC1">
        <w:rPr>
          <w:rFonts w:ascii="Arial Narrow" w:eastAsia="Times New Roman" w:hAnsi="Arial Narrow" w:cs="Times New Roman"/>
        </w:rPr>
        <w:t>,</w:t>
      </w:r>
      <w:r w:rsidR="002F3AC1">
        <w:rPr>
          <w:rFonts w:ascii="Arial Narrow" w:eastAsia="Times New Roman" w:hAnsi="Arial Narrow" w:cs="Times New Roman"/>
        </w:rPr>
        <w:t>597</w:t>
      </w:r>
      <w:r w:rsidRPr="002F3AC1">
        <w:rPr>
          <w:rFonts w:ascii="Arial Narrow" w:eastAsia="Times New Roman" w:hAnsi="Arial Narrow" w:cs="Times New Roman"/>
        </w:rPr>
        <w:t>,</w:t>
      </w:r>
      <w:r w:rsidR="002F3AC1">
        <w:rPr>
          <w:rFonts w:ascii="Arial Narrow" w:eastAsia="Times New Roman" w:hAnsi="Arial Narrow" w:cs="Times New Roman"/>
        </w:rPr>
        <w:t>759</w:t>
      </w:r>
      <w:r w:rsidRPr="002F3AC1">
        <w:rPr>
          <w:rFonts w:ascii="Arial Narrow" w:eastAsia="Times New Roman" w:hAnsi="Arial Narrow" w:cs="Times New Roman"/>
        </w:rPr>
        <w:t>.</w:t>
      </w:r>
      <w:r w:rsidR="002F3AC1">
        <w:rPr>
          <w:rFonts w:ascii="Arial Narrow" w:eastAsia="Times New Roman" w:hAnsi="Arial Narrow" w:cs="Times New Roman"/>
        </w:rPr>
        <w:t>10</w:t>
      </w:r>
      <w:r w:rsidRPr="002F3AC1">
        <w:rPr>
          <w:rFonts w:ascii="Arial Narrow" w:eastAsia="Times New Roman" w:hAnsi="Arial Narrow" w:cs="Times New Roman"/>
          <w:b/>
        </w:rPr>
        <w:t xml:space="preserve"> </w:t>
      </w:r>
      <w:r w:rsidRPr="002F3AC1">
        <w:rPr>
          <w:rFonts w:ascii="Arial Narrow" w:eastAsia="Times New Roman" w:hAnsi="Arial Narrow" w:cs="Times New Roman"/>
        </w:rPr>
        <w:t>según saldos conciliados, cabe mencionar que, dentro de este importe entre otros se encuentran en circulación cheques por concepto de prestaciones al personal y demás pagos a proveedores (pasivos).</w:t>
      </w:r>
    </w:p>
    <w:p w:rsidR="00164A3F" w:rsidRDefault="00164A3F" w:rsidP="000D21BD">
      <w:pPr>
        <w:jc w:val="both"/>
        <w:rPr>
          <w:rFonts w:ascii="Arial Narrow" w:eastAsia="Times New Roman" w:hAnsi="Arial Narrow" w:cs="Times New Roman"/>
          <w:b/>
          <w:u w:val="single"/>
        </w:rPr>
      </w:pPr>
    </w:p>
    <w:p w:rsidR="000D21BD" w:rsidRPr="000D21BD" w:rsidRDefault="000D21BD" w:rsidP="000D21BD">
      <w:pPr>
        <w:jc w:val="both"/>
        <w:rPr>
          <w:rFonts w:ascii="Arial Narrow" w:eastAsia="Times New Roman" w:hAnsi="Arial Narrow" w:cs="Times New Roman"/>
          <w:b/>
          <w:u w:val="single"/>
        </w:rPr>
      </w:pPr>
      <w:bookmarkStart w:id="1" w:name="_GoBack"/>
      <w:bookmarkEnd w:id="1"/>
      <w:r w:rsidRPr="002F3AC1">
        <w:rPr>
          <w:rFonts w:ascii="Arial Narrow" w:eastAsia="Times New Roman" w:hAnsi="Arial Narrow" w:cs="Times New Roman"/>
          <w:b/>
          <w:u w:val="single"/>
        </w:rPr>
        <w:t>2. Derechos a recibir efectivo o equivalente y bienes o servicios</w:t>
      </w:r>
      <w:r w:rsidRPr="000D21BD">
        <w:rPr>
          <w:rFonts w:ascii="Arial Narrow" w:eastAsia="Times New Roman" w:hAnsi="Arial Narrow" w:cs="Times New Roman"/>
          <w:b/>
          <w:u w:val="single"/>
        </w:rPr>
        <w:t xml:space="preserve">. </w:t>
      </w:r>
    </w:p>
    <w:tbl>
      <w:tblPr>
        <w:tblStyle w:val="Sombreadoclaro-nfasis11"/>
        <w:tblW w:w="0" w:type="auto"/>
        <w:jc w:val="center"/>
        <w:tblLook w:val="04A0" w:firstRow="1" w:lastRow="0" w:firstColumn="1" w:lastColumn="0" w:noHBand="0" w:noVBand="1"/>
      </w:tblPr>
      <w:tblGrid>
        <w:gridCol w:w="3408"/>
        <w:gridCol w:w="1243"/>
        <w:gridCol w:w="2104"/>
        <w:gridCol w:w="178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243"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2104"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Antigüedad</w:t>
            </w:r>
          </w:p>
        </w:tc>
        <w:tc>
          <w:tcPr>
            <w:tcW w:w="1783"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cobro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Cuentas por cobrar a corto plazo</w:t>
            </w:r>
          </w:p>
        </w:tc>
        <w:tc>
          <w:tcPr>
            <w:tcW w:w="124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0.79</w:t>
            </w:r>
          </w:p>
        </w:tc>
        <w:tc>
          <w:tcPr>
            <w:tcW w:w="210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Deudores diversos a corto plazo </w:t>
            </w:r>
          </w:p>
        </w:tc>
        <w:tc>
          <w:tcPr>
            <w:tcW w:w="1243" w:type="dxa"/>
          </w:tcPr>
          <w:p w:rsidR="000D21BD" w:rsidRPr="000D21BD" w:rsidRDefault="002F3AC1" w:rsidP="000D21BD">
            <w:pPr>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Pr>
                <w:rFonts w:ascii="Arial Narrow" w:hAnsi="Arial Narrow"/>
                <w:sz w:val="18"/>
                <w:szCs w:val="18"/>
              </w:rPr>
              <w:t xml:space="preserve">$  </w:t>
            </w:r>
            <w:r w:rsidR="000D21BD" w:rsidRPr="000D21BD">
              <w:rPr>
                <w:rFonts w:ascii="Arial Narrow" w:hAnsi="Arial Narrow"/>
                <w:sz w:val="18"/>
                <w:szCs w:val="18"/>
              </w:rPr>
              <w:t xml:space="preserve">     </w:t>
            </w:r>
            <w:r>
              <w:rPr>
                <w:rFonts w:ascii="Arial Narrow" w:hAnsi="Arial Narrow"/>
                <w:sz w:val="18"/>
                <w:szCs w:val="18"/>
              </w:rPr>
              <w:t>5</w:t>
            </w:r>
            <w:r w:rsidR="000D21BD" w:rsidRPr="000D21BD">
              <w:rPr>
                <w:rFonts w:ascii="Arial Narrow" w:hAnsi="Arial Narrow"/>
                <w:sz w:val="18"/>
                <w:szCs w:val="18"/>
              </w:rPr>
              <w:t>,</w:t>
            </w:r>
            <w:r>
              <w:rPr>
                <w:rFonts w:ascii="Arial Narrow" w:hAnsi="Arial Narrow"/>
                <w:sz w:val="18"/>
                <w:szCs w:val="18"/>
              </w:rPr>
              <w:t>000</w:t>
            </w:r>
            <w:r w:rsidR="000D21BD" w:rsidRPr="000D21BD">
              <w:rPr>
                <w:rFonts w:ascii="Arial Narrow" w:hAnsi="Arial Narrow"/>
                <w:sz w:val="18"/>
                <w:szCs w:val="18"/>
              </w:rPr>
              <w:t>.</w:t>
            </w:r>
            <w:r>
              <w:rPr>
                <w:rFonts w:ascii="Arial Narrow" w:hAnsi="Arial Narrow"/>
                <w:sz w:val="18"/>
                <w:szCs w:val="18"/>
              </w:rPr>
              <w:t>00</w:t>
            </w:r>
          </w:p>
        </w:tc>
        <w:tc>
          <w:tcPr>
            <w:tcW w:w="210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derechos a recibir efectivo o equivalentes a corto plazo</w:t>
            </w:r>
          </w:p>
        </w:tc>
        <w:tc>
          <w:tcPr>
            <w:tcW w:w="1243"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2F3AC1">
              <w:rPr>
                <w:rFonts w:ascii="Arial Narrow" w:hAnsi="Arial Narrow"/>
                <w:sz w:val="18"/>
                <w:szCs w:val="18"/>
              </w:rPr>
              <w:t>238</w:t>
            </w:r>
            <w:r w:rsidRPr="000D21BD">
              <w:rPr>
                <w:rFonts w:ascii="Arial Narrow" w:hAnsi="Arial Narrow"/>
                <w:sz w:val="18"/>
                <w:szCs w:val="18"/>
              </w:rPr>
              <w:t>,</w:t>
            </w:r>
            <w:r w:rsidR="002F3AC1">
              <w:rPr>
                <w:rFonts w:ascii="Arial Narrow" w:hAnsi="Arial Narrow"/>
                <w:sz w:val="18"/>
                <w:szCs w:val="18"/>
              </w:rPr>
              <w:t>730</w:t>
            </w:r>
            <w:r w:rsidRPr="000D21BD">
              <w:rPr>
                <w:rFonts w:ascii="Arial Narrow" w:hAnsi="Arial Narrow"/>
                <w:sz w:val="18"/>
                <w:szCs w:val="18"/>
              </w:rPr>
              <w:t>.</w:t>
            </w:r>
            <w:r w:rsidR="002F3AC1">
              <w:rPr>
                <w:rFonts w:ascii="Arial Narrow" w:hAnsi="Arial Narrow"/>
                <w:sz w:val="18"/>
                <w:szCs w:val="18"/>
              </w:rPr>
              <w:t>23</w:t>
            </w:r>
          </w:p>
        </w:tc>
        <w:tc>
          <w:tcPr>
            <w:tcW w:w="210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Buena</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408" w:type="dxa"/>
          </w:tcPr>
          <w:p w:rsidR="000D21BD" w:rsidRPr="000D21BD" w:rsidRDefault="00AD75D3" w:rsidP="000D21BD">
            <w:pPr>
              <w:jc w:val="both"/>
              <w:rPr>
                <w:rFonts w:ascii="Arial Narrow" w:hAnsi="Arial Narrow"/>
                <w:sz w:val="18"/>
                <w:szCs w:val="18"/>
              </w:rPr>
            </w:pPr>
            <w:r>
              <w:rPr>
                <w:rFonts w:ascii="Arial Narrow" w:hAnsi="Arial Narrow"/>
                <w:sz w:val="18"/>
                <w:szCs w:val="18"/>
              </w:rPr>
              <w:t xml:space="preserve">TOTAL </w:t>
            </w:r>
            <w:r w:rsidR="000D21BD" w:rsidRPr="000D21BD">
              <w:rPr>
                <w:rFonts w:ascii="Arial Narrow" w:hAnsi="Arial Narrow"/>
                <w:sz w:val="18"/>
                <w:szCs w:val="18"/>
              </w:rPr>
              <w:t xml:space="preserve">Derechos a recibir de bienes o servicios  </w:t>
            </w:r>
          </w:p>
        </w:tc>
        <w:tc>
          <w:tcPr>
            <w:tcW w:w="1243"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AD75D3">
              <w:rPr>
                <w:rFonts w:ascii="Arial Narrow" w:hAnsi="Arial Narrow"/>
                <w:sz w:val="18"/>
                <w:szCs w:val="18"/>
              </w:rPr>
              <w:t>243</w:t>
            </w:r>
            <w:r w:rsidRPr="000D21BD">
              <w:rPr>
                <w:rFonts w:ascii="Arial Narrow" w:hAnsi="Arial Narrow"/>
                <w:sz w:val="18"/>
                <w:szCs w:val="18"/>
              </w:rPr>
              <w:t>,</w:t>
            </w:r>
            <w:r w:rsidR="00AD75D3">
              <w:rPr>
                <w:rFonts w:ascii="Arial Narrow" w:hAnsi="Arial Narrow"/>
                <w:sz w:val="18"/>
                <w:szCs w:val="18"/>
              </w:rPr>
              <w:t>731</w:t>
            </w:r>
            <w:r w:rsidRPr="000D21BD">
              <w:rPr>
                <w:rFonts w:ascii="Arial Narrow" w:hAnsi="Arial Narrow"/>
                <w:sz w:val="18"/>
                <w:szCs w:val="18"/>
              </w:rPr>
              <w:t>.</w:t>
            </w:r>
            <w:r w:rsidR="00AD75D3">
              <w:rPr>
                <w:rFonts w:ascii="Arial Narrow" w:hAnsi="Arial Narrow"/>
                <w:sz w:val="18"/>
                <w:szCs w:val="18"/>
              </w:rPr>
              <w:t>02</w:t>
            </w:r>
          </w:p>
        </w:tc>
        <w:tc>
          <w:tcPr>
            <w:tcW w:w="210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Menor a un año</w:t>
            </w:r>
          </w:p>
        </w:tc>
        <w:tc>
          <w:tcPr>
            <w:tcW w:w="1783"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Buena </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408" w:type="dxa"/>
            <w:tcBorders>
              <w:bottom w:val="single" w:sz="8" w:space="0" w:color="4F81BD" w:themeColor="accent1"/>
            </w:tcBorders>
          </w:tcPr>
          <w:p w:rsidR="000D21BD" w:rsidRPr="000D21BD" w:rsidRDefault="000D21BD" w:rsidP="000D21BD">
            <w:pPr>
              <w:jc w:val="both"/>
              <w:rPr>
                <w:rFonts w:ascii="Arial Narrow" w:hAnsi="Arial Narrow"/>
                <w:sz w:val="18"/>
                <w:szCs w:val="18"/>
              </w:rPr>
            </w:pPr>
          </w:p>
        </w:tc>
        <w:tc>
          <w:tcPr>
            <w:tcW w:w="1243" w:type="dxa"/>
            <w:tcBorders>
              <w:bottom w:val="single" w:sz="8" w:space="0" w:color="4F81BD" w:themeColor="accent1"/>
            </w:tcBorders>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2104"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c>
          <w:tcPr>
            <w:tcW w:w="1783"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bl>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3. Bienes para su transformación o consumo (inventarios).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4. Inversiones financieras.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5. Bienes muebles, inmuebles e intangibles.</w:t>
      </w:r>
    </w:p>
    <w:tbl>
      <w:tblPr>
        <w:tblStyle w:val="Tabladelista1clara-nfasis11"/>
        <w:tblW w:w="0" w:type="auto"/>
        <w:jc w:val="center"/>
        <w:tblLook w:val="04A0" w:firstRow="1" w:lastRow="0" w:firstColumn="1" w:lastColumn="0" w:noHBand="0" w:noVBand="1"/>
      </w:tblPr>
      <w:tblGrid>
        <w:gridCol w:w="4111"/>
        <w:gridCol w:w="1735"/>
        <w:gridCol w:w="1236"/>
        <w:gridCol w:w="1387"/>
        <w:gridCol w:w="1454"/>
        <w:gridCol w:w="1600"/>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735"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Monto</w:t>
            </w:r>
          </w:p>
        </w:tc>
        <w:tc>
          <w:tcPr>
            <w:tcW w:w="1236"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del ejercicio</w:t>
            </w:r>
          </w:p>
        </w:tc>
        <w:tc>
          <w:tcPr>
            <w:tcW w:w="1387"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Depreciación acumulada</w:t>
            </w:r>
          </w:p>
        </w:tc>
        <w:tc>
          <w:tcPr>
            <w:tcW w:w="1454"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Tasa de depreciación</w:t>
            </w:r>
          </w:p>
        </w:tc>
        <w:tc>
          <w:tcPr>
            <w:tcW w:w="1600" w:type="dxa"/>
          </w:tcPr>
          <w:p w:rsidR="000D21BD" w:rsidRPr="000D21BD" w:rsidRDefault="000D21BD" w:rsidP="000D21BD">
            <w:pPr>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Estado en que se encuentran</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Height w:val="357"/>
          <w:jc w:val="center"/>
        </w:trPr>
        <w:tc>
          <w:tcPr>
            <w:cnfStyle w:val="001000000000" w:firstRow="0" w:lastRow="0" w:firstColumn="1" w:lastColumn="0" w:oddVBand="0" w:evenVBand="0" w:oddHBand="0" w:evenHBand="0" w:firstRowFirstColumn="0" w:firstRowLastColumn="0" w:lastRowFirstColumn="0" w:lastRowLastColumn="0"/>
            <w:tcW w:w="11523" w:type="dxa"/>
            <w:gridSpan w:val="6"/>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MUEBLES</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de administración</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w:t>
            </w:r>
            <w:r w:rsidR="00AD75D3">
              <w:rPr>
                <w:rFonts w:ascii="Arial Narrow" w:hAnsi="Arial Narrow" w:cs="Calibri"/>
                <w:color w:val="000000"/>
                <w:sz w:val="18"/>
                <w:szCs w:val="18"/>
              </w:rPr>
              <w:t>7</w:t>
            </w:r>
            <w:r w:rsidRPr="000D21BD">
              <w:rPr>
                <w:rFonts w:ascii="Arial Narrow" w:hAnsi="Arial Narrow" w:cs="Calibri"/>
                <w:color w:val="000000"/>
                <w:sz w:val="18"/>
                <w:szCs w:val="18"/>
              </w:rPr>
              <w:t>,</w:t>
            </w:r>
            <w:r w:rsidR="00AD75D3">
              <w:rPr>
                <w:rFonts w:ascii="Arial Narrow" w:hAnsi="Arial Narrow" w:cs="Calibri"/>
                <w:color w:val="000000"/>
                <w:sz w:val="18"/>
                <w:szCs w:val="18"/>
              </w:rPr>
              <w:t>838</w:t>
            </w:r>
            <w:r w:rsidRPr="000D21BD">
              <w:rPr>
                <w:rFonts w:ascii="Arial Narrow" w:hAnsi="Arial Narrow" w:cs="Calibri"/>
                <w:color w:val="000000"/>
                <w:sz w:val="18"/>
                <w:szCs w:val="18"/>
              </w:rPr>
              <w:t>,</w:t>
            </w:r>
            <w:r w:rsidR="00AD75D3">
              <w:rPr>
                <w:rFonts w:ascii="Arial Narrow" w:hAnsi="Arial Narrow" w:cs="Calibri"/>
                <w:color w:val="000000"/>
                <w:sz w:val="18"/>
                <w:szCs w:val="18"/>
              </w:rPr>
              <w:t>954</w:t>
            </w:r>
            <w:r w:rsidRPr="000D21BD">
              <w:rPr>
                <w:rFonts w:ascii="Arial Narrow" w:hAnsi="Arial Narrow" w:cs="Calibri"/>
                <w:color w:val="000000"/>
                <w:sz w:val="18"/>
                <w:szCs w:val="18"/>
              </w:rPr>
              <w:t>.</w:t>
            </w:r>
            <w:r w:rsidR="00AD75D3">
              <w:rPr>
                <w:rFonts w:ascii="Arial Narrow" w:hAnsi="Arial Narrow" w:cs="Calibri"/>
                <w:color w:val="000000"/>
                <w:sz w:val="18"/>
                <w:szCs w:val="18"/>
              </w:rPr>
              <w:t>80</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Mobiliario y equipo educacional y recreativo</w:t>
            </w:r>
          </w:p>
        </w:tc>
        <w:tc>
          <w:tcPr>
            <w:tcW w:w="173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1,497</w:t>
            </w:r>
            <w:r w:rsidRPr="000D21BD">
              <w:rPr>
                <w:rFonts w:ascii="Arial Narrow" w:hAnsi="Arial Narrow" w:cs="Calibri"/>
                <w:color w:val="000000"/>
                <w:sz w:val="18"/>
                <w:szCs w:val="18"/>
              </w:rPr>
              <w:t>,</w:t>
            </w:r>
            <w:r w:rsidR="00AD75D3">
              <w:rPr>
                <w:rFonts w:ascii="Arial Narrow" w:hAnsi="Arial Narrow" w:cs="Calibri"/>
                <w:color w:val="000000"/>
                <w:sz w:val="18"/>
                <w:szCs w:val="18"/>
              </w:rPr>
              <w:t>229</w:t>
            </w:r>
            <w:r w:rsidRPr="000D21BD">
              <w:rPr>
                <w:rFonts w:ascii="Arial Narrow" w:hAnsi="Arial Narrow" w:cs="Calibri"/>
                <w:color w:val="000000"/>
                <w:sz w:val="18"/>
                <w:szCs w:val="18"/>
              </w:rPr>
              <w:t>.</w:t>
            </w:r>
            <w:r w:rsidR="00AD75D3">
              <w:rPr>
                <w:rFonts w:ascii="Arial Narrow" w:hAnsi="Arial Narrow" w:cs="Calibri"/>
                <w:color w:val="000000"/>
                <w:sz w:val="18"/>
                <w:szCs w:val="18"/>
              </w:rPr>
              <w:t>72</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highlight w:val="yellow"/>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Equipo e instrumental médico y de laboratorio</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331,572.08</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Vehículos y equipo de transporte</w:t>
            </w:r>
          </w:p>
        </w:tc>
        <w:tc>
          <w:tcPr>
            <w:tcW w:w="173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w:t>
            </w:r>
            <w:r w:rsidR="00AD75D3">
              <w:rPr>
                <w:rFonts w:ascii="Arial Narrow" w:hAnsi="Arial Narrow" w:cs="Calibri"/>
                <w:color w:val="000000"/>
                <w:sz w:val="18"/>
                <w:szCs w:val="18"/>
              </w:rPr>
              <w:t>6</w:t>
            </w:r>
            <w:r w:rsidRPr="000D21BD">
              <w:rPr>
                <w:rFonts w:ascii="Arial Narrow" w:hAnsi="Arial Narrow" w:cs="Calibri"/>
                <w:color w:val="000000"/>
                <w:sz w:val="18"/>
                <w:szCs w:val="18"/>
              </w:rPr>
              <w:t>,</w:t>
            </w:r>
            <w:r w:rsidR="00AD75D3">
              <w:rPr>
                <w:rFonts w:ascii="Arial Narrow" w:hAnsi="Arial Narrow" w:cs="Calibri"/>
                <w:color w:val="000000"/>
                <w:sz w:val="18"/>
                <w:szCs w:val="18"/>
              </w:rPr>
              <w:t>194</w:t>
            </w:r>
            <w:r w:rsidRPr="000D21BD">
              <w:rPr>
                <w:rFonts w:ascii="Arial Narrow" w:hAnsi="Arial Narrow" w:cs="Calibri"/>
                <w:color w:val="000000"/>
                <w:sz w:val="18"/>
                <w:szCs w:val="18"/>
              </w:rPr>
              <w:t>,</w:t>
            </w:r>
            <w:r w:rsidR="00AD75D3">
              <w:rPr>
                <w:rFonts w:ascii="Arial Narrow" w:hAnsi="Arial Narrow" w:cs="Calibri"/>
                <w:color w:val="000000"/>
                <w:sz w:val="18"/>
                <w:szCs w:val="18"/>
              </w:rPr>
              <w:t>192</w:t>
            </w:r>
            <w:r w:rsidRPr="000D21BD">
              <w:rPr>
                <w:rFonts w:ascii="Arial Narrow" w:hAnsi="Arial Narrow" w:cs="Calibri"/>
                <w:color w:val="000000"/>
                <w:sz w:val="18"/>
                <w:szCs w:val="18"/>
              </w:rPr>
              <w:t>.37</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Dos en mal estado</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cs="Calibri"/>
                <w:color w:val="000000"/>
                <w:sz w:val="18"/>
                <w:szCs w:val="18"/>
              </w:rPr>
              <w:t>Equipo de defensa y seguridad</w:t>
            </w:r>
          </w:p>
        </w:tc>
        <w:tc>
          <w:tcPr>
            <w:tcW w:w="173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50,740.13</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Buen estado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vAlign w:val="center"/>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Maquinaria, otros equipos y herramientas</w:t>
            </w:r>
          </w:p>
        </w:tc>
        <w:tc>
          <w:tcPr>
            <w:tcW w:w="1735" w:type="dxa"/>
            <w:vAlign w:val="center"/>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cs="Calibri"/>
                <w:color w:val="000000"/>
                <w:sz w:val="18"/>
                <w:szCs w:val="18"/>
              </w:rPr>
              <w:t xml:space="preserve">           $   2,220,18</w:t>
            </w:r>
            <w:r w:rsidR="00AD75D3">
              <w:rPr>
                <w:rFonts w:ascii="Arial Narrow" w:hAnsi="Arial Narrow" w:cs="Calibri"/>
                <w:color w:val="000000"/>
                <w:sz w:val="18"/>
                <w:szCs w:val="18"/>
              </w:rPr>
              <w:t>9</w:t>
            </w:r>
            <w:r w:rsidRPr="000D21BD">
              <w:rPr>
                <w:rFonts w:ascii="Arial Narrow" w:hAnsi="Arial Narrow" w:cs="Calibri"/>
                <w:color w:val="000000"/>
                <w:sz w:val="18"/>
                <w:szCs w:val="18"/>
              </w:rPr>
              <w:t>.91</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 Estado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p>
          <w:p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MUEBLES</w:t>
            </w:r>
          </w:p>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$ 6</w:t>
            </w:r>
            <w:r w:rsidR="00AD75D3">
              <w:rPr>
                <w:rFonts w:ascii="Arial Narrow" w:hAnsi="Arial Narrow"/>
                <w:b/>
                <w:sz w:val="18"/>
                <w:szCs w:val="18"/>
                <w:u w:val="single"/>
              </w:rPr>
              <w:t>8</w:t>
            </w:r>
            <w:r w:rsidRPr="000D21BD">
              <w:rPr>
                <w:rFonts w:ascii="Arial Narrow" w:hAnsi="Arial Narrow"/>
                <w:b/>
                <w:sz w:val="18"/>
                <w:szCs w:val="18"/>
                <w:u w:val="single"/>
              </w:rPr>
              <w:t>,</w:t>
            </w:r>
            <w:r w:rsidR="00AD75D3">
              <w:rPr>
                <w:rFonts w:ascii="Arial Narrow" w:hAnsi="Arial Narrow"/>
                <w:b/>
                <w:sz w:val="18"/>
                <w:szCs w:val="18"/>
                <w:u w:val="single"/>
              </w:rPr>
              <w:t>132</w:t>
            </w:r>
            <w:r w:rsidRPr="000D21BD">
              <w:rPr>
                <w:rFonts w:ascii="Arial Narrow" w:hAnsi="Arial Narrow"/>
                <w:b/>
                <w:sz w:val="18"/>
                <w:szCs w:val="18"/>
                <w:u w:val="single"/>
              </w:rPr>
              <w:t>,</w:t>
            </w:r>
            <w:r w:rsidR="00AD75D3">
              <w:rPr>
                <w:rFonts w:ascii="Arial Narrow" w:hAnsi="Arial Narrow"/>
                <w:b/>
                <w:sz w:val="18"/>
                <w:szCs w:val="18"/>
                <w:u w:val="single"/>
              </w:rPr>
              <w:t>879</w:t>
            </w:r>
            <w:r w:rsidRPr="000D21BD">
              <w:rPr>
                <w:rFonts w:ascii="Arial Narrow" w:hAnsi="Arial Narrow"/>
                <w:b/>
                <w:sz w:val="18"/>
                <w:szCs w:val="18"/>
                <w:u w:val="single"/>
              </w:rPr>
              <w:t>.</w:t>
            </w:r>
            <w:r w:rsidR="00AD75D3">
              <w:rPr>
                <w:rFonts w:ascii="Arial Narrow" w:hAnsi="Arial Narrow"/>
                <w:b/>
                <w:sz w:val="18"/>
                <w:szCs w:val="18"/>
                <w:u w:val="single"/>
              </w:rPr>
              <w:t>01</w:t>
            </w: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6"/>
                <w:szCs w:val="16"/>
              </w:rPr>
            </w:pPr>
            <w:r w:rsidRPr="000D21BD">
              <w:rPr>
                <w:rFonts w:ascii="Arial Narrow" w:hAnsi="Arial Narrow"/>
                <w:sz w:val="16"/>
                <w:szCs w:val="16"/>
              </w:rPr>
              <w:t xml:space="preserve">ACTIVOS INTANGIBLES </w:t>
            </w:r>
          </w:p>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Software</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83,638.71</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Licencias</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Cs/>
                <w:sz w:val="18"/>
                <w:szCs w:val="18"/>
              </w:rPr>
            </w:pPr>
            <w:r w:rsidRPr="000D21BD">
              <w:rPr>
                <w:rFonts w:ascii="Arial Narrow" w:hAnsi="Arial Narrow"/>
                <w:bCs/>
                <w:sz w:val="18"/>
                <w:szCs w:val="18"/>
              </w:rPr>
              <w:t>$ 1,179,232.80</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b w:val="0"/>
                <w:bCs w:val="0"/>
                <w:sz w:val="16"/>
                <w:szCs w:val="16"/>
              </w:rPr>
            </w:pPr>
          </w:p>
          <w:p w:rsidR="000D21BD" w:rsidRPr="000D21BD" w:rsidRDefault="000D21BD" w:rsidP="000D21BD">
            <w:pPr>
              <w:jc w:val="both"/>
              <w:rPr>
                <w:rFonts w:ascii="Arial Narrow" w:hAnsi="Arial Narrow"/>
                <w:sz w:val="18"/>
                <w:szCs w:val="18"/>
              </w:rPr>
            </w:pPr>
            <w:r w:rsidRPr="000D21BD">
              <w:rPr>
                <w:rFonts w:ascii="Arial Narrow" w:hAnsi="Arial Narrow"/>
                <w:sz w:val="16"/>
                <w:szCs w:val="16"/>
              </w:rPr>
              <w:t>TOTAL, EN ACTIVOS INTANGIBLES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r w:rsidRPr="000D21BD">
              <w:rPr>
                <w:rFonts w:ascii="Arial Narrow" w:hAnsi="Arial Narrow"/>
                <w:b/>
                <w:sz w:val="18"/>
                <w:szCs w:val="18"/>
                <w:u w:val="single"/>
              </w:rPr>
              <w:t>$1,262,871.51</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BIENES INMUEBLES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u w:val="single"/>
              </w:rPr>
            </w:pP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Terreno </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6,985,101.00</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Edificación no habitacional</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1,462,517.83</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Regular</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sz w:val="18"/>
                <w:szCs w:val="18"/>
              </w:rPr>
            </w:pPr>
            <w:bookmarkStart w:id="2" w:name="_Hlk37419683"/>
            <w:r w:rsidRPr="000D21BD">
              <w:rPr>
                <w:rFonts w:ascii="Arial Narrow" w:hAnsi="Arial Narrow"/>
                <w:b w:val="0"/>
                <w:bCs w:val="0"/>
                <w:sz w:val="18"/>
                <w:szCs w:val="18"/>
              </w:rPr>
              <w:t>Construcciones en proceso en bienes propios</w:t>
            </w:r>
          </w:p>
        </w:tc>
        <w:tc>
          <w:tcPr>
            <w:tcW w:w="1735" w:type="dxa"/>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$ 5</w:t>
            </w:r>
            <w:r w:rsidR="00AD75D3">
              <w:rPr>
                <w:rFonts w:ascii="Arial Narrow" w:hAnsi="Arial Narrow"/>
                <w:sz w:val="18"/>
                <w:szCs w:val="18"/>
              </w:rPr>
              <w:t>5</w:t>
            </w:r>
            <w:r w:rsidRPr="000D21BD">
              <w:rPr>
                <w:rFonts w:ascii="Arial Narrow" w:hAnsi="Arial Narrow"/>
                <w:sz w:val="18"/>
                <w:szCs w:val="18"/>
              </w:rPr>
              <w:t>,</w:t>
            </w:r>
            <w:r w:rsidR="00AD75D3">
              <w:rPr>
                <w:rFonts w:ascii="Arial Narrow" w:hAnsi="Arial Narrow"/>
                <w:sz w:val="18"/>
                <w:szCs w:val="18"/>
              </w:rPr>
              <w:t>237</w:t>
            </w:r>
            <w:r w:rsidRPr="000D21BD">
              <w:rPr>
                <w:rFonts w:ascii="Arial Narrow" w:hAnsi="Arial Narrow"/>
                <w:sz w:val="18"/>
                <w:szCs w:val="18"/>
              </w:rPr>
              <w:t>,</w:t>
            </w:r>
            <w:r w:rsidR="00AD75D3">
              <w:rPr>
                <w:rFonts w:ascii="Arial Narrow" w:hAnsi="Arial Narrow"/>
                <w:sz w:val="18"/>
                <w:szCs w:val="18"/>
              </w:rPr>
              <w:t>655</w:t>
            </w:r>
            <w:r w:rsidRPr="000D21BD">
              <w:rPr>
                <w:rFonts w:ascii="Arial Narrow" w:hAnsi="Arial Narrow"/>
                <w:sz w:val="18"/>
                <w:szCs w:val="18"/>
              </w:rPr>
              <w:t>.</w:t>
            </w:r>
            <w:r w:rsidR="00AD75D3">
              <w:rPr>
                <w:rFonts w:ascii="Arial Narrow" w:hAnsi="Arial Narrow"/>
                <w:sz w:val="18"/>
                <w:szCs w:val="18"/>
              </w:rPr>
              <w:t>97</w:t>
            </w:r>
          </w:p>
        </w:tc>
        <w:tc>
          <w:tcPr>
            <w:tcW w:w="1236"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38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454"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0</w:t>
            </w:r>
          </w:p>
        </w:tc>
        <w:tc>
          <w:tcPr>
            <w:tcW w:w="1600"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Bueno </w:t>
            </w:r>
          </w:p>
        </w:tc>
      </w:tr>
      <w:bookmarkEnd w:id="2"/>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111" w:type="dxa"/>
          </w:tcPr>
          <w:p w:rsidR="000D21BD" w:rsidRPr="000D21BD" w:rsidRDefault="000D21BD" w:rsidP="000D21BD">
            <w:pPr>
              <w:jc w:val="both"/>
              <w:rPr>
                <w:rFonts w:ascii="Arial Narrow" w:hAnsi="Arial Narrow"/>
                <w:b w:val="0"/>
                <w:bCs w:val="0"/>
                <w:sz w:val="16"/>
                <w:szCs w:val="16"/>
              </w:rPr>
            </w:pPr>
          </w:p>
          <w:p w:rsidR="000D21BD" w:rsidRPr="000D21BD" w:rsidRDefault="000D21BD" w:rsidP="000D21BD">
            <w:pPr>
              <w:jc w:val="both"/>
              <w:rPr>
                <w:rFonts w:ascii="Arial Narrow" w:hAnsi="Arial Narrow"/>
                <w:sz w:val="16"/>
                <w:szCs w:val="16"/>
              </w:rPr>
            </w:pPr>
            <w:r w:rsidRPr="000D21BD">
              <w:rPr>
                <w:rFonts w:ascii="Arial Narrow" w:hAnsi="Arial Narrow"/>
                <w:sz w:val="16"/>
                <w:szCs w:val="16"/>
              </w:rPr>
              <w:t>TOTAL, EN BIENES INMUEBLES</w:t>
            </w:r>
          </w:p>
        </w:tc>
        <w:tc>
          <w:tcPr>
            <w:tcW w:w="173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AD75D3">
              <w:rPr>
                <w:rFonts w:ascii="Arial Narrow" w:hAnsi="Arial Narrow"/>
                <w:b/>
                <w:sz w:val="18"/>
                <w:szCs w:val="18"/>
              </w:rPr>
              <w:t>63</w:t>
            </w:r>
            <w:r w:rsidRPr="000D21BD">
              <w:rPr>
                <w:rFonts w:ascii="Arial Narrow" w:hAnsi="Arial Narrow"/>
                <w:b/>
                <w:sz w:val="18"/>
                <w:szCs w:val="18"/>
              </w:rPr>
              <w:t>,</w:t>
            </w:r>
            <w:r w:rsidR="00D70822">
              <w:rPr>
                <w:rFonts w:ascii="Arial Narrow" w:hAnsi="Arial Narrow"/>
                <w:b/>
                <w:sz w:val="18"/>
                <w:szCs w:val="18"/>
              </w:rPr>
              <w:t>685</w:t>
            </w:r>
            <w:r w:rsidRPr="000D21BD">
              <w:rPr>
                <w:rFonts w:ascii="Arial Narrow" w:hAnsi="Arial Narrow"/>
                <w:b/>
                <w:sz w:val="18"/>
                <w:szCs w:val="18"/>
              </w:rPr>
              <w:t>,</w:t>
            </w:r>
            <w:r w:rsidR="00D70822">
              <w:rPr>
                <w:rFonts w:ascii="Arial Narrow" w:hAnsi="Arial Narrow"/>
                <w:b/>
                <w:sz w:val="18"/>
                <w:szCs w:val="18"/>
              </w:rPr>
              <w:t>274</w:t>
            </w:r>
            <w:r w:rsidRPr="000D21BD">
              <w:rPr>
                <w:rFonts w:ascii="Arial Narrow" w:hAnsi="Arial Narrow"/>
                <w:b/>
                <w:sz w:val="18"/>
                <w:szCs w:val="18"/>
              </w:rPr>
              <w:t>.</w:t>
            </w:r>
            <w:r w:rsidR="00D70822">
              <w:rPr>
                <w:rFonts w:ascii="Arial Narrow" w:hAnsi="Arial Narrow"/>
                <w:b/>
                <w:sz w:val="18"/>
                <w:szCs w:val="18"/>
              </w:rPr>
              <w:t>80</w:t>
            </w:r>
          </w:p>
        </w:tc>
        <w:tc>
          <w:tcPr>
            <w:tcW w:w="1236"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38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454"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c>
          <w:tcPr>
            <w:tcW w:w="1600"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p>
        </w:tc>
      </w:tr>
    </w:tbl>
    <w:p w:rsidR="00D70822" w:rsidRDefault="00D70822" w:rsidP="000D21BD">
      <w:pPr>
        <w:ind w:left="1440"/>
        <w:contextualSpacing/>
        <w:jc w:val="both"/>
        <w:rPr>
          <w:rFonts w:ascii="Arial Narrow" w:eastAsia="Times New Roman" w:hAnsi="Arial Narrow" w:cs="Times New Roman"/>
        </w:rPr>
      </w:pPr>
    </w:p>
    <w:p w:rsidR="00992987" w:rsidRPr="000D21BD" w:rsidRDefault="00992987" w:rsidP="000D21BD">
      <w:pPr>
        <w:ind w:left="1440"/>
        <w:contextualSpacing/>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6. Estimaciones y deterioros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lastRenderedPageBreak/>
        <w:t xml:space="preserve">7. </w:t>
      </w:r>
      <w:r w:rsidRPr="000D21BD">
        <w:rPr>
          <w:rFonts w:ascii="Arial Narrow" w:eastAsia="Times New Roman" w:hAnsi="Arial Narrow" w:cs="Times New Roman"/>
          <w:b/>
          <w:u w:val="single"/>
        </w:rPr>
        <w:t xml:space="preserve">Otros </w:t>
      </w:r>
      <w:r w:rsidRPr="000D21BD">
        <w:rPr>
          <w:rFonts w:ascii="Arial Narrow" w:eastAsia="Times New Roman" w:hAnsi="Arial Narrow" w:cs="Times New Roman"/>
          <w:b/>
        </w:rPr>
        <w:t xml:space="preserve">activos   </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b/>
        </w:rPr>
        <w:t xml:space="preserve"> </w:t>
      </w: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u w:val="single"/>
        </w:rPr>
      </w:pPr>
      <w:r w:rsidRPr="000D21BD">
        <w:rPr>
          <w:rFonts w:ascii="Arial Narrow" w:eastAsia="Times New Roman" w:hAnsi="Arial Narrow" w:cs="Times New Roman"/>
          <w:b/>
          <w:u w:val="single"/>
        </w:rPr>
        <w:t>PASIVO.</w:t>
      </w:r>
    </w:p>
    <w:tbl>
      <w:tblPr>
        <w:tblStyle w:val="Tabladelista1clara-nfasis11"/>
        <w:tblW w:w="8897" w:type="dxa"/>
        <w:tblInd w:w="2119" w:type="dxa"/>
        <w:tblLook w:val="04A0" w:firstRow="1" w:lastRow="0" w:firstColumn="1" w:lastColumn="0" w:noHBand="0" w:noVBand="1"/>
      </w:tblPr>
      <w:tblGrid>
        <w:gridCol w:w="3455"/>
        <w:gridCol w:w="1615"/>
        <w:gridCol w:w="1999"/>
        <w:gridCol w:w="1828"/>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Concepto</w:t>
            </w:r>
          </w:p>
        </w:tc>
        <w:tc>
          <w:tcPr>
            <w:tcW w:w="1615"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Importe</w:t>
            </w:r>
          </w:p>
        </w:tc>
        <w:tc>
          <w:tcPr>
            <w:tcW w:w="1999"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Factibilidad de pago</w:t>
            </w:r>
          </w:p>
        </w:tc>
        <w:tc>
          <w:tcPr>
            <w:tcW w:w="1828"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Vencimiento</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8897" w:type="dxa"/>
            <w:gridSpan w:val="4"/>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Pasivos a corto plazo</w:t>
            </w:r>
          </w:p>
        </w:tc>
      </w:tr>
      <w:tr w:rsidR="000D21BD" w:rsidRPr="000D21BD" w:rsidTr="007D002F">
        <w:trPr>
          <w:trHeight w:val="116"/>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Servicios personales por pagar a corto plazo</w:t>
            </w:r>
          </w:p>
        </w:tc>
        <w:tc>
          <w:tcPr>
            <w:tcW w:w="161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w:t>
            </w:r>
            <w:r w:rsidR="00D70822">
              <w:rPr>
                <w:rFonts w:ascii="Arial Narrow" w:hAnsi="Arial Narrow"/>
                <w:color w:val="000000" w:themeColor="text1"/>
                <w:sz w:val="18"/>
                <w:szCs w:val="18"/>
              </w:rPr>
              <w:t>2</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464</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892</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19</w:t>
            </w:r>
          </w:p>
        </w:tc>
        <w:tc>
          <w:tcPr>
            <w:tcW w:w="1999"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 xml:space="preserve">Proveedores por pagar a corto plazo                         </w:t>
            </w:r>
          </w:p>
        </w:tc>
        <w:tc>
          <w:tcPr>
            <w:tcW w:w="1615" w:type="dxa"/>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 xml:space="preserve">  </w:t>
            </w:r>
            <w:r w:rsidRPr="000D21BD">
              <w:rPr>
                <w:rFonts w:ascii="Arial Narrow" w:hAnsi="Arial Narrow"/>
                <w:color w:val="000000" w:themeColor="text1"/>
                <w:sz w:val="18"/>
                <w:szCs w:val="18"/>
              </w:rPr>
              <w:t xml:space="preserve">   </w:t>
            </w:r>
            <w:r w:rsidR="00D70822">
              <w:rPr>
                <w:rFonts w:ascii="Arial Narrow" w:hAnsi="Arial Narrow"/>
                <w:color w:val="000000" w:themeColor="text1"/>
                <w:sz w:val="18"/>
                <w:szCs w:val="18"/>
              </w:rPr>
              <w:t>59</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568</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36</w:t>
            </w:r>
          </w:p>
        </w:tc>
        <w:tc>
          <w:tcPr>
            <w:tcW w:w="1999"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Contratistas de obra por pagar a corto plazo</w:t>
            </w:r>
          </w:p>
        </w:tc>
        <w:tc>
          <w:tcPr>
            <w:tcW w:w="1615"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3,065,811.48</w:t>
            </w:r>
          </w:p>
        </w:tc>
        <w:tc>
          <w:tcPr>
            <w:tcW w:w="1999"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90 días</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Retenciones y contribuciones por pagar a corto plazo</w:t>
            </w:r>
          </w:p>
        </w:tc>
        <w:tc>
          <w:tcPr>
            <w:tcW w:w="1615" w:type="dxa"/>
          </w:tcPr>
          <w:p w:rsidR="000D21BD" w:rsidRPr="000D21BD" w:rsidRDefault="000D21BD" w:rsidP="000D21BD">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w:t>
            </w:r>
            <w:r w:rsidR="00D70822">
              <w:rPr>
                <w:rFonts w:ascii="Arial Narrow" w:hAnsi="Arial Narrow"/>
                <w:color w:val="000000" w:themeColor="text1"/>
                <w:sz w:val="18"/>
                <w:szCs w:val="18"/>
              </w:rPr>
              <w:t>8</w:t>
            </w:r>
            <w:r w:rsidRPr="000D21BD">
              <w:rPr>
                <w:rFonts w:ascii="Arial Narrow" w:hAnsi="Arial Narrow"/>
                <w:color w:val="000000" w:themeColor="text1"/>
                <w:sz w:val="18"/>
                <w:szCs w:val="18"/>
              </w:rPr>
              <w:t>,0</w:t>
            </w:r>
            <w:r w:rsidR="00D70822">
              <w:rPr>
                <w:rFonts w:ascii="Arial Narrow" w:hAnsi="Arial Narrow"/>
                <w:color w:val="000000" w:themeColor="text1"/>
                <w:sz w:val="18"/>
                <w:szCs w:val="18"/>
              </w:rPr>
              <w:t>42</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982</w:t>
            </w:r>
            <w:r w:rsidRPr="000D21BD">
              <w:rPr>
                <w:rFonts w:ascii="Arial Narrow" w:hAnsi="Arial Narrow"/>
                <w:color w:val="000000" w:themeColor="text1"/>
                <w:sz w:val="18"/>
                <w:szCs w:val="18"/>
              </w:rPr>
              <w:t>.</w:t>
            </w:r>
            <w:r w:rsidR="00D70822">
              <w:rPr>
                <w:rFonts w:ascii="Arial Narrow" w:hAnsi="Arial Narrow"/>
                <w:color w:val="000000" w:themeColor="text1"/>
                <w:sz w:val="18"/>
                <w:szCs w:val="18"/>
              </w:rPr>
              <w:t>41</w:t>
            </w:r>
          </w:p>
        </w:tc>
        <w:tc>
          <w:tcPr>
            <w:tcW w:w="1999"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17 días</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3455" w:type="dxa"/>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Otros documentos por pagar a corto plazo</w:t>
            </w:r>
          </w:p>
        </w:tc>
        <w:tc>
          <w:tcPr>
            <w:tcW w:w="1615"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color w:val="000000" w:themeColor="text1"/>
                <w:sz w:val="18"/>
                <w:szCs w:val="18"/>
              </w:rPr>
            </w:pPr>
            <w:r w:rsidRPr="000D21BD">
              <w:rPr>
                <w:rFonts w:ascii="Arial Narrow" w:hAnsi="Arial Narrow"/>
                <w:color w:val="000000" w:themeColor="text1"/>
                <w:sz w:val="18"/>
                <w:szCs w:val="18"/>
              </w:rPr>
              <w:t xml:space="preserve">   $                 807.39</w:t>
            </w:r>
          </w:p>
        </w:tc>
        <w:tc>
          <w:tcPr>
            <w:tcW w:w="1999"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viable</w:t>
            </w:r>
          </w:p>
        </w:tc>
        <w:tc>
          <w:tcPr>
            <w:tcW w:w="1828" w:type="dxa"/>
          </w:tcPr>
          <w:p w:rsidR="000D21BD" w:rsidRPr="000D21BD" w:rsidRDefault="000D21BD" w:rsidP="000D21BD">
            <w:pPr>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Igual a 30 días</w:t>
            </w:r>
          </w:p>
        </w:tc>
      </w:tr>
    </w:tbl>
    <w:p w:rsidR="000D21BD" w:rsidRPr="000D21BD" w:rsidRDefault="000D21BD" w:rsidP="000D21BD">
      <w:pPr>
        <w:jc w:val="both"/>
        <w:rPr>
          <w:rFonts w:ascii="Arial Narrow" w:eastAsia="Times New Roman" w:hAnsi="Arial Narrow" w:cs="Times New Roman"/>
          <w:sz w:val="16"/>
          <w:szCs w:val="16"/>
        </w:rPr>
      </w:pPr>
    </w:p>
    <w:p w:rsidR="000D21BD" w:rsidRPr="000D21BD" w:rsidRDefault="000D21BD" w:rsidP="000D21BD">
      <w:pPr>
        <w:jc w:val="both"/>
        <w:rPr>
          <w:rFonts w:ascii="Arial Narrow" w:eastAsia="Times New Roman" w:hAnsi="Arial Narrow" w:cs="Times New Roman"/>
          <w:color w:val="FF0000"/>
          <w:sz w:val="16"/>
          <w:szCs w:val="16"/>
        </w:rPr>
      </w:pPr>
      <w:r w:rsidRPr="000D21BD">
        <w:rPr>
          <w:rFonts w:ascii="Arial Narrow" w:eastAsia="Times New Roman" w:hAnsi="Arial Narrow" w:cs="Times New Roman"/>
        </w:rPr>
        <w:t>Los adeudos anteriores, son generados por las operaciones normales del Tribunal Superior de Justicia y se pagan en el corto plazo.</w:t>
      </w:r>
      <w:r w:rsidRPr="000D21BD">
        <w:rPr>
          <w:rFonts w:ascii="Arial Narrow" w:eastAsia="Times New Roman" w:hAnsi="Arial Narrow" w:cs="Times New Roman"/>
          <w:sz w:val="16"/>
          <w:szCs w:val="16"/>
        </w:rPr>
        <w:t xml:space="preserve"> </w:t>
      </w:r>
    </w:p>
    <w:p w:rsidR="000D21BD" w:rsidRPr="000D21BD" w:rsidRDefault="000D21BD" w:rsidP="000D21BD">
      <w:pPr>
        <w:rPr>
          <w:rFonts w:ascii="Arial Narrow" w:eastAsia="Times New Roman" w:hAnsi="Arial Narrow" w:cs="Times New Roman"/>
          <w:b/>
        </w:rPr>
      </w:pPr>
      <w:r w:rsidRPr="000D21BD">
        <w:rPr>
          <w:rFonts w:ascii="Arial Narrow" w:eastAsia="Times New Roman" w:hAnsi="Arial Narrow" w:cs="Times New Roman"/>
          <w:b/>
        </w:rPr>
        <w:t>Fondos y bienes de terceros en garantía y/o administración a corto plazo.</w:t>
      </w:r>
    </w:p>
    <w:p w:rsidR="000D21BD" w:rsidRPr="000D21BD" w:rsidRDefault="000D21BD" w:rsidP="000D21BD">
      <w:pPr>
        <w:jc w:val="both"/>
        <w:rPr>
          <w:rFonts w:ascii="Arial Narrow" w:eastAsia="Times New Roman" w:hAnsi="Arial Narrow" w:cs="Times New Roman"/>
          <w:bCs/>
        </w:rPr>
      </w:pPr>
      <w:r w:rsidRPr="000D21BD">
        <w:rPr>
          <w:rFonts w:ascii="Arial Narrow" w:eastAsia="Times New Roman" w:hAnsi="Arial Narrow" w:cs="Times New Roman"/>
          <w:bCs/>
        </w:rPr>
        <w:t>El Fondo Auxiliar para la Impartición de Justicia posee los siguientes valores:</w:t>
      </w:r>
    </w:p>
    <w:tbl>
      <w:tblPr>
        <w:tblStyle w:val="Tabladelista1clara-nfasis11"/>
        <w:tblW w:w="0" w:type="auto"/>
        <w:tblInd w:w="2044" w:type="dxa"/>
        <w:tblLook w:val="04A0" w:firstRow="1" w:lastRow="0" w:firstColumn="1" w:lastColumn="0" w:noHBand="0" w:noVBand="1"/>
      </w:tblPr>
      <w:tblGrid>
        <w:gridCol w:w="7114"/>
        <w:gridCol w:w="1925"/>
      </w:tblGrid>
      <w:tr w:rsidR="000D21BD" w:rsidRPr="000D21BD" w:rsidTr="007D00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Fianzas</w:t>
            </w:r>
          </w:p>
        </w:tc>
        <w:tc>
          <w:tcPr>
            <w:tcW w:w="1925" w:type="dxa"/>
            <w:vAlign w:val="center"/>
          </w:tcPr>
          <w:p w:rsidR="000D21BD" w:rsidRPr="000D21BD" w:rsidRDefault="000D21BD" w:rsidP="000D21BD">
            <w:pPr>
              <w:jc w:val="right"/>
              <w:cnfStyle w:val="100000000000" w:firstRow="1" w:lastRow="0" w:firstColumn="0" w:lastColumn="0" w:oddVBand="0" w:evenVBand="0" w:oddHBand="0" w:evenHBand="0" w:firstRowFirstColumn="0" w:firstRowLastColumn="0" w:lastRowFirstColumn="0" w:lastRowLastColumn="0"/>
              <w:rPr>
                <w:rFonts w:ascii="Arial Narrow" w:hAnsi="Arial Narrow"/>
                <w:b w:val="0"/>
                <w:bCs w:val="0"/>
              </w:rPr>
            </w:pPr>
            <w:r w:rsidRPr="000D21BD">
              <w:rPr>
                <w:rFonts w:ascii="Arial Narrow" w:hAnsi="Arial Narrow" w:cs="Calibri"/>
                <w:b w:val="0"/>
                <w:bCs w:val="0"/>
                <w:color w:val="000000"/>
              </w:rPr>
              <w:t>$   1,99</w:t>
            </w:r>
            <w:r w:rsidR="00D70822">
              <w:rPr>
                <w:rFonts w:ascii="Arial Narrow" w:hAnsi="Arial Narrow" w:cs="Calibri"/>
                <w:b w:val="0"/>
                <w:bCs w:val="0"/>
                <w:color w:val="000000"/>
              </w:rPr>
              <w:t>0</w:t>
            </w:r>
            <w:r w:rsidRPr="000D21BD">
              <w:rPr>
                <w:rFonts w:ascii="Arial Narrow" w:hAnsi="Arial Narrow" w:cs="Calibri"/>
                <w:b w:val="0"/>
                <w:bCs w:val="0"/>
                <w:color w:val="000000"/>
              </w:rPr>
              <w:t>,315.48</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Cauciones</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5,0</w:t>
            </w:r>
            <w:r w:rsidR="00D70822">
              <w:rPr>
                <w:rFonts w:ascii="Arial Narrow" w:hAnsi="Arial Narrow" w:cs="Calibri"/>
                <w:color w:val="000000"/>
              </w:rPr>
              <w:t>61</w:t>
            </w:r>
            <w:r w:rsidRPr="000D21BD">
              <w:rPr>
                <w:rFonts w:ascii="Arial Narrow" w:hAnsi="Arial Narrow" w:cs="Calibri"/>
                <w:color w:val="000000"/>
              </w:rPr>
              <w:t>,</w:t>
            </w:r>
            <w:r w:rsidR="00D70822">
              <w:rPr>
                <w:rFonts w:ascii="Arial Narrow" w:hAnsi="Arial Narrow" w:cs="Calibri"/>
                <w:color w:val="000000"/>
              </w:rPr>
              <w:t>756</w:t>
            </w:r>
            <w:r w:rsidRPr="000D21BD">
              <w:rPr>
                <w:rFonts w:ascii="Arial Narrow" w:hAnsi="Arial Narrow" w:cs="Calibri"/>
                <w:color w:val="000000"/>
              </w:rPr>
              <w:t>.</w:t>
            </w:r>
            <w:r w:rsidR="00D70822">
              <w:rPr>
                <w:rFonts w:ascii="Arial Narrow" w:hAnsi="Arial Narrow" w:cs="Calibri"/>
                <w:color w:val="000000"/>
              </w:rPr>
              <w:t>74</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Otros ingresos</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        40,318.99</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Reparación del daño</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xml:space="preserve">$   </w:t>
            </w:r>
            <w:r w:rsidR="00D70822">
              <w:rPr>
                <w:rFonts w:ascii="Arial Narrow" w:hAnsi="Arial Narrow" w:cs="Calibri"/>
                <w:color w:val="000000"/>
              </w:rPr>
              <w:t>2</w:t>
            </w:r>
            <w:r w:rsidRPr="000D21BD">
              <w:rPr>
                <w:rFonts w:ascii="Arial Narrow" w:hAnsi="Arial Narrow" w:cs="Calibri"/>
                <w:color w:val="000000"/>
              </w:rPr>
              <w:t>,</w:t>
            </w:r>
            <w:r w:rsidR="00D70822">
              <w:rPr>
                <w:rFonts w:ascii="Arial Narrow" w:hAnsi="Arial Narrow" w:cs="Calibri"/>
                <w:color w:val="000000"/>
              </w:rPr>
              <w:t>983</w:t>
            </w:r>
            <w:r w:rsidRPr="000D21BD">
              <w:rPr>
                <w:rFonts w:ascii="Arial Narrow" w:hAnsi="Arial Narrow" w:cs="Calibri"/>
                <w:color w:val="000000"/>
              </w:rPr>
              <w:t>,</w:t>
            </w:r>
            <w:r w:rsidR="00D70822">
              <w:rPr>
                <w:rFonts w:ascii="Arial Narrow" w:hAnsi="Arial Narrow" w:cs="Calibri"/>
                <w:color w:val="000000"/>
              </w:rPr>
              <w:t>476</w:t>
            </w:r>
            <w:r w:rsidRPr="000D21BD">
              <w:rPr>
                <w:rFonts w:ascii="Arial Narrow" w:hAnsi="Arial Narrow" w:cs="Calibri"/>
                <w:color w:val="000000"/>
              </w:rPr>
              <w:t>.90</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 xml:space="preserve">Conmutación  </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690</w:t>
            </w:r>
            <w:r w:rsidRPr="000D21BD">
              <w:rPr>
                <w:rFonts w:ascii="Arial Narrow" w:hAnsi="Arial Narrow" w:cs="Calibri"/>
                <w:color w:val="000000"/>
              </w:rPr>
              <w:t>,</w:t>
            </w:r>
            <w:r w:rsidR="00EB678B">
              <w:rPr>
                <w:rFonts w:ascii="Arial Narrow" w:hAnsi="Arial Narrow" w:cs="Calibri"/>
                <w:color w:val="000000"/>
              </w:rPr>
              <w:t>862</w:t>
            </w:r>
            <w:r w:rsidRPr="000D21BD">
              <w:rPr>
                <w:rFonts w:ascii="Arial Narrow" w:hAnsi="Arial Narrow" w:cs="Calibri"/>
                <w:color w:val="000000"/>
              </w:rPr>
              <w:t>.</w:t>
            </w:r>
            <w:r w:rsidR="00EB678B">
              <w:rPr>
                <w:rFonts w:ascii="Arial Narrow" w:hAnsi="Arial Narrow" w:cs="Calibri"/>
                <w:color w:val="000000"/>
              </w:rPr>
              <w:t>01</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Pensión alimenticia</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w:t>
            </w:r>
            <w:r w:rsidR="00EB678B">
              <w:rPr>
                <w:rFonts w:ascii="Arial Narrow" w:hAnsi="Arial Narrow" w:cs="Calibri"/>
                <w:color w:val="000000"/>
              </w:rPr>
              <w:t xml:space="preserve">  </w:t>
            </w:r>
            <w:r w:rsidRPr="000D21BD">
              <w:rPr>
                <w:rFonts w:ascii="Arial Narrow" w:hAnsi="Arial Narrow" w:cs="Calibri"/>
                <w:color w:val="000000"/>
              </w:rPr>
              <w:t xml:space="preserve"> </w:t>
            </w:r>
            <w:r w:rsidR="00EB678B">
              <w:rPr>
                <w:rFonts w:ascii="Arial Narrow" w:hAnsi="Arial Narrow" w:cs="Calibri"/>
                <w:color w:val="000000"/>
              </w:rPr>
              <w:t>7</w:t>
            </w:r>
            <w:r w:rsidRPr="000D21BD">
              <w:rPr>
                <w:rFonts w:ascii="Arial Narrow" w:hAnsi="Arial Narrow" w:cs="Calibri"/>
                <w:color w:val="000000"/>
              </w:rPr>
              <w:t>,</w:t>
            </w:r>
            <w:r w:rsidR="00EB678B">
              <w:rPr>
                <w:rFonts w:ascii="Arial Narrow" w:hAnsi="Arial Narrow" w:cs="Calibri"/>
                <w:color w:val="000000"/>
              </w:rPr>
              <w:t>303</w:t>
            </w:r>
            <w:r w:rsidRPr="000D21BD">
              <w:rPr>
                <w:rFonts w:ascii="Arial Narrow" w:hAnsi="Arial Narrow" w:cs="Calibri"/>
                <w:color w:val="000000"/>
              </w:rPr>
              <w:t>,</w:t>
            </w:r>
            <w:r w:rsidR="00EB678B">
              <w:rPr>
                <w:rFonts w:ascii="Arial Narrow" w:hAnsi="Arial Narrow" w:cs="Calibri"/>
                <w:color w:val="000000"/>
              </w:rPr>
              <w:t>176</w:t>
            </w:r>
            <w:r w:rsidRPr="000D21BD">
              <w:rPr>
                <w:rFonts w:ascii="Arial Narrow" w:hAnsi="Arial Narrow" w:cs="Calibri"/>
                <w:color w:val="000000"/>
              </w:rPr>
              <w:t>.</w:t>
            </w:r>
            <w:r w:rsidR="00EB678B">
              <w:rPr>
                <w:rFonts w:ascii="Arial Narrow" w:hAnsi="Arial Narrow" w:cs="Calibri"/>
                <w:color w:val="000000"/>
              </w:rPr>
              <w:t>26</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Sanción pecuniaria</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432</w:t>
            </w:r>
            <w:r w:rsidRPr="000D21BD">
              <w:rPr>
                <w:rFonts w:ascii="Arial Narrow" w:hAnsi="Arial Narrow" w:cs="Calibri"/>
                <w:color w:val="000000"/>
              </w:rPr>
              <w:t>,</w:t>
            </w:r>
            <w:r w:rsidR="00EB678B">
              <w:rPr>
                <w:rFonts w:ascii="Arial Narrow" w:hAnsi="Arial Narrow" w:cs="Calibri"/>
                <w:color w:val="000000"/>
              </w:rPr>
              <w:t>553</w:t>
            </w:r>
            <w:r w:rsidRPr="000D21BD">
              <w:rPr>
                <w:rFonts w:ascii="Arial Narrow" w:hAnsi="Arial Narrow" w:cs="Calibri"/>
                <w:color w:val="000000"/>
              </w:rPr>
              <w:t>.</w:t>
            </w:r>
            <w:r w:rsidR="00EB678B">
              <w:rPr>
                <w:rFonts w:ascii="Arial Narrow" w:hAnsi="Arial Narrow" w:cs="Calibri"/>
                <w:color w:val="000000"/>
              </w:rPr>
              <w:t>04</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 xml:space="preserve">Diversos </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3</w:t>
            </w:r>
            <w:r w:rsidRPr="000D21BD">
              <w:rPr>
                <w:rFonts w:ascii="Arial Narrow" w:hAnsi="Arial Narrow" w:cs="Calibri"/>
                <w:color w:val="000000"/>
              </w:rPr>
              <w:t>,</w:t>
            </w:r>
            <w:r w:rsidR="00EB678B">
              <w:rPr>
                <w:rFonts w:ascii="Arial Narrow" w:hAnsi="Arial Narrow" w:cs="Calibri"/>
                <w:color w:val="000000"/>
              </w:rPr>
              <w:t>702</w:t>
            </w:r>
            <w:r w:rsidRPr="000D21BD">
              <w:rPr>
                <w:rFonts w:ascii="Arial Narrow" w:hAnsi="Arial Narrow" w:cs="Calibri"/>
                <w:color w:val="000000"/>
              </w:rPr>
              <w:t>,</w:t>
            </w:r>
            <w:r w:rsidR="00EB678B">
              <w:rPr>
                <w:rFonts w:ascii="Arial Narrow" w:hAnsi="Arial Narrow" w:cs="Calibri"/>
                <w:color w:val="000000"/>
              </w:rPr>
              <w:t>143</w:t>
            </w:r>
            <w:r w:rsidRPr="000D21BD">
              <w:rPr>
                <w:rFonts w:ascii="Arial Narrow" w:hAnsi="Arial Narrow" w:cs="Calibri"/>
                <w:color w:val="000000"/>
              </w:rPr>
              <w:t>.</w:t>
            </w:r>
            <w:r w:rsidR="00EB678B">
              <w:rPr>
                <w:rFonts w:ascii="Arial Narrow" w:hAnsi="Arial Narrow" w:cs="Calibri"/>
                <w:color w:val="000000"/>
              </w:rPr>
              <w:t>89</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Consignación de pago</w:t>
            </w:r>
          </w:p>
        </w:tc>
        <w:tc>
          <w:tcPr>
            <w:tcW w:w="1925" w:type="dxa"/>
            <w:vAlign w:val="center"/>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0D21BD">
              <w:rPr>
                <w:rFonts w:ascii="Arial Narrow" w:hAnsi="Arial Narrow" w:cs="Calibri"/>
                <w:color w:val="000000"/>
              </w:rPr>
              <w:t>$ 1</w:t>
            </w:r>
            <w:r w:rsidR="00EB678B">
              <w:rPr>
                <w:rFonts w:ascii="Arial Narrow" w:hAnsi="Arial Narrow" w:cs="Calibri"/>
                <w:color w:val="000000"/>
              </w:rPr>
              <w:t>6</w:t>
            </w:r>
            <w:r w:rsidRPr="000D21BD">
              <w:rPr>
                <w:rFonts w:ascii="Arial Narrow" w:hAnsi="Arial Narrow" w:cs="Calibri"/>
                <w:color w:val="000000"/>
              </w:rPr>
              <w:t>,</w:t>
            </w:r>
            <w:r w:rsidR="00EB678B">
              <w:rPr>
                <w:rFonts w:ascii="Arial Narrow" w:hAnsi="Arial Narrow" w:cs="Calibri"/>
                <w:color w:val="000000"/>
              </w:rPr>
              <w:t>067</w:t>
            </w:r>
            <w:r w:rsidRPr="000D21BD">
              <w:rPr>
                <w:rFonts w:ascii="Arial Narrow" w:hAnsi="Arial Narrow" w:cs="Calibri"/>
                <w:color w:val="000000"/>
              </w:rPr>
              <w:t>,</w:t>
            </w:r>
            <w:r w:rsidR="00EB678B">
              <w:rPr>
                <w:rFonts w:ascii="Arial Narrow" w:hAnsi="Arial Narrow" w:cs="Calibri"/>
                <w:color w:val="000000"/>
              </w:rPr>
              <w:t>212</w:t>
            </w:r>
            <w:r w:rsidRPr="000D21BD">
              <w:rPr>
                <w:rFonts w:ascii="Arial Narrow" w:hAnsi="Arial Narrow" w:cs="Calibri"/>
                <w:color w:val="000000"/>
              </w:rPr>
              <w:t>.</w:t>
            </w:r>
            <w:r w:rsidR="00EB678B">
              <w:rPr>
                <w:rFonts w:ascii="Arial Narrow" w:hAnsi="Arial Narrow" w:cs="Calibri"/>
                <w:color w:val="000000"/>
              </w:rPr>
              <w:t>20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Billetes de depósito</w:t>
            </w:r>
          </w:p>
        </w:tc>
        <w:tc>
          <w:tcPr>
            <w:tcW w:w="1925" w:type="dxa"/>
            <w:vAlign w:val="center"/>
          </w:tcPr>
          <w:p w:rsidR="000D21BD" w:rsidRPr="000D21BD" w:rsidRDefault="000D21BD" w:rsidP="000D21BD">
            <w:pPr>
              <w:jc w:val="right"/>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0D21BD">
              <w:rPr>
                <w:rFonts w:ascii="Arial Narrow" w:hAnsi="Arial Narrow" w:cs="Calibri"/>
                <w:color w:val="000000"/>
              </w:rPr>
              <w:t>$   2,357,652.57</w:t>
            </w:r>
          </w:p>
        </w:tc>
      </w:tr>
      <w:tr w:rsidR="000D21BD" w:rsidRPr="000D21BD" w:rsidTr="007D002F">
        <w:tc>
          <w:tcPr>
            <w:cnfStyle w:val="001000000000" w:firstRow="0" w:lastRow="0" w:firstColumn="1" w:lastColumn="0" w:oddVBand="0" w:evenVBand="0" w:oddHBand="0" w:evenHBand="0" w:firstRowFirstColumn="0" w:firstRowLastColumn="0" w:lastRowFirstColumn="0" w:lastRowLastColumn="0"/>
            <w:tcW w:w="7114" w:type="dxa"/>
          </w:tcPr>
          <w:p w:rsidR="000D21BD" w:rsidRPr="000D21BD" w:rsidRDefault="000D21BD" w:rsidP="000D21BD">
            <w:pPr>
              <w:jc w:val="both"/>
              <w:rPr>
                <w:rFonts w:ascii="Arial Narrow" w:hAnsi="Arial Narrow"/>
              </w:rPr>
            </w:pPr>
            <w:r w:rsidRPr="000D21BD">
              <w:rPr>
                <w:rFonts w:ascii="Arial Narrow" w:hAnsi="Arial Narrow"/>
              </w:rPr>
              <w:t>TOTAL</w:t>
            </w:r>
          </w:p>
        </w:tc>
        <w:tc>
          <w:tcPr>
            <w:tcW w:w="1925" w:type="dxa"/>
          </w:tcPr>
          <w:p w:rsidR="000D21BD" w:rsidRPr="000D21BD" w:rsidRDefault="000D21BD" w:rsidP="000D21BD">
            <w:pPr>
              <w:jc w:val="right"/>
              <w:cnfStyle w:val="000000000000" w:firstRow="0" w:lastRow="0" w:firstColumn="0" w:lastColumn="0" w:oddVBand="0" w:evenVBand="0" w:oddHBand="0" w:evenHBand="0" w:firstRowFirstColumn="0" w:firstRowLastColumn="0" w:lastRowFirstColumn="0" w:lastRowLastColumn="0"/>
              <w:rPr>
                <w:rFonts w:ascii="Arial Narrow" w:hAnsi="Arial Narrow"/>
                <w:b/>
              </w:rPr>
            </w:pPr>
            <w:r w:rsidRPr="000D21BD">
              <w:rPr>
                <w:rFonts w:ascii="Arial Narrow" w:hAnsi="Arial Narrow"/>
                <w:b/>
              </w:rPr>
              <w:t>$ 5</w:t>
            </w:r>
            <w:r w:rsidR="00EB678B">
              <w:rPr>
                <w:rFonts w:ascii="Arial Narrow" w:hAnsi="Arial Narrow"/>
                <w:b/>
              </w:rPr>
              <w:t>2</w:t>
            </w:r>
            <w:r w:rsidRPr="000D21BD">
              <w:rPr>
                <w:rFonts w:ascii="Arial Narrow" w:hAnsi="Arial Narrow"/>
                <w:b/>
              </w:rPr>
              <w:t>,</w:t>
            </w:r>
            <w:r w:rsidR="00EB678B">
              <w:rPr>
                <w:rFonts w:ascii="Arial Narrow" w:hAnsi="Arial Narrow"/>
                <w:b/>
              </w:rPr>
              <w:t>629</w:t>
            </w:r>
            <w:r w:rsidRPr="000D21BD">
              <w:rPr>
                <w:rFonts w:ascii="Arial Narrow" w:hAnsi="Arial Narrow"/>
                <w:b/>
              </w:rPr>
              <w:t>,</w:t>
            </w:r>
            <w:r w:rsidR="00EB678B">
              <w:rPr>
                <w:rFonts w:ascii="Arial Narrow" w:hAnsi="Arial Narrow"/>
                <w:b/>
              </w:rPr>
              <w:t>468</w:t>
            </w:r>
            <w:r w:rsidRPr="000D21BD">
              <w:rPr>
                <w:rFonts w:ascii="Arial Narrow" w:hAnsi="Arial Narrow"/>
                <w:b/>
              </w:rPr>
              <w:t>.</w:t>
            </w:r>
            <w:r w:rsidR="00EB678B">
              <w:rPr>
                <w:rFonts w:ascii="Arial Narrow" w:hAnsi="Arial Narrow"/>
                <w:b/>
              </w:rPr>
              <w:t>08</w:t>
            </w:r>
          </w:p>
        </w:tc>
      </w:tr>
    </w:tbl>
    <w:p w:rsidR="000D21BD" w:rsidRPr="000D21BD" w:rsidRDefault="000D21BD" w:rsidP="000D21BD">
      <w:pPr>
        <w:jc w:val="both"/>
        <w:rPr>
          <w:rFonts w:ascii="Arial Narrow" w:eastAsia="Times New Roman" w:hAnsi="Arial Narrow" w:cs="Times New Roman"/>
          <w:b/>
          <w:sz w:val="24"/>
          <w:szCs w:val="24"/>
        </w:rPr>
      </w:pPr>
    </w:p>
    <w:p w:rsidR="000D21BD" w:rsidRPr="000D21BD" w:rsidRDefault="000D21BD" w:rsidP="000D21BD">
      <w:pPr>
        <w:jc w:val="both"/>
        <w:rPr>
          <w:rFonts w:ascii="Arial Narrow" w:eastAsia="Times New Roman" w:hAnsi="Arial Narrow" w:cs="Times New Roman"/>
          <w:sz w:val="24"/>
          <w:szCs w:val="24"/>
        </w:rPr>
      </w:pPr>
      <w:r w:rsidRPr="000D21BD">
        <w:rPr>
          <w:rFonts w:ascii="Arial Narrow" w:eastAsia="Times New Roman" w:hAnsi="Arial Narrow" w:cs="Times New Roman"/>
          <w:b/>
          <w:sz w:val="24"/>
          <w:szCs w:val="24"/>
        </w:rPr>
        <w:t xml:space="preserve">Diversos: </w:t>
      </w:r>
      <w:r w:rsidRPr="000D21BD">
        <w:rPr>
          <w:rFonts w:ascii="Arial Narrow" w:eastAsia="Times New Roman" w:hAnsi="Arial Narrow" w:cs="Times New Roman"/>
          <w:sz w:val="24"/>
          <w:szCs w:val="24"/>
        </w:rPr>
        <w:t>Se integran por pensiones rentísticas, pago de peritos, consignación de pagos, pago de almoneda.</w:t>
      </w:r>
    </w:p>
    <w:p w:rsidR="000D21BD" w:rsidRPr="000D21BD" w:rsidRDefault="000D21BD" w:rsidP="000D21BD">
      <w:pPr>
        <w:jc w:val="both"/>
        <w:rPr>
          <w:rFonts w:ascii="Arial Narrow" w:eastAsia="Times New Roman" w:hAnsi="Arial Narrow" w:cs="Times New Roman"/>
          <w:sz w:val="16"/>
          <w:szCs w:val="16"/>
        </w:rPr>
      </w:pPr>
    </w:p>
    <w:p w:rsidR="000D21BD" w:rsidRPr="000D21BD" w:rsidRDefault="000D21BD" w:rsidP="000D21BD">
      <w:pPr>
        <w:numPr>
          <w:ilvl w:val="0"/>
          <w:numId w:val="34"/>
        </w:numPr>
        <w:contextualSpacing/>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 xml:space="preserve"> NOTAS AL ESTADO DE ACTIVIDADES.</w:t>
      </w:r>
    </w:p>
    <w:p w:rsidR="000D21BD" w:rsidRPr="000D21BD" w:rsidRDefault="000D21BD" w:rsidP="000D21BD">
      <w:pPr>
        <w:ind w:left="360"/>
        <w:jc w:val="both"/>
        <w:rPr>
          <w:rFonts w:ascii="Arial Narrow" w:eastAsia="Times New Roman" w:hAnsi="Arial Narrow" w:cs="Times New Roman"/>
          <w:b/>
          <w:u w:val="single"/>
        </w:rPr>
      </w:pPr>
    </w:p>
    <w:p w:rsidR="000D21BD" w:rsidRPr="000D21BD" w:rsidRDefault="000D21BD" w:rsidP="000D21BD">
      <w:pPr>
        <w:ind w:left="360"/>
        <w:jc w:val="both"/>
        <w:rPr>
          <w:rFonts w:ascii="Arial Narrow" w:eastAsia="Times New Roman" w:hAnsi="Arial Narrow" w:cs="Times New Roman"/>
          <w:b/>
          <w:u w:val="single"/>
        </w:rPr>
      </w:pPr>
      <w:r w:rsidRPr="000D21BD">
        <w:rPr>
          <w:rFonts w:ascii="Arial Narrow" w:eastAsia="Times New Roman" w:hAnsi="Arial Narrow" w:cs="Times New Roman"/>
          <w:b/>
          <w:u w:val="single"/>
        </w:rPr>
        <w:t>Ingresos de Gestión.</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Los ingresos de gestión del Honorable Tribunal Superior de Justicia del Estado por el periodo comprendido del 01 de enero al 30 de </w:t>
      </w:r>
      <w:r w:rsidR="00EB678B">
        <w:rPr>
          <w:rFonts w:ascii="Arial Narrow" w:eastAsia="Times New Roman" w:hAnsi="Arial Narrow" w:cs="Times New Roman"/>
        </w:rPr>
        <w:t>junio</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se integran de la siguiente manera:</w:t>
      </w:r>
    </w:p>
    <w:p w:rsidR="000D21BD" w:rsidRPr="000D21BD" w:rsidRDefault="000D21BD" w:rsidP="000D21BD">
      <w:pPr>
        <w:ind w:left="720"/>
        <w:contextualSpacing/>
        <w:jc w:val="both"/>
        <w:rPr>
          <w:rFonts w:ascii="Arial Narrow" w:eastAsia="Times New Roman" w:hAnsi="Arial Narrow" w:cs="Times New Roman"/>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Impuestos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Cuotas y aportaciones de seguridad social </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Contribuciones de mejoras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Derechos</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Productos de tipo corriente             </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EB678B">
              <w:rPr>
                <w:rFonts w:ascii="Arial Narrow" w:hAnsi="Arial Narrow"/>
                <w:sz w:val="18"/>
                <w:szCs w:val="18"/>
              </w:rPr>
              <w:t>5</w:t>
            </w:r>
            <w:r w:rsidRPr="000D21BD">
              <w:rPr>
                <w:rFonts w:ascii="Arial Narrow" w:hAnsi="Arial Narrow"/>
                <w:sz w:val="18"/>
                <w:szCs w:val="18"/>
              </w:rPr>
              <w:t>,</w:t>
            </w:r>
            <w:r w:rsidR="00EB678B">
              <w:rPr>
                <w:rFonts w:ascii="Arial Narrow" w:hAnsi="Arial Narrow"/>
                <w:sz w:val="18"/>
                <w:szCs w:val="18"/>
              </w:rPr>
              <w:t>811</w:t>
            </w:r>
            <w:r w:rsidRPr="000D21BD">
              <w:rPr>
                <w:rFonts w:ascii="Arial Narrow" w:hAnsi="Arial Narrow"/>
                <w:sz w:val="18"/>
                <w:szCs w:val="18"/>
              </w:rPr>
              <w:t>,</w:t>
            </w:r>
            <w:r w:rsidR="00EB678B">
              <w:rPr>
                <w:rFonts w:ascii="Arial Narrow" w:hAnsi="Arial Narrow"/>
                <w:sz w:val="18"/>
                <w:szCs w:val="18"/>
              </w:rPr>
              <w:t>999</w:t>
            </w:r>
            <w:r w:rsidRPr="000D21BD">
              <w:rPr>
                <w:rFonts w:ascii="Arial Narrow" w:hAnsi="Arial Narrow"/>
                <w:sz w:val="18"/>
                <w:szCs w:val="18"/>
              </w:rPr>
              <w:t>.</w:t>
            </w:r>
            <w:r w:rsidR="00EB678B">
              <w:rPr>
                <w:rFonts w:ascii="Arial Narrow" w:hAnsi="Arial Narrow"/>
                <w:sz w:val="18"/>
                <w:szCs w:val="18"/>
              </w:rPr>
              <w:t>88</w:t>
            </w:r>
            <w:r w:rsidRPr="000D21BD">
              <w:rPr>
                <w:rFonts w:ascii="Arial Narrow" w:hAnsi="Arial Narrow"/>
                <w:sz w:val="18"/>
                <w:szCs w:val="18"/>
              </w:rPr>
              <w:t xml:space="preserve">          </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Aprovechamientos de tipo corriente</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por venta de bienes y servicios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EB678B">
              <w:rPr>
                <w:rFonts w:ascii="Arial Narrow" w:hAnsi="Arial Narrow"/>
                <w:sz w:val="18"/>
                <w:szCs w:val="18"/>
              </w:rPr>
              <w:t>107</w:t>
            </w:r>
            <w:r w:rsidRPr="000D21BD">
              <w:rPr>
                <w:rFonts w:ascii="Arial Narrow" w:hAnsi="Arial Narrow"/>
                <w:sz w:val="18"/>
                <w:szCs w:val="18"/>
              </w:rPr>
              <w:t>,</w:t>
            </w:r>
            <w:r w:rsidR="00EB678B">
              <w:rPr>
                <w:rFonts w:ascii="Arial Narrow" w:hAnsi="Arial Narrow"/>
                <w:sz w:val="18"/>
                <w:szCs w:val="18"/>
              </w:rPr>
              <w:t>898</w:t>
            </w:r>
            <w:r w:rsidRPr="000D21BD">
              <w:rPr>
                <w:rFonts w:ascii="Arial Narrow" w:hAnsi="Arial Narrow"/>
                <w:sz w:val="18"/>
                <w:szCs w:val="18"/>
              </w:rPr>
              <w:t>.</w:t>
            </w:r>
            <w:r w:rsidR="00EB678B">
              <w:rPr>
                <w:rFonts w:ascii="Arial Narrow" w:hAnsi="Arial Narrow"/>
                <w:sz w:val="18"/>
                <w:szCs w:val="18"/>
              </w:rPr>
              <w:t>82</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Ingresos no comprendidos en fracciones</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rsidR="000D21BD" w:rsidRPr="00EB678B"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sz w:val="18"/>
                <w:szCs w:val="18"/>
              </w:rPr>
            </w:pPr>
            <w:r w:rsidRPr="00EB678B">
              <w:rPr>
                <w:rFonts w:ascii="Arial Narrow" w:hAnsi="Arial Narrow"/>
                <w:b/>
                <w:bCs/>
                <w:sz w:val="18"/>
                <w:szCs w:val="18"/>
              </w:rPr>
              <w:t>TOTAL DE INGRESOS DE GESTIÓN</w:t>
            </w:r>
          </w:p>
        </w:tc>
        <w:tc>
          <w:tcPr>
            <w:tcW w:w="2433"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             </w:t>
            </w:r>
            <w:r w:rsidR="00EB678B">
              <w:rPr>
                <w:rFonts w:ascii="Arial Narrow" w:hAnsi="Arial Narrow"/>
                <w:b/>
                <w:sz w:val="18"/>
                <w:szCs w:val="18"/>
              </w:rPr>
              <w:t>5</w:t>
            </w:r>
            <w:r w:rsidRPr="000D21BD">
              <w:rPr>
                <w:rFonts w:ascii="Arial Narrow" w:hAnsi="Arial Narrow"/>
                <w:b/>
                <w:sz w:val="18"/>
                <w:szCs w:val="18"/>
              </w:rPr>
              <w:t>,</w:t>
            </w:r>
            <w:r w:rsidR="00EB678B">
              <w:rPr>
                <w:rFonts w:ascii="Arial Narrow" w:hAnsi="Arial Narrow"/>
                <w:b/>
                <w:sz w:val="18"/>
                <w:szCs w:val="18"/>
              </w:rPr>
              <w:t>919</w:t>
            </w:r>
            <w:r w:rsidRPr="000D21BD">
              <w:rPr>
                <w:rFonts w:ascii="Arial Narrow" w:hAnsi="Arial Narrow"/>
                <w:b/>
                <w:sz w:val="18"/>
                <w:szCs w:val="18"/>
              </w:rPr>
              <w:t>,</w:t>
            </w:r>
            <w:r w:rsidR="00EB678B">
              <w:rPr>
                <w:rFonts w:ascii="Arial Narrow" w:hAnsi="Arial Narrow"/>
                <w:b/>
                <w:sz w:val="18"/>
                <w:szCs w:val="18"/>
              </w:rPr>
              <w:t>898</w:t>
            </w:r>
            <w:r w:rsidRPr="000D21BD">
              <w:rPr>
                <w:rFonts w:ascii="Arial Narrow" w:hAnsi="Arial Narrow"/>
                <w:b/>
                <w:sz w:val="18"/>
                <w:szCs w:val="18"/>
              </w:rPr>
              <w:t>.</w:t>
            </w:r>
            <w:r w:rsidR="00EB678B">
              <w:rPr>
                <w:rFonts w:ascii="Arial Narrow" w:hAnsi="Arial Narrow"/>
                <w:b/>
                <w:sz w:val="18"/>
                <w:szCs w:val="18"/>
              </w:rPr>
              <w:t>70</w:t>
            </w:r>
          </w:p>
        </w:tc>
      </w:tr>
    </w:tbl>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ab/>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rPr>
        <w:tab/>
      </w:r>
      <w:r w:rsidRPr="000D21BD">
        <w:rPr>
          <w:rFonts w:ascii="Arial Narrow" w:eastAsia="Times New Roman" w:hAnsi="Arial Narrow" w:cs="Times New Roman"/>
          <w:b/>
          <w:bCs/>
          <w:u w:val="single"/>
        </w:rPr>
        <w:t>Participaciones, Aportaciones, Transferencias, Asignaciones, Subsidios y Otras Ayudas</w:t>
      </w:r>
    </w:p>
    <w:p w:rsidR="000D21BD" w:rsidRPr="000D21BD" w:rsidRDefault="000D21BD" w:rsidP="000D21BD">
      <w:pPr>
        <w:jc w:val="both"/>
        <w:rPr>
          <w:rFonts w:ascii="Arial Narrow" w:eastAsia="Times New Roman" w:hAnsi="Arial Narrow" w:cs="Times New Roman"/>
          <w:b/>
          <w:bCs/>
          <w:u w:val="single"/>
        </w:rPr>
      </w:pPr>
    </w:p>
    <w:tbl>
      <w:tblPr>
        <w:tblStyle w:val="Sombreadoclaro-nfasis11"/>
        <w:tblW w:w="0" w:type="auto"/>
        <w:jc w:val="center"/>
        <w:tblLook w:val="04A0" w:firstRow="1" w:lastRow="0" w:firstColumn="1" w:lastColumn="0" w:noHBand="0" w:noVBand="1"/>
      </w:tblPr>
      <w:tblGrid>
        <w:gridCol w:w="2158"/>
        <w:gridCol w:w="4288"/>
        <w:gridCol w:w="2433"/>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433" w:type="dxa"/>
          </w:tcPr>
          <w:p w:rsidR="000D21BD" w:rsidRPr="000D21BD" w:rsidRDefault="000D21BD" w:rsidP="000D21BD">
            <w:pPr>
              <w:contextualSpacing/>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Participaciones y aportaciones</w:t>
            </w:r>
          </w:p>
        </w:tc>
        <w:tc>
          <w:tcPr>
            <w:tcW w:w="2433" w:type="dxa"/>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2158" w:type="dxa"/>
          </w:tcPr>
          <w:p w:rsidR="000D21BD" w:rsidRPr="000D21BD" w:rsidRDefault="000D21BD" w:rsidP="000D21BD">
            <w:pPr>
              <w:contextualSpacing/>
              <w:jc w:val="both"/>
              <w:rPr>
                <w:rFonts w:ascii="Arial Narrow" w:hAnsi="Arial Narrow"/>
                <w:sz w:val="18"/>
                <w:szCs w:val="18"/>
              </w:rPr>
            </w:pPr>
          </w:p>
        </w:tc>
        <w:tc>
          <w:tcPr>
            <w:tcW w:w="4288" w:type="dxa"/>
          </w:tcPr>
          <w:p w:rsidR="000D21BD" w:rsidRPr="000D21BD" w:rsidRDefault="000D21BD" w:rsidP="000D21BD">
            <w:pPr>
              <w:contextualSpacing/>
              <w:jc w:val="both"/>
              <w:cnfStyle w:val="000000000000" w:firstRow="0" w:lastRow="0" w:firstColumn="0" w:lastColumn="0" w:oddVBand="0" w:evenVBand="0" w:oddHBand="0"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xml:space="preserve">Transferencias, asignaciones, subsidios y otras ayudas </w:t>
            </w:r>
          </w:p>
        </w:tc>
        <w:tc>
          <w:tcPr>
            <w:tcW w:w="2433" w:type="dxa"/>
          </w:tcPr>
          <w:p w:rsidR="000D21BD" w:rsidRPr="000D21BD" w:rsidRDefault="000D21BD" w:rsidP="000D21BD">
            <w:pPr>
              <w:contextualSpacing/>
              <w:jc w:val="righ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2</w:t>
            </w:r>
            <w:r w:rsidR="00EB678B">
              <w:rPr>
                <w:rFonts w:ascii="Arial Narrow" w:hAnsi="Arial Narrow"/>
                <w:sz w:val="18"/>
                <w:szCs w:val="18"/>
              </w:rPr>
              <w:t>43</w:t>
            </w:r>
            <w:r w:rsidRPr="000D21BD">
              <w:rPr>
                <w:rFonts w:ascii="Arial Narrow" w:hAnsi="Arial Narrow"/>
                <w:sz w:val="18"/>
                <w:szCs w:val="18"/>
              </w:rPr>
              <w:t>,</w:t>
            </w:r>
            <w:r w:rsidR="00EB678B">
              <w:rPr>
                <w:rFonts w:ascii="Arial Narrow" w:hAnsi="Arial Narrow"/>
                <w:sz w:val="18"/>
                <w:szCs w:val="18"/>
              </w:rPr>
              <w:t>201</w:t>
            </w:r>
            <w:r w:rsidRPr="000D21BD">
              <w:rPr>
                <w:rFonts w:ascii="Arial Narrow" w:hAnsi="Arial Narrow"/>
                <w:sz w:val="18"/>
                <w:szCs w:val="18"/>
              </w:rPr>
              <w:t>,</w:t>
            </w:r>
            <w:r w:rsidR="00EB678B">
              <w:rPr>
                <w:rFonts w:ascii="Arial Narrow" w:hAnsi="Arial Narrow"/>
                <w:sz w:val="18"/>
                <w:szCs w:val="18"/>
              </w:rPr>
              <w:t>847</w:t>
            </w:r>
            <w:r w:rsidRPr="000D21BD">
              <w:rPr>
                <w:rFonts w:ascii="Arial Narrow" w:hAnsi="Arial Narrow"/>
                <w:sz w:val="18"/>
                <w:szCs w:val="18"/>
              </w:rPr>
              <w:t>.</w:t>
            </w:r>
            <w:r w:rsidR="00EB678B">
              <w:rPr>
                <w:rFonts w:ascii="Arial Narrow" w:hAnsi="Arial Narrow"/>
                <w:sz w:val="18"/>
                <w:szCs w:val="18"/>
              </w:rPr>
              <w:t>80</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58" w:type="dxa"/>
            <w:tcBorders>
              <w:bottom w:val="single" w:sz="8" w:space="0" w:color="4F81BD" w:themeColor="accent1"/>
            </w:tcBorders>
          </w:tcPr>
          <w:p w:rsidR="000D21BD" w:rsidRPr="000D21BD" w:rsidRDefault="000D21BD" w:rsidP="000D21BD">
            <w:pPr>
              <w:contextualSpacing/>
              <w:jc w:val="both"/>
              <w:rPr>
                <w:rFonts w:ascii="Arial Narrow" w:hAnsi="Arial Narrow"/>
                <w:sz w:val="18"/>
                <w:szCs w:val="18"/>
              </w:rPr>
            </w:pPr>
          </w:p>
        </w:tc>
        <w:tc>
          <w:tcPr>
            <w:tcW w:w="4288"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TOTAL, DE PARTICIPACIONES, APORTACIONES, ASIGNACIONES, SUBSIDIOS Y OTRAS AYUDAS</w:t>
            </w:r>
          </w:p>
        </w:tc>
        <w:tc>
          <w:tcPr>
            <w:tcW w:w="2433" w:type="dxa"/>
            <w:tcBorders>
              <w:bottom w:val="single" w:sz="8" w:space="0" w:color="4F81BD" w:themeColor="accent1"/>
            </w:tcBorders>
          </w:tcPr>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p>
          <w:p w:rsidR="000D21BD" w:rsidRPr="000D21BD" w:rsidRDefault="000D21BD" w:rsidP="000D21BD">
            <w:pPr>
              <w:contextualSpacing/>
              <w:jc w:val="right"/>
              <w:cnfStyle w:val="000000100000" w:firstRow="0" w:lastRow="0" w:firstColumn="0" w:lastColumn="0" w:oddVBand="0" w:evenVBand="0" w:oddHBand="1" w:evenHBand="0" w:firstRowFirstColumn="0" w:firstRowLastColumn="0" w:lastRowFirstColumn="0" w:lastRowLastColumn="0"/>
              <w:rPr>
                <w:rFonts w:ascii="Arial Narrow" w:hAnsi="Arial Narrow"/>
                <w:b/>
                <w:sz w:val="18"/>
                <w:szCs w:val="18"/>
              </w:rPr>
            </w:pPr>
            <w:r w:rsidRPr="000D21BD">
              <w:rPr>
                <w:rFonts w:ascii="Arial Narrow" w:hAnsi="Arial Narrow"/>
                <w:b/>
                <w:sz w:val="18"/>
                <w:szCs w:val="18"/>
              </w:rPr>
              <w:t>$       2</w:t>
            </w:r>
            <w:r w:rsidR="00EB678B">
              <w:rPr>
                <w:rFonts w:ascii="Arial Narrow" w:hAnsi="Arial Narrow"/>
                <w:b/>
                <w:sz w:val="18"/>
                <w:szCs w:val="18"/>
              </w:rPr>
              <w:t>43</w:t>
            </w:r>
            <w:r w:rsidRPr="000D21BD">
              <w:rPr>
                <w:rFonts w:ascii="Arial Narrow" w:hAnsi="Arial Narrow"/>
                <w:b/>
                <w:sz w:val="18"/>
                <w:szCs w:val="18"/>
              </w:rPr>
              <w:t>,</w:t>
            </w:r>
            <w:r w:rsidR="00EB678B">
              <w:rPr>
                <w:rFonts w:ascii="Arial Narrow" w:hAnsi="Arial Narrow"/>
                <w:b/>
                <w:sz w:val="18"/>
                <w:szCs w:val="18"/>
              </w:rPr>
              <w:t>201</w:t>
            </w:r>
            <w:r w:rsidRPr="000D21BD">
              <w:rPr>
                <w:rFonts w:ascii="Arial Narrow" w:hAnsi="Arial Narrow"/>
                <w:b/>
                <w:sz w:val="18"/>
                <w:szCs w:val="18"/>
              </w:rPr>
              <w:t>,</w:t>
            </w:r>
            <w:r w:rsidR="00EB678B">
              <w:rPr>
                <w:rFonts w:ascii="Arial Narrow" w:hAnsi="Arial Narrow"/>
                <w:b/>
                <w:sz w:val="18"/>
                <w:szCs w:val="18"/>
              </w:rPr>
              <w:t>847</w:t>
            </w:r>
            <w:r w:rsidRPr="000D21BD">
              <w:rPr>
                <w:rFonts w:ascii="Arial Narrow" w:hAnsi="Arial Narrow"/>
                <w:b/>
                <w:sz w:val="18"/>
                <w:szCs w:val="18"/>
              </w:rPr>
              <w:t>.</w:t>
            </w:r>
            <w:r w:rsidR="00EB678B">
              <w:rPr>
                <w:rFonts w:ascii="Arial Narrow" w:hAnsi="Arial Narrow"/>
                <w:b/>
                <w:sz w:val="18"/>
                <w:szCs w:val="18"/>
              </w:rPr>
              <w:t>80</w:t>
            </w:r>
          </w:p>
        </w:tc>
      </w:tr>
    </w:tbl>
    <w:p w:rsidR="000D21BD" w:rsidRPr="000D21BD" w:rsidRDefault="000D21BD" w:rsidP="000D21BD">
      <w:pPr>
        <w:jc w:val="both"/>
        <w:rPr>
          <w:rFonts w:ascii="Arial Narrow" w:eastAsia="Times New Roman" w:hAnsi="Arial Narrow" w:cs="Times New Roman"/>
        </w:rPr>
      </w:pPr>
    </w:p>
    <w:p w:rsidR="000D21BD" w:rsidRDefault="000D21BD" w:rsidP="000D21BD">
      <w:pPr>
        <w:ind w:left="360"/>
        <w:jc w:val="both"/>
        <w:rPr>
          <w:rFonts w:ascii="Arial Narrow" w:eastAsia="Times New Roman" w:hAnsi="Arial Narrow" w:cs="Times New Roman"/>
          <w:b/>
          <w:u w:val="single"/>
        </w:rPr>
      </w:pPr>
    </w:p>
    <w:p w:rsidR="00992987" w:rsidRPr="000D21BD" w:rsidRDefault="00992987" w:rsidP="000D21BD">
      <w:pPr>
        <w:ind w:left="360"/>
        <w:jc w:val="both"/>
        <w:rPr>
          <w:rFonts w:ascii="Arial Narrow" w:eastAsia="Times New Roman" w:hAnsi="Arial Narrow" w:cs="Times New Roman"/>
          <w:b/>
          <w:u w:val="single"/>
        </w:rPr>
      </w:pPr>
    </w:p>
    <w:p w:rsidR="000D21BD" w:rsidRPr="000D21BD" w:rsidRDefault="000D21BD" w:rsidP="000D21BD">
      <w:pPr>
        <w:ind w:left="360"/>
        <w:jc w:val="both"/>
        <w:rPr>
          <w:rFonts w:ascii="Arial Narrow" w:eastAsia="Times New Roman" w:hAnsi="Arial Narrow" w:cs="Times New Roman"/>
          <w:b/>
          <w:u w:val="single"/>
        </w:rPr>
      </w:pPr>
    </w:p>
    <w:p w:rsidR="000D21BD" w:rsidRPr="000D21BD" w:rsidRDefault="000D21BD" w:rsidP="000D21BD">
      <w:pPr>
        <w:ind w:left="360" w:firstLine="348"/>
        <w:jc w:val="both"/>
        <w:rPr>
          <w:rFonts w:ascii="Arial Narrow" w:eastAsia="Times New Roman" w:hAnsi="Arial Narrow" w:cs="Times New Roman"/>
          <w:b/>
          <w:u w:val="single"/>
        </w:rPr>
      </w:pPr>
      <w:r w:rsidRPr="000D21BD">
        <w:rPr>
          <w:rFonts w:ascii="Arial Narrow" w:eastAsia="Times New Roman" w:hAnsi="Arial Narrow" w:cs="Times New Roman"/>
          <w:b/>
          <w:u w:val="single"/>
        </w:rPr>
        <w:lastRenderedPageBreak/>
        <w:t>Gastos y otras pérdidas.</w:t>
      </w:r>
    </w:p>
    <w:p w:rsidR="000D21BD" w:rsidRPr="000D21BD" w:rsidRDefault="000D21BD" w:rsidP="000D21BD">
      <w:pPr>
        <w:ind w:left="1068" w:firstLine="348"/>
        <w:jc w:val="both"/>
        <w:rPr>
          <w:rFonts w:ascii="Arial Narrow" w:eastAsia="Times New Roman" w:hAnsi="Arial Narrow" w:cs="Times New Roman"/>
          <w:b/>
        </w:rPr>
      </w:pPr>
      <w:r w:rsidRPr="000D21BD">
        <w:rPr>
          <w:rFonts w:ascii="Arial Narrow" w:eastAsia="Times New Roman" w:hAnsi="Arial Narrow" w:cs="Times New Roman"/>
          <w:b/>
        </w:rPr>
        <w:t>Gastos de funcionamiento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las actividades y la</w:t>
      </w:r>
      <w:r w:rsidR="00EB678B">
        <w:rPr>
          <w:rFonts w:ascii="Arial Narrow" w:eastAsia="Times New Roman" w:hAnsi="Arial Narrow" w:cs="Times New Roman"/>
        </w:rPr>
        <w:t>s</w:t>
      </w:r>
      <w:r w:rsidRPr="000D21BD">
        <w:rPr>
          <w:rFonts w:ascii="Arial Narrow" w:eastAsia="Times New Roman" w:hAnsi="Arial Narrow" w:cs="Times New Roman"/>
        </w:rPr>
        <w:t xml:space="preserve"> funciones que realiza este Poder Judicial, su mayor gasto se encuentra en el rubro servicios personales, los cuales para el periodo comprendido </w:t>
      </w:r>
      <w:r w:rsidR="00EB678B">
        <w:rPr>
          <w:rFonts w:ascii="Arial Narrow" w:eastAsia="Times New Roman" w:hAnsi="Arial Narrow" w:cs="Times New Roman"/>
        </w:rPr>
        <w:t xml:space="preserve">del 01 de enero </w:t>
      </w:r>
      <w:r w:rsidRPr="000D21BD">
        <w:rPr>
          <w:rFonts w:ascii="Arial Narrow" w:eastAsia="Times New Roman" w:hAnsi="Arial Narrow" w:cs="Times New Roman"/>
        </w:rPr>
        <w:t xml:space="preserve">al 30 de </w:t>
      </w:r>
      <w:r w:rsidR="00EB678B">
        <w:rPr>
          <w:rFonts w:ascii="Arial Narrow" w:eastAsia="Times New Roman" w:hAnsi="Arial Narrow" w:cs="Times New Roman"/>
        </w:rPr>
        <w:t>junio</w:t>
      </w:r>
      <w:r w:rsidRPr="000D21BD">
        <w:rPr>
          <w:rFonts w:ascii="Arial Narrow" w:eastAsia="Times New Roman" w:hAnsi="Arial Narrow" w:cs="Times New Roman"/>
        </w:rPr>
        <w:t xml:space="preserve"> de 202</w:t>
      </w:r>
      <w:r w:rsidR="00EB678B">
        <w:rPr>
          <w:rFonts w:ascii="Arial Narrow" w:eastAsia="Times New Roman" w:hAnsi="Arial Narrow" w:cs="Times New Roman"/>
        </w:rPr>
        <w:t>3</w:t>
      </w:r>
      <w:r w:rsidRPr="000D21BD">
        <w:rPr>
          <w:rFonts w:ascii="Arial Narrow" w:eastAsia="Times New Roman" w:hAnsi="Arial Narrow" w:cs="Times New Roman"/>
        </w:rPr>
        <w:t xml:space="preserve"> representan el </w:t>
      </w:r>
      <w:r w:rsidRPr="000D21BD">
        <w:rPr>
          <w:rFonts w:ascii="Arial Narrow" w:eastAsia="Times New Roman" w:hAnsi="Arial Narrow" w:cs="Times New Roman"/>
          <w:color w:val="000000" w:themeColor="text1"/>
        </w:rPr>
        <w:t>8</w:t>
      </w:r>
      <w:r w:rsidR="00EB678B">
        <w:rPr>
          <w:rFonts w:ascii="Arial Narrow" w:eastAsia="Times New Roman" w:hAnsi="Arial Narrow" w:cs="Times New Roman"/>
          <w:color w:val="000000" w:themeColor="text1"/>
        </w:rPr>
        <w:t>9</w:t>
      </w:r>
      <w:r w:rsidRPr="000D21BD">
        <w:rPr>
          <w:rFonts w:ascii="Arial Narrow" w:eastAsia="Times New Roman" w:hAnsi="Arial Narrow" w:cs="Times New Roman"/>
          <w:color w:val="000000" w:themeColor="text1"/>
        </w:rPr>
        <w:t>.</w:t>
      </w:r>
      <w:r w:rsidR="00EB678B">
        <w:rPr>
          <w:rFonts w:ascii="Arial Narrow" w:eastAsia="Times New Roman" w:hAnsi="Arial Narrow" w:cs="Times New Roman"/>
          <w:color w:val="000000" w:themeColor="text1"/>
        </w:rPr>
        <w:t>73</w:t>
      </w:r>
      <w:r w:rsidRPr="000D21BD">
        <w:rPr>
          <w:rFonts w:ascii="Arial Narrow" w:eastAsia="Times New Roman" w:hAnsi="Arial Narrow" w:cs="Times New Roman"/>
          <w:color w:val="000000" w:themeColor="text1"/>
        </w:rPr>
        <w:t xml:space="preserve">% </w:t>
      </w:r>
      <w:r w:rsidRPr="000D21BD">
        <w:rPr>
          <w:rFonts w:ascii="Arial Narrow" w:eastAsia="Times New Roman" w:hAnsi="Arial Narrow" w:cs="Times New Roman"/>
        </w:rPr>
        <w:t>del total de los gastos de funcionamiento, los cuales ascienden a la cantidad de:</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bookmarkStart w:id="3" w:name="_Hlk60999977"/>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CONCEPTO   </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personales</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992987">
              <w:rPr>
                <w:rFonts w:ascii="Arial Narrow" w:hAnsi="Arial Narrow"/>
                <w:sz w:val="18"/>
                <w:szCs w:val="18"/>
              </w:rPr>
              <w:t>160</w:t>
            </w:r>
            <w:r w:rsidRPr="000D21BD">
              <w:rPr>
                <w:rFonts w:ascii="Arial Narrow" w:hAnsi="Arial Narrow"/>
                <w:sz w:val="18"/>
                <w:szCs w:val="18"/>
              </w:rPr>
              <w:t>,</w:t>
            </w:r>
            <w:r w:rsidR="00992987">
              <w:rPr>
                <w:rFonts w:ascii="Arial Narrow" w:hAnsi="Arial Narrow"/>
                <w:sz w:val="18"/>
                <w:szCs w:val="18"/>
              </w:rPr>
              <w:t>645</w:t>
            </w:r>
            <w:r w:rsidRPr="000D21BD">
              <w:rPr>
                <w:rFonts w:ascii="Arial Narrow" w:hAnsi="Arial Narrow"/>
                <w:sz w:val="18"/>
                <w:szCs w:val="18"/>
              </w:rPr>
              <w:t>,</w:t>
            </w:r>
            <w:r w:rsidR="00992987">
              <w:rPr>
                <w:rFonts w:ascii="Arial Narrow" w:hAnsi="Arial Narrow"/>
                <w:sz w:val="18"/>
                <w:szCs w:val="18"/>
              </w:rPr>
              <w:t>153</w:t>
            </w:r>
            <w:r w:rsidRPr="000D21BD">
              <w:rPr>
                <w:rFonts w:ascii="Arial Narrow" w:hAnsi="Arial Narrow"/>
                <w:sz w:val="18"/>
                <w:szCs w:val="18"/>
              </w:rPr>
              <w:t>.</w:t>
            </w:r>
            <w:r w:rsidR="00992987">
              <w:rPr>
                <w:rFonts w:ascii="Arial Narrow" w:hAnsi="Arial Narrow"/>
                <w:sz w:val="18"/>
                <w:szCs w:val="18"/>
              </w:rPr>
              <w:t>03</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Materiales y suministros</w:t>
            </w:r>
          </w:p>
        </w:tc>
        <w:tc>
          <w:tcPr>
            <w:tcW w:w="2551" w:type="dxa"/>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992987">
              <w:rPr>
                <w:rFonts w:ascii="Arial Narrow" w:hAnsi="Arial Narrow"/>
                <w:sz w:val="18"/>
                <w:szCs w:val="18"/>
              </w:rPr>
              <w:t>6</w:t>
            </w:r>
            <w:r w:rsidRPr="000D21BD">
              <w:rPr>
                <w:rFonts w:ascii="Arial Narrow" w:hAnsi="Arial Narrow"/>
                <w:sz w:val="18"/>
                <w:szCs w:val="18"/>
              </w:rPr>
              <w:t>,</w:t>
            </w:r>
            <w:r w:rsidR="00992987">
              <w:rPr>
                <w:rFonts w:ascii="Arial Narrow" w:hAnsi="Arial Narrow"/>
                <w:sz w:val="18"/>
                <w:szCs w:val="18"/>
              </w:rPr>
              <w:t>336</w:t>
            </w:r>
            <w:r w:rsidRPr="000D21BD">
              <w:rPr>
                <w:rFonts w:ascii="Arial Narrow" w:hAnsi="Arial Narrow"/>
                <w:sz w:val="18"/>
                <w:szCs w:val="18"/>
              </w:rPr>
              <w:t>,</w:t>
            </w:r>
            <w:r w:rsidR="00992987">
              <w:rPr>
                <w:rFonts w:ascii="Arial Narrow" w:hAnsi="Arial Narrow"/>
                <w:sz w:val="18"/>
                <w:szCs w:val="18"/>
              </w:rPr>
              <w:t>987</w:t>
            </w:r>
            <w:r w:rsidRPr="000D21BD">
              <w:rPr>
                <w:rFonts w:ascii="Arial Narrow" w:hAnsi="Arial Narrow"/>
                <w:sz w:val="18"/>
                <w:szCs w:val="18"/>
              </w:rPr>
              <w:t>.</w:t>
            </w:r>
            <w:r w:rsidR="00992987">
              <w:rPr>
                <w:rFonts w:ascii="Arial Narrow" w:hAnsi="Arial Narrow"/>
                <w:sz w:val="18"/>
                <w:szCs w:val="18"/>
              </w:rPr>
              <w:t>18</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Borders>
              <w:bottom w:val="single" w:sz="8" w:space="0" w:color="4F81BD" w:themeColor="accent1"/>
            </w:tcBorders>
          </w:tcPr>
          <w:p w:rsidR="000D21BD" w:rsidRPr="000D21BD" w:rsidRDefault="000D21BD" w:rsidP="000D21BD">
            <w:pPr>
              <w:jc w:val="both"/>
              <w:rPr>
                <w:rFonts w:ascii="Arial Narrow" w:hAnsi="Arial Narrow"/>
                <w:sz w:val="18"/>
                <w:szCs w:val="18"/>
              </w:rPr>
            </w:pPr>
          </w:p>
        </w:tc>
        <w:tc>
          <w:tcPr>
            <w:tcW w:w="2867"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Servicios generales</w:t>
            </w:r>
          </w:p>
        </w:tc>
        <w:tc>
          <w:tcPr>
            <w:tcW w:w="2551" w:type="dxa"/>
            <w:tcBorders>
              <w:bottom w:val="single" w:sz="8" w:space="0" w:color="4F81BD" w:themeColor="accent1"/>
            </w:tcBorders>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w:t>
            </w:r>
            <w:r w:rsidR="00992987">
              <w:rPr>
                <w:rFonts w:ascii="Arial Narrow" w:hAnsi="Arial Narrow"/>
                <w:sz w:val="18"/>
                <w:szCs w:val="18"/>
              </w:rPr>
              <w:t>12</w:t>
            </w:r>
            <w:r w:rsidRPr="000D21BD">
              <w:rPr>
                <w:rFonts w:ascii="Arial Narrow" w:hAnsi="Arial Narrow"/>
                <w:sz w:val="18"/>
                <w:szCs w:val="18"/>
              </w:rPr>
              <w:t>,</w:t>
            </w:r>
            <w:r w:rsidR="00992987">
              <w:rPr>
                <w:rFonts w:ascii="Arial Narrow" w:hAnsi="Arial Narrow"/>
                <w:sz w:val="18"/>
                <w:szCs w:val="18"/>
              </w:rPr>
              <w:t>037</w:t>
            </w:r>
            <w:r w:rsidRPr="000D21BD">
              <w:rPr>
                <w:rFonts w:ascii="Arial Narrow" w:hAnsi="Arial Narrow"/>
                <w:sz w:val="18"/>
                <w:szCs w:val="18"/>
              </w:rPr>
              <w:t>,</w:t>
            </w:r>
            <w:r w:rsidR="00992987">
              <w:rPr>
                <w:rFonts w:ascii="Arial Narrow" w:hAnsi="Arial Narrow"/>
                <w:sz w:val="18"/>
                <w:szCs w:val="18"/>
              </w:rPr>
              <w:t>065</w:t>
            </w:r>
            <w:r w:rsidRPr="000D21BD">
              <w:rPr>
                <w:rFonts w:ascii="Arial Narrow" w:hAnsi="Arial Narrow"/>
                <w:sz w:val="18"/>
                <w:szCs w:val="18"/>
              </w:rPr>
              <w:t>.</w:t>
            </w:r>
            <w:r w:rsidR="00992987">
              <w:rPr>
                <w:rFonts w:ascii="Arial Narrow" w:hAnsi="Arial Narrow"/>
                <w:sz w:val="18"/>
                <w:szCs w:val="18"/>
              </w:rPr>
              <w:t>22</w:t>
            </w:r>
          </w:p>
        </w:tc>
      </w:tr>
      <w:bookmarkEnd w:id="3"/>
    </w:tbl>
    <w:p w:rsidR="000D21BD" w:rsidRPr="000D21BD" w:rsidRDefault="000D21BD" w:rsidP="000D21BD">
      <w:pPr>
        <w:jc w:val="both"/>
        <w:rPr>
          <w:rFonts w:ascii="Arial Narrow" w:eastAsia="Times New Roman" w:hAnsi="Arial Narrow" w:cs="Times New Roman"/>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VARIACIONES EN LA HACIENDA PÚBLICA.</w:t>
      </w: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u w:val="single"/>
        </w:rPr>
      </w:pP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1.- Patrimonio Contribuido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Donaciones de capital</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42,148.99</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Actualización de la Hacienda Pública</w:t>
            </w:r>
          </w:p>
        </w:tc>
        <w:tc>
          <w:tcPr>
            <w:tcW w:w="2551" w:type="dxa"/>
            <w:tcBorders>
              <w:bottom w:val="single" w:sz="8" w:space="0" w:color="4F81BD" w:themeColor="accent1"/>
            </w:tcBorders>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$ 28,376,284.03</w:t>
            </w:r>
          </w:p>
        </w:tc>
      </w:tr>
    </w:tbl>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sz w:val="18"/>
          <w:szCs w:val="18"/>
        </w:rPr>
      </w:pP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bCs/>
          <w:color w:val="000000"/>
          <w:sz w:val="18"/>
          <w:szCs w:val="18"/>
        </w:rPr>
      </w:pPr>
      <w:r w:rsidRPr="000D21BD">
        <w:rPr>
          <w:rFonts w:ascii="Arial Narrow" w:eastAsia="Times New Roman" w:hAnsi="Arial Narrow" w:cs="Arial"/>
          <w:b/>
          <w:bCs/>
          <w:color w:val="000000"/>
          <w:sz w:val="18"/>
          <w:szCs w:val="18"/>
        </w:rPr>
        <w:t>2.- Patrimonio Generado</w:t>
      </w:r>
    </w:p>
    <w:tbl>
      <w:tblPr>
        <w:tblStyle w:val="Sombreadoclaro-nfasis11"/>
        <w:tblW w:w="0" w:type="auto"/>
        <w:jc w:val="center"/>
        <w:tblLook w:val="04A0" w:firstRow="1" w:lastRow="0" w:firstColumn="1" w:lastColumn="0" w:noHBand="0" w:noVBand="1"/>
      </w:tblPr>
      <w:tblGrid>
        <w:gridCol w:w="1674"/>
        <w:gridCol w:w="2867"/>
        <w:gridCol w:w="255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74" w:type="dxa"/>
          </w:tcPr>
          <w:p w:rsidR="000D21BD" w:rsidRPr="000D21BD" w:rsidRDefault="000D21BD" w:rsidP="000D21BD">
            <w:pPr>
              <w:jc w:val="both"/>
              <w:rPr>
                <w:rFonts w:ascii="Arial Narrow" w:hAnsi="Arial Narrow"/>
                <w:sz w:val="18"/>
                <w:szCs w:val="18"/>
              </w:rPr>
            </w:pPr>
          </w:p>
        </w:tc>
        <w:tc>
          <w:tcPr>
            <w:tcW w:w="2867"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Concepto</w:t>
            </w:r>
          </w:p>
        </w:tc>
        <w:tc>
          <w:tcPr>
            <w:tcW w:w="2551" w:type="dxa"/>
          </w:tcPr>
          <w:p w:rsidR="000D21BD" w:rsidRPr="000D21BD" w:rsidRDefault="000D21BD" w:rsidP="000D21BD">
            <w:pPr>
              <w:jc w:val="both"/>
              <w:cnfStyle w:val="100000000000" w:firstRow="1"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CANTIDAD</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41" w:type="dxa"/>
            <w:gridSpan w:val="2"/>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Resultados de ejercicios anteriores</w:t>
            </w:r>
          </w:p>
        </w:tc>
        <w:tc>
          <w:tcPr>
            <w:tcW w:w="2551" w:type="dxa"/>
          </w:tcPr>
          <w:p w:rsidR="000D21BD" w:rsidRPr="000D21BD" w:rsidRDefault="000D21BD" w:rsidP="000D21BD">
            <w:pPr>
              <w:jc w:val="both"/>
              <w:cnfStyle w:val="000000100000" w:firstRow="0" w:lastRow="0" w:firstColumn="0" w:lastColumn="0" w:oddVBand="0" w:evenVBand="0" w:oddHBand="1"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w:t>
            </w:r>
            <w:r w:rsidR="00992987">
              <w:rPr>
                <w:rFonts w:ascii="Arial Narrow" w:hAnsi="Arial Narrow"/>
                <w:sz w:val="18"/>
                <w:szCs w:val="18"/>
              </w:rPr>
              <w:t>119</w:t>
            </w:r>
            <w:r w:rsidRPr="000D21BD">
              <w:rPr>
                <w:rFonts w:ascii="Arial Narrow" w:hAnsi="Arial Narrow"/>
                <w:sz w:val="18"/>
                <w:szCs w:val="18"/>
              </w:rPr>
              <w:t>,</w:t>
            </w:r>
            <w:r w:rsidR="00992987">
              <w:rPr>
                <w:rFonts w:ascii="Arial Narrow" w:hAnsi="Arial Narrow"/>
                <w:sz w:val="18"/>
                <w:szCs w:val="18"/>
              </w:rPr>
              <w:t>401</w:t>
            </w:r>
            <w:r w:rsidRPr="000D21BD">
              <w:rPr>
                <w:rFonts w:ascii="Arial Narrow" w:hAnsi="Arial Narrow"/>
                <w:sz w:val="18"/>
                <w:szCs w:val="18"/>
              </w:rPr>
              <w:t>,</w:t>
            </w:r>
            <w:r w:rsidR="00992987">
              <w:rPr>
                <w:rFonts w:ascii="Arial Narrow" w:hAnsi="Arial Narrow"/>
                <w:sz w:val="18"/>
                <w:szCs w:val="18"/>
              </w:rPr>
              <w:t>745</w:t>
            </w:r>
            <w:r w:rsidRPr="000D21BD">
              <w:rPr>
                <w:rFonts w:ascii="Arial Narrow" w:hAnsi="Arial Narrow"/>
                <w:sz w:val="18"/>
                <w:szCs w:val="18"/>
              </w:rPr>
              <w:t>.</w:t>
            </w:r>
            <w:r w:rsidR="00992987">
              <w:rPr>
                <w:rFonts w:ascii="Arial Narrow" w:hAnsi="Arial Narrow"/>
                <w:sz w:val="18"/>
                <w:szCs w:val="18"/>
              </w:rPr>
              <w:t>28</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4541" w:type="dxa"/>
            <w:gridSpan w:val="2"/>
            <w:tcBorders>
              <w:bottom w:val="single" w:sz="8" w:space="0" w:color="4F81BD" w:themeColor="accent1"/>
            </w:tcBorders>
          </w:tcPr>
          <w:p w:rsidR="000D21BD" w:rsidRPr="000D21BD" w:rsidRDefault="000D21BD" w:rsidP="000D21BD">
            <w:pPr>
              <w:jc w:val="both"/>
              <w:rPr>
                <w:rFonts w:ascii="Arial Narrow" w:hAnsi="Arial Narrow"/>
                <w:sz w:val="18"/>
                <w:szCs w:val="18"/>
              </w:rPr>
            </w:pPr>
            <w:r w:rsidRPr="000D21BD">
              <w:rPr>
                <w:rFonts w:ascii="Arial Narrow" w:hAnsi="Arial Narrow"/>
                <w:sz w:val="18"/>
                <w:szCs w:val="18"/>
              </w:rPr>
              <w:t>Rectificación de resultados de ejercicios anteriores</w:t>
            </w:r>
          </w:p>
        </w:tc>
        <w:tc>
          <w:tcPr>
            <w:tcW w:w="2551" w:type="dxa"/>
            <w:tcBorders>
              <w:bottom w:val="single" w:sz="8" w:space="0" w:color="4F81BD" w:themeColor="accent1"/>
            </w:tcBorders>
          </w:tcPr>
          <w:p w:rsidR="000D21BD" w:rsidRPr="000D21BD" w:rsidRDefault="000D21BD" w:rsidP="000D21BD">
            <w:pPr>
              <w:jc w:val="both"/>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0D21BD">
              <w:rPr>
                <w:rFonts w:ascii="Arial Narrow" w:hAnsi="Arial Narrow"/>
                <w:sz w:val="18"/>
                <w:szCs w:val="18"/>
              </w:rPr>
              <w:t xml:space="preserve">            $                 -0.48</w:t>
            </w:r>
          </w:p>
        </w:tc>
      </w:tr>
    </w:tbl>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NOTAS AL ESTADO DE FLUJO DE EFECTIVO.</w:t>
      </w: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b/>
          <w:color w:val="000000"/>
          <w:u w:val="single"/>
        </w:rPr>
      </w:pPr>
    </w:p>
    <w:p w:rsidR="000D21BD" w:rsidRPr="000D21BD" w:rsidRDefault="000D21BD" w:rsidP="000D21BD">
      <w:pPr>
        <w:autoSpaceDE w:val="0"/>
        <w:autoSpaceDN w:val="0"/>
        <w:adjustRightInd w:val="0"/>
        <w:spacing w:after="0" w:line="240" w:lineRule="auto"/>
        <w:ind w:left="720"/>
        <w:rPr>
          <w:rFonts w:ascii="Arial Narrow" w:eastAsia="Times New Roman" w:hAnsi="Arial Narrow" w:cs="Arial"/>
          <w:b/>
          <w:color w:val="000000"/>
          <w:u w:val="single"/>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Efectivos y equivalentes.</w:t>
      </w:r>
    </w:p>
    <w:p w:rsidR="000D21BD" w:rsidRPr="000D21BD" w:rsidRDefault="000D21BD" w:rsidP="000D21BD">
      <w:pPr>
        <w:autoSpaceDE w:val="0"/>
        <w:autoSpaceDN w:val="0"/>
        <w:adjustRightInd w:val="0"/>
        <w:spacing w:after="0" w:line="240" w:lineRule="auto"/>
        <w:ind w:left="360"/>
        <w:rPr>
          <w:rFonts w:ascii="Arial Narrow" w:eastAsia="Times New Roman" w:hAnsi="Arial Narrow" w:cs="Arial"/>
          <w:color w:val="000000"/>
        </w:rPr>
      </w:pPr>
    </w:p>
    <w:tbl>
      <w:tblPr>
        <w:tblStyle w:val="Sombreadoclaro-nfasis11"/>
        <w:tblW w:w="0" w:type="auto"/>
        <w:jc w:val="center"/>
        <w:tblLayout w:type="fixed"/>
        <w:tblLook w:val="04A0" w:firstRow="1" w:lastRow="0" w:firstColumn="1" w:lastColumn="0" w:noHBand="0" w:noVBand="1"/>
      </w:tblPr>
      <w:tblGrid>
        <w:gridCol w:w="3794"/>
        <w:gridCol w:w="1559"/>
        <w:gridCol w:w="1481"/>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CONCEPTO</w:t>
            </w:r>
          </w:p>
        </w:tc>
        <w:tc>
          <w:tcPr>
            <w:tcW w:w="1559" w:type="dxa"/>
          </w:tcPr>
          <w:p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3</w:t>
            </w:r>
          </w:p>
        </w:tc>
        <w:tc>
          <w:tcPr>
            <w:tcW w:w="1481" w:type="dxa"/>
          </w:tcPr>
          <w:p w:rsidR="000D21BD" w:rsidRPr="000D21BD" w:rsidRDefault="000D21BD" w:rsidP="000D21B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992987">
              <w:rPr>
                <w:rFonts w:ascii="Arial Narrow" w:hAnsi="Arial Narrow" w:cs="Arial"/>
                <w:color w:val="000000"/>
                <w:sz w:val="18"/>
                <w:szCs w:val="18"/>
              </w:rPr>
              <w:t>2</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Efectivo</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38,000.00</w:t>
            </w:r>
          </w:p>
        </w:tc>
        <w:tc>
          <w:tcPr>
            <w:tcW w:w="1481" w:type="dxa"/>
          </w:tcPr>
          <w:p w:rsidR="000D21BD" w:rsidRPr="00992987" w:rsidRDefault="000D21BD"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Bancos -Tesorería</w:t>
            </w:r>
          </w:p>
        </w:tc>
        <w:tc>
          <w:tcPr>
            <w:tcW w:w="1559"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 xml:space="preserve"> </w:t>
            </w: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22</w:t>
            </w:r>
            <w:r w:rsidRPr="000D21BD">
              <w:rPr>
                <w:rFonts w:ascii="Arial Narrow" w:hAnsi="Arial Narrow" w:cs="Arial"/>
                <w:b/>
                <w:color w:val="000000"/>
                <w:sz w:val="18"/>
                <w:szCs w:val="18"/>
              </w:rPr>
              <w:t>,</w:t>
            </w:r>
            <w:r w:rsidR="00992987">
              <w:rPr>
                <w:rFonts w:ascii="Arial Narrow" w:hAnsi="Arial Narrow" w:cs="Arial"/>
                <w:b/>
                <w:color w:val="000000"/>
                <w:sz w:val="18"/>
                <w:szCs w:val="18"/>
              </w:rPr>
              <w:t>597</w:t>
            </w:r>
            <w:r w:rsidRPr="000D21BD">
              <w:rPr>
                <w:rFonts w:ascii="Arial Narrow" w:hAnsi="Arial Narrow" w:cs="Arial"/>
                <w:b/>
                <w:color w:val="000000"/>
                <w:sz w:val="18"/>
                <w:szCs w:val="18"/>
              </w:rPr>
              <w:t>,</w:t>
            </w:r>
            <w:r w:rsidR="00992987">
              <w:rPr>
                <w:rFonts w:ascii="Arial Narrow" w:hAnsi="Arial Narrow" w:cs="Arial"/>
                <w:b/>
                <w:color w:val="000000"/>
                <w:sz w:val="18"/>
                <w:szCs w:val="18"/>
              </w:rPr>
              <w:t>759</w:t>
            </w:r>
            <w:r w:rsidRPr="000D21BD">
              <w:rPr>
                <w:rFonts w:ascii="Arial Narrow" w:hAnsi="Arial Narrow" w:cs="Arial"/>
                <w:b/>
                <w:color w:val="000000"/>
                <w:sz w:val="18"/>
                <w:szCs w:val="18"/>
              </w:rPr>
              <w:t>.</w:t>
            </w:r>
            <w:r w:rsidR="00992987">
              <w:rPr>
                <w:rFonts w:ascii="Arial Narrow" w:hAnsi="Arial Narrow" w:cs="Arial"/>
                <w:b/>
                <w:color w:val="000000"/>
                <w:sz w:val="18"/>
                <w:szCs w:val="18"/>
              </w:rPr>
              <w:t>10</w:t>
            </w:r>
          </w:p>
        </w:tc>
        <w:tc>
          <w:tcPr>
            <w:tcW w:w="1481" w:type="dxa"/>
          </w:tcPr>
          <w:p w:rsidR="000D21BD" w:rsidRPr="00992987"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 xml:space="preserve">$ </w:t>
            </w:r>
            <w:r w:rsidR="00992987" w:rsidRPr="00992987">
              <w:rPr>
                <w:rFonts w:ascii="Arial Narrow" w:hAnsi="Arial Narrow" w:cs="Arial"/>
                <w:b/>
                <w:bCs/>
                <w:color w:val="000000"/>
                <w:sz w:val="18"/>
                <w:szCs w:val="18"/>
              </w:rPr>
              <w:t>19</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820</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174</w:t>
            </w: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28</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Inversiones temporales</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w:t>
            </w:r>
            <w:r w:rsidR="00992987">
              <w:rPr>
                <w:rFonts w:ascii="Arial Narrow" w:hAnsi="Arial Narrow" w:cs="Arial"/>
                <w:b/>
                <w:color w:val="000000"/>
                <w:sz w:val="18"/>
                <w:szCs w:val="18"/>
              </w:rPr>
              <w:t>128</w:t>
            </w:r>
            <w:r w:rsidRPr="000D21BD">
              <w:rPr>
                <w:rFonts w:ascii="Arial Narrow" w:hAnsi="Arial Narrow" w:cs="Arial"/>
                <w:b/>
                <w:color w:val="000000"/>
                <w:sz w:val="18"/>
                <w:szCs w:val="18"/>
              </w:rPr>
              <w:t>,</w:t>
            </w:r>
            <w:r w:rsidR="00992987">
              <w:rPr>
                <w:rFonts w:ascii="Arial Narrow" w:hAnsi="Arial Narrow" w:cs="Arial"/>
                <w:b/>
                <w:color w:val="000000"/>
                <w:sz w:val="18"/>
                <w:szCs w:val="18"/>
              </w:rPr>
              <w:t>200</w:t>
            </w:r>
            <w:r w:rsidRPr="000D21BD">
              <w:rPr>
                <w:rFonts w:ascii="Arial Narrow" w:hAnsi="Arial Narrow" w:cs="Arial"/>
                <w:b/>
                <w:color w:val="000000"/>
                <w:sz w:val="18"/>
                <w:szCs w:val="18"/>
              </w:rPr>
              <w:t>,</w:t>
            </w:r>
            <w:r w:rsidR="00992987">
              <w:rPr>
                <w:rFonts w:ascii="Arial Narrow" w:hAnsi="Arial Narrow" w:cs="Arial"/>
                <w:b/>
                <w:color w:val="000000"/>
                <w:sz w:val="18"/>
                <w:szCs w:val="18"/>
              </w:rPr>
              <w:t>733</w:t>
            </w:r>
            <w:r w:rsidRPr="000D21BD">
              <w:rPr>
                <w:rFonts w:ascii="Arial Narrow" w:hAnsi="Arial Narrow" w:cs="Arial"/>
                <w:b/>
                <w:color w:val="000000"/>
                <w:sz w:val="18"/>
                <w:szCs w:val="18"/>
              </w:rPr>
              <w:t>.</w:t>
            </w:r>
            <w:r w:rsidR="00992987">
              <w:rPr>
                <w:rFonts w:ascii="Arial Narrow" w:hAnsi="Arial Narrow" w:cs="Arial"/>
                <w:b/>
                <w:color w:val="000000"/>
                <w:sz w:val="18"/>
                <w:szCs w:val="18"/>
              </w:rPr>
              <w:t>36</w:t>
            </w:r>
          </w:p>
        </w:tc>
        <w:tc>
          <w:tcPr>
            <w:tcW w:w="1481" w:type="dxa"/>
          </w:tcPr>
          <w:p w:rsidR="000D21BD" w:rsidRPr="00992987"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992987">
              <w:rPr>
                <w:rFonts w:ascii="Arial Narrow" w:hAnsi="Arial Narrow" w:cs="Arial"/>
                <w:b/>
                <w:bCs/>
                <w:color w:val="000000"/>
                <w:sz w:val="18"/>
                <w:szCs w:val="18"/>
              </w:rPr>
              <w:t>$</w:t>
            </w:r>
            <w:r w:rsidR="00992987" w:rsidRPr="00992987">
              <w:rPr>
                <w:rFonts w:ascii="Arial Narrow" w:hAnsi="Arial Narrow" w:cs="Arial"/>
                <w:b/>
                <w:bCs/>
                <w:color w:val="000000"/>
                <w:sz w:val="18"/>
                <w:szCs w:val="18"/>
              </w:rPr>
              <w:t xml:space="preserve"> 86,175,134.26</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3794"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Depósitos en garantía</w:t>
            </w:r>
          </w:p>
        </w:tc>
        <w:tc>
          <w:tcPr>
            <w:tcW w:w="1559"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25,000.00</w:t>
            </w:r>
          </w:p>
        </w:tc>
        <w:tc>
          <w:tcPr>
            <w:tcW w:w="1481" w:type="dxa"/>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color w:val="000000"/>
                <w:sz w:val="18"/>
                <w:szCs w:val="18"/>
              </w:rPr>
            </w:pPr>
            <w:r w:rsidRPr="000D21BD">
              <w:rPr>
                <w:rFonts w:ascii="Arial Narrow" w:hAnsi="Arial Narrow" w:cs="Arial"/>
                <w:b/>
                <w:color w:val="000000"/>
                <w:sz w:val="18"/>
                <w:szCs w:val="18"/>
              </w:rPr>
              <w:t xml:space="preserve">    $       25,000.00</w:t>
            </w:r>
          </w:p>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794" w:type="dxa"/>
            <w:tcBorders>
              <w:bottom w:val="single" w:sz="8" w:space="0" w:color="4F81BD" w:themeColor="accent1"/>
            </w:tcBorders>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TOTAL</w:t>
            </w:r>
          </w:p>
        </w:tc>
        <w:tc>
          <w:tcPr>
            <w:tcW w:w="1559" w:type="dxa"/>
            <w:tcBorders>
              <w:bottom w:val="single" w:sz="8" w:space="0" w:color="4F81BD" w:themeColor="accent1"/>
            </w:tcBorders>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b/>
                <w:color w:val="000000"/>
                <w:sz w:val="18"/>
                <w:szCs w:val="18"/>
              </w:rPr>
              <w:t xml:space="preserve">$   </w:t>
            </w:r>
            <w:r w:rsidR="001B4F84">
              <w:rPr>
                <w:rFonts w:ascii="Arial Narrow" w:hAnsi="Arial Narrow" w:cs="Arial"/>
                <w:b/>
                <w:color w:val="000000"/>
                <w:sz w:val="18"/>
                <w:szCs w:val="18"/>
              </w:rPr>
              <w:t>150</w:t>
            </w:r>
            <w:r w:rsidRPr="000D21BD">
              <w:rPr>
                <w:rFonts w:ascii="Arial Narrow" w:hAnsi="Arial Narrow" w:cs="Arial"/>
                <w:b/>
                <w:color w:val="000000"/>
                <w:sz w:val="18"/>
                <w:szCs w:val="18"/>
              </w:rPr>
              <w:t>,</w:t>
            </w:r>
            <w:r w:rsidR="001B4F84">
              <w:rPr>
                <w:rFonts w:ascii="Arial Narrow" w:hAnsi="Arial Narrow" w:cs="Arial"/>
                <w:b/>
                <w:color w:val="000000"/>
                <w:sz w:val="18"/>
                <w:szCs w:val="18"/>
              </w:rPr>
              <w:t>861</w:t>
            </w:r>
            <w:r w:rsidRPr="000D21BD">
              <w:rPr>
                <w:rFonts w:ascii="Arial Narrow" w:hAnsi="Arial Narrow" w:cs="Arial"/>
                <w:b/>
                <w:color w:val="000000"/>
                <w:sz w:val="18"/>
                <w:szCs w:val="18"/>
              </w:rPr>
              <w:t>,</w:t>
            </w:r>
            <w:r w:rsidR="001B4F84">
              <w:rPr>
                <w:rFonts w:ascii="Arial Narrow" w:hAnsi="Arial Narrow" w:cs="Arial"/>
                <w:b/>
                <w:color w:val="000000"/>
                <w:sz w:val="18"/>
                <w:szCs w:val="18"/>
              </w:rPr>
              <w:t>492</w:t>
            </w:r>
            <w:r w:rsidRPr="000D21BD">
              <w:rPr>
                <w:rFonts w:ascii="Arial Narrow" w:hAnsi="Arial Narrow" w:cs="Arial"/>
                <w:b/>
                <w:color w:val="000000"/>
                <w:sz w:val="18"/>
                <w:szCs w:val="18"/>
              </w:rPr>
              <w:t>,</w:t>
            </w:r>
            <w:r w:rsidR="001B4F84">
              <w:rPr>
                <w:rFonts w:ascii="Arial Narrow" w:hAnsi="Arial Narrow" w:cs="Arial"/>
                <w:b/>
                <w:color w:val="000000"/>
                <w:sz w:val="18"/>
                <w:szCs w:val="18"/>
              </w:rPr>
              <w:t>45</w:t>
            </w:r>
          </w:p>
        </w:tc>
        <w:tc>
          <w:tcPr>
            <w:tcW w:w="1481" w:type="dxa"/>
            <w:tcBorders>
              <w:bottom w:val="single" w:sz="8" w:space="0" w:color="4F81BD" w:themeColor="accent1"/>
            </w:tcBorders>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106</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020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308</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54</w:t>
            </w: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rPr>
        <w:lastRenderedPageBreak/>
        <w:t>Se adquirieron bienes muebles.</w:t>
      </w:r>
    </w:p>
    <w:p w:rsidR="000D21BD" w:rsidRPr="000D21BD" w:rsidRDefault="000D21BD" w:rsidP="000D21BD">
      <w:pPr>
        <w:autoSpaceDE w:val="0"/>
        <w:autoSpaceDN w:val="0"/>
        <w:adjustRightInd w:val="0"/>
        <w:spacing w:after="0" w:line="240" w:lineRule="auto"/>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Cs/>
        </w:rPr>
        <w:t xml:space="preserve">Durante el periodo de enero a </w:t>
      </w:r>
      <w:r w:rsidR="001B4F84">
        <w:rPr>
          <w:rFonts w:ascii="Arial Narrow" w:eastAsia="Times New Roman" w:hAnsi="Arial Narrow" w:cs="Arial"/>
          <w:bCs/>
        </w:rPr>
        <w:t>junio</w:t>
      </w:r>
      <w:r w:rsidRPr="000D21BD">
        <w:rPr>
          <w:rFonts w:ascii="Arial Narrow" w:eastAsia="Times New Roman" w:hAnsi="Arial Narrow" w:cs="Arial"/>
          <w:bCs/>
        </w:rPr>
        <w:t xml:space="preserve"> de 202</w:t>
      </w:r>
      <w:r w:rsidR="001B4F84">
        <w:rPr>
          <w:rFonts w:ascii="Arial Narrow" w:eastAsia="Times New Roman" w:hAnsi="Arial Narrow" w:cs="Arial"/>
          <w:bCs/>
        </w:rPr>
        <w:t>3</w:t>
      </w:r>
      <w:r w:rsidRPr="000D21BD">
        <w:rPr>
          <w:rFonts w:ascii="Arial Narrow" w:eastAsia="Times New Roman" w:hAnsi="Arial Narrow" w:cs="Arial"/>
          <w:bCs/>
        </w:rPr>
        <w:t>, el Poder Judicial, ha demostrado un compromiso real con la modernización de las áreas con la adquisición de las herramientas tecnológicas para el desarrollo adecuado de las funciones jurisdiccionales y administrativas.</w:t>
      </w: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p>
    <w:p w:rsidR="000D21BD" w:rsidRPr="000D21BD" w:rsidRDefault="000D21BD" w:rsidP="000D21BD">
      <w:pPr>
        <w:numPr>
          <w:ilvl w:val="0"/>
          <w:numId w:val="33"/>
        </w:num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Intangibles.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jc w:val="both"/>
        <w:rPr>
          <w:rFonts w:ascii="Arial Narrow" w:eastAsia="Times New Roman" w:hAnsi="Arial Narrow" w:cs="Times New Roman"/>
          <w:color w:val="000000" w:themeColor="text1"/>
        </w:rPr>
      </w:pPr>
      <w:r w:rsidRPr="000D21BD">
        <w:rPr>
          <w:rFonts w:ascii="Arial Narrow" w:eastAsia="Times New Roman" w:hAnsi="Arial Narrow" w:cs="Times New Roman"/>
        </w:rPr>
        <w:t xml:space="preserve">Durante el periodo de enero a </w:t>
      </w:r>
      <w:r w:rsidR="001B4F84">
        <w:rPr>
          <w:rFonts w:ascii="Arial Narrow" w:eastAsia="Times New Roman" w:hAnsi="Arial Narrow" w:cs="Times New Roman"/>
        </w:rPr>
        <w:t>junio</w:t>
      </w:r>
      <w:r w:rsidRPr="000D21BD">
        <w:rPr>
          <w:rFonts w:ascii="Arial Narrow" w:eastAsia="Times New Roman" w:hAnsi="Arial Narrow" w:cs="Times New Roman"/>
        </w:rPr>
        <w:t xml:space="preserve"> de 202</w:t>
      </w:r>
      <w:r w:rsidR="001B4F84">
        <w:rPr>
          <w:rFonts w:ascii="Arial Narrow" w:eastAsia="Times New Roman" w:hAnsi="Arial Narrow" w:cs="Times New Roman"/>
        </w:rPr>
        <w:t>3</w:t>
      </w:r>
      <w:r w:rsidRPr="000D21BD">
        <w:rPr>
          <w:rFonts w:ascii="Arial Narrow" w:eastAsia="Times New Roman" w:hAnsi="Arial Narrow" w:cs="Times New Roman"/>
        </w:rPr>
        <w:t xml:space="preserve">, no </w:t>
      </w:r>
      <w:r w:rsidRPr="000D21BD">
        <w:rPr>
          <w:rFonts w:ascii="Arial Narrow" w:eastAsia="Times New Roman" w:hAnsi="Arial Narrow" w:cs="Times New Roman"/>
          <w:color w:val="000000" w:themeColor="text1"/>
        </w:rPr>
        <w:t>se han adquirido bienes intangibles.</w:t>
      </w:r>
    </w:p>
    <w:p w:rsidR="000D21BD" w:rsidRPr="000D21BD" w:rsidRDefault="000D21BD" w:rsidP="000D21BD">
      <w:pPr>
        <w:numPr>
          <w:ilvl w:val="0"/>
          <w:numId w:val="33"/>
        </w:numPr>
        <w:autoSpaceDE w:val="0"/>
        <w:autoSpaceDN w:val="0"/>
        <w:adjustRightInd w:val="0"/>
        <w:spacing w:after="0" w:line="240" w:lineRule="auto"/>
        <w:jc w:val="both"/>
        <w:rPr>
          <w:rFonts w:ascii="Arial Narrow" w:eastAsia="Times New Roman" w:hAnsi="Arial Narrow" w:cs="Arial"/>
          <w:b/>
          <w:color w:val="000000"/>
        </w:rPr>
      </w:pPr>
      <w:r w:rsidRPr="000D21BD">
        <w:rPr>
          <w:rFonts w:ascii="Arial Narrow" w:eastAsia="Times New Roman" w:hAnsi="Arial Narrow" w:cs="Arial"/>
          <w:b/>
          <w:color w:val="000000"/>
        </w:rPr>
        <w:t xml:space="preserve">Conciliación de los flujos de efectivo netos de las actividades de operación y la cuenta de ahorro /desahorro antes de rubros extraordinarios. </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Sombreadoclaro-nfasis11"/>
        <w:tblW w:w="0" w:type="auto"/>
        <w:jc w:val="center"/>
        <w:tblLook w:val="04A0" w:firstRow="1" w:lastRow="0" w:firstColumn="1" w:lastColumn="0" w:noHBand="0" w:noVBand="1"/>
      </w:tblPr>
      <w:tblGrid>
        <w:gridCol w:w="5353"/>
        <w:gridCol w:w="1418"/>
        <w:gridCol w:w="1559"/>
      </w:tblGrid>
      <w:tr w:rsidR="000D21BD" w:rsidRPr="000D21BD" w:rsidTr="007D002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jc w:val="center"/>
              <w:rPr>
                <w:rFonts w:ascii="Arial Narrow" w:hAnsi="Arial Narrow" w:cs="Arial"/>
                <w:color w:val="000000"/>
                <w:sz w:val="18"/>
                <w:szCs w:val="18"/>
              </w:rPr>
            </w:pPr>
            <w:r w:rsidRPr="000D21BD">
              <w:rPr>
                <w:rFonts w:ascii="Arial Narrow" w:hAnsi="Arial Narrow" w:cs="Arial"/>
                <w:color w:val="000000"/>
                <w:sz w:val="18"/>
                <w:szCs w:val="18"/>
              </w:rPr>
              <w:t>Conceptos</w:t>
            </w:r>
          </w:p>
        </w:tc>
        <w:tc>
          <w:tcPr>
            <w:tcW w:w="1418" w:type="dxa"/>
          </w:tcPr>
          <w:p w:rsidR="000D21BD" w:rsidRPr="000D21BD" w:rsidRDefault="000D21BD" w:rsidP="000D21BD">
            <w:pPr>
              <w:autoSpaceDE w:val="0"/>
              <w:autoSpaceDN w:val="0"/>
              <w:adjustRightInd w:val="0"/>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202</w:t>
            </w:r>
            <w:r w:rsidR="001B4F84">
              <w:rPr>
                <w:rFonts w:ascii="Arial Narrow" w:hAnsi="Arial Narrow" w:cs="Arial"/>
                <w:color w:val="000000"/>
                <w:sz w:val="18"/>
                <w:szCs w:val="18"/>
              </w:rPr>
              <w:t>3</w:t>
            </w:r>
          </w:p>
        </w:tc>
        <w:tc>
          <w:tcPr>
            <w:tcW w:w="1559" w:type="dxa"/>
          </w:tcPr>
          <w:p w:rsidR="000D21BD" w:rsidRPr="000D21BD" w:rsidRDefault="000D21BD" w:rsidP="000D21BD">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202</w:t>
            </w:r>
            <w:r w:rsidR="001B4F84">
              <w:rPr>
                <w:rFonts w:ascii="Arial Narrow" w:hAnsi="Arial Narrow" w:cs="Arial"/>
                <w:color w:val="000000"/>
                <w:sz w:val="18"/>
                <w:szCs w:val="18"/>
              </w:rPr>
              <w:t>2</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Ahorro/desahorro Resultado del ejercicio.</w:t>
            </w:r>
          </w:p>
        </w:tc>
        <w:tc>
          <w:tcPr>
            <w:tcW w:w="1418" w:type="dxa"/>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w:t>
            </w:r>
            <w:r w:rsidR="001B4F84">
              <w:rPr>
                <w:rFonts w:ascii="Arial Narrow" w:hAnsi="Arial Narrow" w:cs="Arial"/>
                <w:color w:val="000000"/>
                <w:sz w:val="18"/>
                <w:szCs w:val="18"/>
              </w:rPr>
              <w:t>70</w:t>
            </w:r>
            <w:r w:rsidRPr="000D21BD">
              <w:rPr>
                <w:rFonts w:ascii="Arial Narrow" w:hAnsi="Arial Narrow" w:cs="Arial"/>
                <w:color w:val="000000"/>
                <w:sz w:val="18"/>
                <w:szCs w:val="18"/>
              </w:rPr>
              <w:t>,</w:t>
            </w:r>
            <w:r w:rsidR="001B4F84">
              <w:rPr>
                <w:rFonts w:ascii="Arial Narrow" w:hAnsi="Arial Narrow" w:cs="Arial"/>
                <w:color w:val="000000"/>
                <w:sz w:val="18"/>
                <w:szCs w:val="18"/>
              </w:rPr>
              <w:t>102</w:t>
            </w:r>
            <w:r w:rsidRPr="000D21BD">
              <w:rPr>
                <w:rFonts w:ascii="Arial Narrow" w:hAnsi="Arial Narrow" w:cs="Arial"/>
                <w:color w:val="000000"/>
                <w:sz w:val="18"/>
                <w:szCs w:val="18"/>
              </w:rPr>
              <w:t>,</w:t>
            </w:r>
            <w:r w:rsidR="001B4F84">
              <w:rPr>
                <w:rFonts w:ascii="Arial Narrow" w:hAnsi="Arial Narrow" w:cs="Arial"/>
                <w:color w:val="000000"/>
                <w:sz w:val="18"/>
                <w:szCs w:val="18"/>
              </w:rPr>
              <w:t>541</w:t>
            </w:r>
            <w:r w:rsidRPr="000D21BD">
              <w:rPr>
                <w:rFonts w:ascii="Arial Narrow" w:hAnsi="Arial Narrow" w:cs="Arial"/>
                <w:color w:val="000000"/>
                <w:sz w:val="18"/>
                <w:szCs w:val="18"/>
              </w:rPr>
              <w:t>.</w:t>
            </w:r>
            <w:r w:rsidR="001B4F84">
              <w:rPr>
                <w:rFonts w:ascii="Arial Narrow" w:hAnsi="Arial Narrow" w:cs="Arial"/>
                <w:color w:val="000000"/>
                <w:sz w:val="18"/>
                <w:szCs w:val="18"/>
              </w:rPr>
              <w:t>07</w:t>
            </w:r>
          </w:p>
        </w:tc>
        <w:tc>
          <w:tcPr>
            <w:tcW w:w="1559" w:type="dxa"/>
          </w:tcPr>
          <w:p w:rsidR="000D21BD" w:rsidRPr="000D21BD" w:rsidRDefault="001B4F84" w:rsidP="000D21BD">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w:t>
            </w:r>
            <w:r>
              <w:rPr>
                <w:rFonts w:ascii="Arial Narrow" w:hAnsi="Arial Narrow" w:cs="Arial"/>
                <w:color w:val="000000"/>
                <w:sz w:val="18"/>
                <w:szCs w:val="18"/>
              </w:rPr>
              <w:t xml:space="preserve">  </w:t>
            </w:r>
            <w:r w:rsidR="000D21BD" w:rsidRPr="000D21BD">
              <w:rPr>
                <w:rFonts w:ascii="Arial Narrow" w:hAnsi="Arial Narrow" w:cs="Arial"/>
                <w:color w:val="000000"/>
                <w:sz w:val="18"/>
                <w:szCs w:val="18"/>
              </w:rPr>
              <w:t xml:space="preserve"> </w:t>
            </w:r>
            <w:r>
              <w:rPr>
                <w:rFonts w:ascii="Arial Narrow" w:hAnsi="Arial Narrow" w:cs="Arial"/>
                <w:color w:val="000000"/>
                <w:sz w:val="18"/>
                <w:szCs w:val="18"/>
              </w:rPr>
              <w:t>7</w:t>
            </w:r>
            <w:r w:rsidR="000D21BD" w:rsidRPr="000D21BD">
              <w:rPr>
                <w:rFonts w:ascii="Arial Narrow" w:hAnsi="Arial Narrow" w:cs="Arial"/>
                <w:color w:val="000000"/>
                <w:sz w:val="18"/>
                <w:szCs w:val="18"/>
              </w:rPr>
              <w:t>,</w:t>
            </w:r>
            <w:r>
              <w:rPr>
                <w:rFonts w:ascii="Arial Narrow" w:hAnsi="Arial Narrow" w:cs="Arial"/>
                <w:color w:val="000000"/>
                <w:sz w:val="18"/>
                <w:szCs w:val="18"/>
              </w:rPr>
              <w:t>941</w:t>
            </w:r>
            <w:r w:rsidR="000D21BD" w:rsidRPr="000D21BD">
              <w:rPr>
                <w:rFonts w:ascii="Arial Narrow" w:hAnsi="Arial Narrow" w:cs="Arial"/>
                <w:color w:val="000000"/>
                <w:sz w:val="18"/>
                <w:szCs w:val="18"/>
              </w:rPr>
              <w:t>,</w:t>
            </w:r>
            <w:r>
              <w:rPr>
                <w:rFonts w:ascii="Arial Narrow" w:hAnsi="Arial Narrow" w:cs="Arial"/>
                <w:color w:val="000000"/>
                <w:sz w:val="18"/>
                <w:szCs w:val="18"/>
              </w:rPr>
              <w:t>301</w:t>
            </w:r>
            <w:r w:rsidR="000D21BD" w:rsidRPr="000D21BD">
              <w:rPr>
                <w:rFonts w:ascii="Arial Narrow" w:hAnsi="Arial Narrow" w:cs="Arial"/>
                <w:color w:val="000000"/>
                <w:sz w:val="18"/>
                <w:szCs w:val="18"/>
              </w:rPr>
              <w:t>.</w:t>
            </w:r>
            <w:r>
              <w:rPr>
                <w:rFonts w:ascii="Arial Narrow" w:hAnsi="Arial Narrow" w:cs="Arial"/>
                <w:color w:val="000000"/>
                <w:sz w:val="18"/>
                <w:szCs w:val="18"/>
              </w:rPr>
              <w:t>25</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b w:val="0"/>
                <w:bCs w:val="0"/>
                <w:color w:val="000000"/>
                <w:sz w:val="18"/>
                <w:szCs w:val="18"/>
              </w:rPr>
            </w:pPr>
          </w:p>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w:t>
            </w:r>
            <w:r w:rsidR="001B4F84">
              <w:rPr>
                <w:rFonts w:ascii="Arial Narrow" w:hAnsi="Arial Narrow" w:cs="Arial"/>
                <w:color w:val="000000"/>
                <w:sz w:val="18"/>
                <w:szCs w:val="18"/>
              </w:rPr>
              <w:t xml:space="preserve"> Movimientos de partidas que no afectan al efectivo</w:t>
            </w:r>
            <w:r w:rsidRPr="000D21BD">
              <w:rPr>
                <w:rFonts w:ascii="Arial Narrow" w:hAnsi="Arial Narrow" w:cs="Arial"/>
                <w:color w:val="000000"/>
                <w:sz w:val="18"/>
                <w:szCs w:val="18"/>
              </w:rPr>
              <w:t>.</w:t>
            </w:r>
          </w:p>
        </w:tc>
        <w:tc>
          <w:tcPr>
            <w:tcW w:w="1418" w:type="dxa"/>
          </w:tcPr>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w:t>
            </w:r>
            <w:r w:rsidR="001B4F84">
              <w:rPr>
                <w:rFonts w:ascii="Arial Narrow" w:hAnsi="Arial Narrow" w:cs="Arial"/>
                <w:color w:val="000000"/>
                <w:sz w:val="18"/>
                <w:szCs w:val="18"/>
              </w:rPr>
              <w:t>3</w:t>
            </w:r>
            <w:r w:rsidRPr="000D21BD">
              <w:rPr>
                <w:rFonts w:ascii="Arial Narrow" w:hAnsi="Arial Narrow" w:cs="Arial"/>
                <w:color w:val="000000"/>
                <w:sz w:val="18"/>
                <w:szCs w:val="18"/>
              </w:rPr>
              <w:t>,</w:t>
            </w:r>
            <w:r w:rsidR="001B4F84">
              <w:rPr>
                <w:rFonts w:ascii="Arial Narrow" w:hAnsi="Arial Narrow" w:cs="Arial"/>
                <w:color w:val="000000"/>
                <w:sz w:val="18"/>
                <w:szCs w:val="18"/>
              </w:rPr>
              <w:t>727</w:t>
            </w:r>
            <w:r w:rsidRPr="000D21BD">
              <w:rPr>
                <w:rFonts w:ascii="Arial Narrow" w:hAnsi="Arial Narrow" w:cs="Arial"/>
                <w:color w:val="000000"/>
                <w:sz w:val="18"/>
                <w:szCs w:val="18"/>
              </w:rPr>
              <w:t>,</w:t>
            </w:r>
            <w:r w:rsidR="001B4F84">
              <w:rPr>
                <w:rFonts w:ascii="Arial Narrow" w:hAnsi="Arial Narrow" w:cs="Arial"/>
                <w:color w:val="000000"/>
                <w:sz w:val="18"/>
                <w:szCs w:val="18"/>
              </w:rPr>
              <w:t>300</w:t>
            </w:r>
            <w:r w:rsidRPr="000D21BD">
              <w:rPr>
                <w:rFonts w:ascii="Arial Narrow" w:hAnsi="Arial Narrow" w:cs="Arial"/>
                <w:color w:val="000000"/>
                <w:sz w:val="18"/>
                <w:szCs w:val="18"/>
              </w:rPr>
              <w:t>.</w:t>
            </w:r>
            <w:r w:rsidR="001B4F84">
              <w:rPr>
                <w:rFonts w:ascii="Arial Narrow" w:hAnsi="Arial Narrow" w:cs="Arial"/>
                <w:color w:val="000000"/>
                <w:sz w:val="18"/>
                <w:szCs w:val="18"/>
              </w:rPr>
              <w:t>32</w:t>
            </w:r>
          </w:p>
        </w:tc>
        <w:tc>
          <w:tcPr>
            <w:tcW w:w="1559" w:type="dxa"/>
          </w:tcPr>
          <w:p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p>
          <w:p w:rsidR="000D21BD" w:rsidRPr="000D21BD" w:rsidRDefault="000D21BD" w:rsidP="000D21BD">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   2,</w:t>
            </w:r>
            <w:r w:rsidR="001B4F84">
              <w:rPr>
                <w:rFonts w:ascii="Arial Narrow" w:hAnsi="Arial Narrow" w:cs="Arial"/>
                <w:color w:val="000000"/>
                <w:sz w:val="18"/>
                <w:szCs w:val="18"/>
              </w:rPr>
              <w:t>428</w:t>
            </w:r>
            <w:r w:rsidRPr="000D21BD">
              <w:rPr>
                <w:rFonts w:ascii="Arial Narrow" w:hAnsi="Arial Narrow" w:cs="Arial"/>
                <w:color w:val="000000"/>
                <w:sz w:val="18"/>
                <w:szCs w:val="18"/>
              </w:rPr>
              <w:t>,</w:t>
            </w:r>
            <w:r w:rsidR="001B4F84">
              <w:rPr>
                <w:rFonts w:ascii="Arial Narrow" w:hAnsi="Arial Narrow" w:cs="Arial"/>
                <w:color w:val="000000"/>
                <w:sz w:val="18"/>
                <w:szCs w:val="18"/>
              </w:rPr>
              <w:t>462</w:t>
            </w:r>
            <w:r w:rsidRPr="000D21BD">
              <w:rPr>
                <w:rFonts w:ascii="Arial Narrow" w:hAnsi="Arial Narrow" w:cs="Arial"/>
                <w:color w:val="000000"/>
                <w:sz w:val="18"/>
                <w:szCs w:val="18"/>
              </w:rPr>
              <w:t>.</w:t>
            </w:r>
            <w:r w:rsidR="001B4F84">
              <w:rPr>
                <w:rFonts w:ascii="Arial Narrow" w:hAnsi="Arial Narrow" w:cs="Arial"/>
                <w:color w:val="000000"/>
                <w:sz w:val="18"/>
                <w:szCs w:val="18"/>
              </w:rPr>
              <w:t>41</w:t>
            </w:r>
          </w:p>
        </w:tc>
      </w:tr>
      <w:tr w:rsidR="000D21BD" w:rsidRPr="000D21BD" w:rsidTr="007D002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353" w:type="dxa"/>
          </w:tcPr>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w:t>
            </w:r>
            <w:r w:rsidR="001B4F84" w:rsidRPr="000D21BD">
              <w:rPr>
                <w:rFonts w:ascii="Arial Narrow" w:hAnsi="Arial Narrow" w:cs="Arial"/>
                <w:color w:val="000000"/>
                <w:sz w:val="18"/>
                <w:szCs w:val="18"/>
              </w:rPr>
              <w:t>-) Movimientos</w:t>
            </w:r>
            <w:r w:rsidRPr="000D21BD">
              <w:rPr>
                <w:rFonts w:ascii="Arial Narrow" w:hAnsi="Arial Narrow" w:cs="Arial"/>
                <w:color w:val="000000"/>
                <w:sz w:val="18"/>
                <w:szCs w:val="18"/>
              </w:rPr>
              <w:t xml:space="preserve"> de partidas que no afectan al efectivo.</w:t>
            </w:r>
          </w:p>
        </w:tc>
        <w:tc>
          <w:tcPr>
            <w:tcW w:w="1418" w:type="dxa"/>
          </w:tcPr>
          <w:p w:rsidR="000D21BD" w:rsidRPr="000D21BD" w:rsidRDefault="000D21BD" w:rsidP="000D21BD">
            <w:pPr>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c>
          <w:tcPr>
            <w:tcW w:w="1559" w:type="dxa"/>
          </w:tcPr>
          <w:p w:rsidR="000D21BD" w:rsidRPr="000D21BD" w:rsidRDefault="000D21BD" w:rsidP="000D21B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18"/>
                <w:szCs w:val="18"/>
              </w:rPr>
            </w:pPr>
            <w:r w:rsidRPr="000D21BD">
              <w:rPr>
                <w:rFonts w:ascii="Arial Narrow" w:hAnsi="Arial Narrow" w:cs="Arial"/>
                <w:color w:val="000000"/>
                <w:sz w:val="18"/>
                <w:szCs w:val="18"/>
              </w:rPr>
              <w:t xml:space="preserve"> 0.00</w:t>
            </w:r>
          </w:p>
        </w:tc>
      </w:tr>
      <w:tr w:rsidR="000D21BD" w:rsidRPr="000D21BD" w:rsidTr="007D002F">
        <w:trPr>
          <w:jc w:val="center"/>
        </w:trPr>
        <w:tc>
          <w:tcPr>
            <w:cnfStyle w:val="001000000000" w:firstRow="0" w:lastRow="0" w:firstColumn="1" w:lastColumn="0" w:oddVBand="0" w:evenVBand="0" w:oddHBand="0" w:evenHBand="0" w:firstRowFirstColumn="0" w:firstRowLastColumn="0" w:lastRowFirstColumn="0" w:lastRowLastColumn="0"/>
            <w:tcW w:w="5353" w:type="dxa"/>
            <w:tcBorders>
              <w:bottom w:val="single" w:sz="8" w:space="0" w:color="4F81BD" w:themeColor="accent1"/>
            </w:tcBorders>
          </w:tcPr>
          <w:p w:rsidR="000D21BD" w:rsidRPr="000D21BD" w:rsidRDefault="000D21BD" w:rsidP="000D21BD">
            <w:pPr>
              <w:autoSpaceDE w:val="0"/>
              <w:autoSpaceDN w:val="0"/>
              <w:adjustRightInd w:val="0"/>
              <w:rPr>
                <w:rFonts w:ascii="Arial Narrow" w:hAnsi="Arial Narrow" w:cs="Arial"/>
                <w:b w:val="0"/>
                <w:bCs w:val="0"/>
                <w:color w:val="000000"/>
                <w:sz w:val="18"/>
                <w:szCs w:val="18"/>
              </w:rPr>
            </w:pPr>
          </w:p>
          <w:p w:rsidR="000D21BD" w:rsidRPr="000D21BD" w:rsidRDefault="000D21BD" w:rsidP="000D21BD">
            <w:pPr>
              <w:autoSpaceDE w:val="0"/>
              <w:autoSpaceDN w:val="0"/>
              <w:adjustRightInd w:val="0"/>
              <w:rPr>
                <w:rFonts w:ascii="Arial Narrow" w:hAnsi="Arial Narrow" w:cs="Arial"/>
                <w:color w:val="000000"/>
                <w:sz w:val="18"/>
                <w:szCs w:val="18"/>
              </w:rPr>
            </w:pPr>
            <w:r w:rsidRPr="000D21BD">
              <w:rPr>
                <w:rFonts w:ascii="Arial Narrow" w:hAnsi="Arial Narrow" w:cs="Arial"/>
                <w:color w:val="000000"/>
                <w:sz w:val="18"/>
                <w:szCs w:val="18"/>
              </w:rPr>
              <w:t>= FLUJOS DE EFECTIVO NETOS DE LAS ACTIVIDADES DE OPERACIÓN</w:t>
            </w:r>
          </w:p>
        </w:tc>
        <w:tc>
          <w:tcPr>
            <w:tcW w:w="1418" w:type="dxa"/>
            <w:tcBorders>
              <w:bottom w:val="single" w:sz="8" w:space="0" w:color="4F81BD" w:themeColor="accent1"/>
            </w:tcBorders>
          </w:tcPr>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rsidR="000D21BD" w:rsidRPr="000D21BD" w:rsidRDefault="000D21BD" w:rsidP="000D21BD">
            <w:pPr>
              <w:autoSpaceDE w:val="0"/>
              <w:autoSpaceDN w:val="0"/>
              <w:adjustRightInd w:val="0"/>
              <w:jc w:val="right"/>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73</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829</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841</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39</w:t>
            </w:r>
          </w:p>
        </w:tc>
        <w:tc>
          <w:tcPr>
            <w:tcW w:w="1559" w:type="dxa"/>
            <w:tcBorders>
              <w:bottom w:val="single" w:sz="8" w:space="0" w:color="4F81BD" w:themeColor="accent1"/>
            </w:tcBorders>
          </w:tcPr>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p>
          <w:p w:rsidR="000D21BD" w:rsidRPr="000D21BD" w:rsidRDefault="000D21BD" w:rsidP="000D21B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color w:val="000000"/>
                <w:sz w:val="18"/>
                <w:szCs w:val="18"/>
              </w:rPr>
            </w:pPr>
            <w:r w:rsidRPr="000D21BD">
              <w:rPr>
                <w:rFonts w:ascii="Arial Narrow" w:hAnsi="Arial Narrow" w:cs="Arial"/>
                <w:b/>
                <w:bCs/>
                <w:color w:val="000000"/>
                <w:sz w:val="18"/>
                <w:szCs w:val="18"/>
              </w:rPr>
              <w:t xml:space="preserve">$ </w:t>
            </w:r>
            <w:r w:rsidR="001B4F84">
              <w:rPr>
                <w:rFonts w:ascii="Arial Narrow" w:hAnsi="Arial Narrow" w:cs="Arial"/>
                <w:b/>
                <w:bCs/>
                <w:color w:val="000000"/>
                <w:sz w:val="18"/>
                <w:szCs w:val="18"/>
              </w:rPr>
              <w:t>10</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369</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763</w:t>
            </w:r>
            <w:r w:rsidRPr="000D21BD">
              <w:rPr>
                <w:rFonts w:ascii="Arial Narrow" w:hAnsi="Arial Narrow" w:cs="Arial"/>
                <w:b/>
                <w:bCs/>
                <w:color w:val="000000"/>
                <w:sz w:val="18"/>
                <w:szCs w:val="18"/>
              </w:rPr>
              <w:t>.</w:t>
            </w:r>
            <w:r w:rsidR="001B4F84">
              <w:rPr>
                <w:rFonts w:ascii="Arial Narrow" w:hAnsi="Arial Narrow" w:cs="Arial"/>
                <w:b/>
                <w:bCs/>
                <w:color w:val="000000"/>
                <w:sz w:val="18"/>
                <w:szCs w:val="18"/>
              </w:rPr>
              <w:t>66</w:t>
            </w:r>
          </w:p>
        </w:tc>
      </w:tr>
    </w:tbl>
    <w:p w:rsidR="000D21BD" w:rsidRDefault="000D21BD"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Pr="000D21BD" w:rsidRDefault="001B4F84"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numPr>
          <w:ilvl w:val="0"/>
          <w:numId w:val="35"/>
        </w:numPr>
        <w:autoSpaceDE w:val="0"/>
        <w:autoSpaceDN w:val="0"/>
        <w:adjustRightInd w:val="0"/>
        <w:spacing w:after="0" w:line="240" w:lineRule="auto"/>
        <w:rPr>
          <w:rFonts w:ascii="Arial Narrow" w:eastAsia="Times New Roman" w:hAnsi="Arial Narrow" w:cs="Arial"/>
          <w:b/>
          <w:color w:val="000000"/>
          <w:u w:val="single"/>
        </w:rPr>
      </w:pPr>
      <w:r w:rsidRPr="000D21BD">
        <w:rPr>
          <w:rFonts w:ascii="Arial Narrow" w:eastAsia="Times New Roman" w:hAnsi="Arial Narrow" w:cs="Arial"/>
          <w:b/>
          <w:color w:val="000000"/>
          <w:u w:val="single"/>
        </w:rPr>
        <w:t>CONCILIACIÓN ENTRE LOS INGRESOS PRESUPUESTARIOS Y LOS CONTABLES, ASÍ COMO ENTRE LOS EGRESOS Y LOS GASTOS CONTABLES.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8978"/>
      </w:tblGrid>
      <w:tr w:rsidR="000D21BD" w:rsidRPr="000D21BD" w:rsidTr="007D002F">
        <w:trPr>
          <w:jc w:val="center"/>
        </w:trPr>
        <w:tc>
          <w:tcPr>
            <w:tcW w:w="8978" w:type="dxa"/>
          </w:tcPr>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PODER JUDICIAL</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ingresos presupuestarios y contables</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w:t>
            </w:r>
            <w:r w:rsidR="001B4F84">
              <w:rPr>
                <w:rFonts w:ascii="Arial Narrow" w:eastAsia="Times New Roman" w:hAnsi="Arial Narrow" w:cs="Arial"/>
                <w:b/>
                <w:bCs/>
                <w:color w:val="000000"/>
              </w:rPr>
              <w:t>junio</w:t>
            </w:r>
            <w:r w:rsidRPr="000D21BD">
              <w:rPr>
                <w:rFonts w:ascii="Arial Narrow" w:eastAsia="Times New Roman" w:hAnsi="Arial Narrow" w:cs="Arial"/>
                <w:b/>
                <w:bCs/>
                <w:color w:val="000000"/>
              </w:rPr>
              <w:t xml:space="preserve"> de 202</w:t>
            </w:r>
            <w:r w:rsidR="001B4F84">
              <w:rPr>
                <w:rFonts w:ascii="Arial Narrow" w:eastAsia="Times New Roman" w:hAnsi="Arial Narrow" w:cs="Arial"/>
                <w:b/>
                <w:bCs/>
                <w:color w:val="000000"/>
              </w:rPr>
              <w:t>3</w:t>
            </w:r>
            <w:r w:rsidRPr="000D21BD">
              <w:rPr>
                <w:rFonts w:ascii="Arial Narrow" w:eastAsia="Times New Roman" w:hAnsi="Arial Narrow" w:cs="Arial"/>
                <w:b/>
                <w:bCs/>
                <w:color w:val="000000"/>
              </w:rPr>
              <w:t>.</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7054"/>
        <w:gridCol w:w="1924"/>
      </w:tblGrid>
      <w:tr w:rsidR="000D21BD" w:rsidRPr="000D21BD" w:rsidTr="007D002F">
        <w:trPr>
          <w:jc w:val="center"/>
        </w:trPr>
        <w:tc>
          <w:tcPr>
            <w:tcW w:w="705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Ingresos presupuestarios</w:t>
            </w:r>
          </w:p>
        </w:tc>
        <w:tc>
          <w:tcPr>
            <w:tcW w:w="1924" w:type="dxa"/>
          </w:tcPr>
          <w:p w:rsidR="000D21BD" w:rsidRPr="000D21BD" w:rsidRDefault="008C62C7"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$ 249,121,746.50</w:t>
            </w: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4"/>
        <w:gridCol w:w="2190"/>
        <w:gridCol w:w="2000"/>
      </w:tblGrid>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Más ingresos contables no presupuestarios:</w:t>
            </w:r>
          </w:p>
        </w:tc>
        <w:tc>
          <w:tcPr>
            <w:tcW w:w="2190"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w:t>
            </w: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Incremento por variación de inventarios.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estimaciones por pérdida o deterioro u obsolescencia.</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Disminución del exceso de provisiones.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y beneficios varios.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4"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no presupuestarios.</w:t>
            </w:r>
          </w:p>
        </w:tc>
        <w:tc>
          <w:tcPr>
            <w:tcW w:w="219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$ 0.00                              </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4866"/>
        <w:gridCol w:w="2188"/>
        <w:gridCol w:w="2000"/>
      </w:tblGrid>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Menos ingresos presupuestarios no contables:</w:t>
            </w:r>
          </w:p>
        </w:tc>
        <w:tc>
          <w:tcPr>
            <w:tcW w:w="2188"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000"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0.00</w:t>
            </w: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Productos de capital.</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Aprovechamientos de capital.</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Ingresos derivados de financiamientos.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Otros ingresos presupuestarios no contables.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$0.00</w:t>
            </w: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r w:rsidR="000D21BD" w:rsidRPr="000D21BD" w:rsidTr="007D002F">
        <w:trPr>
          <w:jc w:val="center"/>
        </w:trPr>
        <w:tc>
          <w:tcPr>
            <w:tcW w:w="4866"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Total, otros ingresos no presupuestarios.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c>
          <w:tcPr>
            <w:tcW w:w="2000" w:type="dxa"/>
            <w:vMerge/>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tblInd w:w="2376" w:type="dxa"/>
        <w:tblLook w:val="04A0" w:firstRow="1" w:lastRow="0" w:firstColumn="1" w:lastColumn="0" w:noHBand="0" w:noVBand="1"/>
      </w:tblPr>
      <w:tblGrid>
        <w:gridCol w:w="7088"/>
        <w:gridCol w:w="1984"/>
      </w:tblGrid>
      <w:tr w:rsidR="000D21BD" w:rsidRPr="000D21BD" w:rsidTr="007D002F">
        <w:tc>
          <w:tcPr>
            <w:tcW w:w="7088" w:type="dxa"/>
          </w:tcPr>
          <w:p w:rsidR="000D21BD" w:rsidRPr="000D21BD" w:rsidRDefault="000D21BD" w:rsidP="000D21BD">
            <w:pPr>
              <w:autoSpaceDE w:val="0"/>
              <w:autoSpaceDN w:val="0"/>
              <w:adjustRightInd w:val="0"/>
              <w:rPr>
                <w:rFonts w:ascii="Arial Narrow" w:eastAsia="Times New Roman" w:hAnsi="Arial Narrow" w:cs="Arial"/>
                <w:b/>
                <w:color w:val="000000"/>
              </w:rPr>
            </w:pPr>
            <w:r w:rsidRPr="000D21BD">
              <w:rPr>
                <w:rFonts w:ascii="Arial Narrow" w:eastAsia="Times New Roman" w:hAnsi="Arial Narrow" w:cs="Arial"/>
                <w:b/>
                <w:color w:val="000000"/>
              </w:rPr>
              <w:t xml:space="preserve">4.- Ingresos </w:t>
            </w:r>
            <w:r w:rsidR="008C62C7" w:rsidRPr="000D21BD">
              <w:rPr>
                <w:rFonts w:ascii="Arial Narrow" w:eastAsia="Times New Roman" w:hAnsi="Arial Narrow" w:cs="Arial"/>
                <w:b/>
                <w:color w:val="000000"/>
              </w:rPr>
              <w:t>contables (</w:t>
            </w:r>
            <w:r w:rsidRPr="000D21BD">
              <w:rPr>
                <w:rFonts w:ascii="Arial Narrow" w:eastAsia="Times New Roman" w:hAnsi="Arial Narrow" w:cs="Arial"/>
                <w:b/>
                <w:color w:val="000000"/>
              </w:rPr>
              <w:t>4=1+2-3)</w:t>
            </w:r>
          </w:p>
        </w:tc>
        <w:tc>
          <w:tcPr>
            <w:tcW w:w="1984" w:type="dxa"/>
          </w:tcPr>
          <w:p w:rsidR="000D21BD" w:rsidRPr="000D21BD" w:rsidRDefault="000D21BD" w:rsidP="000D21BD">
            <w:pPr>
              <w:autoSpaceDE w:val="0"/>
              <w:autoSpaceDN w:val="0"/>
              <w:adjustRightInd w:val="0"/>
              <w:jc w:val="right"/>
              <w:rPr>
                <w:rFonts w:ascii="Arial Narrow" w:eastAsia="Times New Roman" w:hAnsi="Arial Narrow" w:cs="Arial"/>
                <w:b/>
                <w:color w:val="000000"/>
              </w:rPr>
            </w:pPr>
            <w:r w:rsidRPr="000D21BD">
              <w:rPr>
                <w:rFonts w:ascii="Arial Narrow" w:eastAsia="Times New Roman" w:hAnsi="Arial Narrow" w:cs="Arial"/>
                <w:b/>
                <w:color w:val="000000"/>
              </w:rPr>
              <w:t>$ 2</w:t>
            </w:r>
            <w:r w:rsidR="008C62C7">
              <w:rPr>
                <w:rFonts w:ascii="Arial Narrow" w:eastAsia="Times New Roman" w:hAnsi="Arial Narrow" w:cs="Arial"/>
                <w:b/>
                <w:color w:val="000000"/>
              </w:rPr>
              <w:t>49</w:t>
            </w:r>
            <w:r w:rsidRPr="000D21BD">
              <w:rPr>
                <w:rFonts w:ascii="Arial Narrow" w:eastAsia="Times New Roman" w:hAnsi="Arial Narrow" w:cs="Arial"/>
                <w:b/>
                <w:color w:val="000000"/>
              </w:rPr>
              <w:t>,</w:t>
            </w:r>
            <w:r w:rsidR="008C62C7">
              <w:rPr>
                <w:rFonts w:ascii="Arial Narrow" w:eastAsia="Times New Roman" w:hAnsi="Arial Narrow" w:cs="Arial"/>
                <w:b/>
                <w:color w:val="000000"/>
              </w:rPr>
              <w:t>121</w:t>
            </w:r>
            <w:r w:rsidRPr="000D21BD">
              <w:rPr>
                <w:rFonts w:ascii="Arial Narrow" w:eastAsia="Times New Roman" w:hAnsi="Arial Narrow" w:cs="Arial"/>
                <w:b/>
                <w:color w:val="000000"/>
              </w:rPr>
              <w:t>,</w:t>
            </w:r>
            <w:r w:rsidR="008C62C7">
              <w:rPr>
                <w:rFonts w:ascii="Arial Narrow" w:eastAsia="Times New Roman" w:hAnsi="Arial Narrow" w:cs="Arial"/>
                <w:b/>
                <w:color w:val="000000"/>
              </w:rPr>
              <w:t>746</w:t>
            </w:r>
            <w:r w:rsidRPr="000D21BD">
              <w:rPr>
                <w:rFonts w:ascii="Arial Narrow" w:eastAsia="Times New Roman" w:hAnsi="Arial Narrow" w:cs="Arial"/>
                <w:b/>
                <w:color w:val="000000"/>
              </w:rPr>
              <w:t>.</w:t>
            </w:r>
            <w:r w:rsidR="008C62C7">
              <w:rPr>
                <w:rFonts w:ascii="Arial Narrow" w:eastAsia="Times New Roman" w:hAnsi="Arial Narrow" w:cs="Arial"/>
                <w:b/>
                <w:color w:val="000000"/>
              </w:rPr>
              <w:t>50</w:t>
            </w:r>
          </w:p>
        </w:tc>
      </w:tr>
    </w:tbl>
    <w:p w:rsidR="000D21BD" w:rsidRDefault="000D21BD"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Default="001B4F84" w:rsidP="000D21BD">
      <w:pPr>
        <w:autoSpaceDE w:val="0"/>
        <w:autoSpaceDN w:val="0"/>
        <w:adjustRightInd w:val="0"/>
        <w:spacing w:after="0" w:line="240" w:lineRule="auto"/>
        <w:rPr>
          <w:rFonts w:ascii="Arial Narrow" w:eastAsia="Times New Roman" w:hAnsi="Arial Narrow" w:cs="Arial"/>
          <w:color w:val="000000"/>
        </w:rPr>
      </w:pPr>
    </w:p>
    <w:p w:rsidR="001B4F84" w:rsidRPr="000D21BD" w:rsidRDefault="001B4F84"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9067"/>
      </w:tblGrid>
      <w:tr w:rsidR="000D21BD" w:rsidRPr="000D21BD" w:rsidTr="007D002F">
        <w:trPr>
          <w:jc w:val="center"/>
        </w:trPr>
        <w:tc>
          <w:tcPr>
            <w:tcW w:w="9067" w:type="dxa"/>
          </w:tcPr>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lastRenderedPageBreak/>
              <w:t>PODER JUDICIAL</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Conciliación entre los egresos presupuestarios y los gastos contables</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 xml:space="preserve"> Correspondientes Del 01 de enero al 30 de </w:t>
            </w:r>
            <w:r w:rsidR="008C62C7">
              <w:rPr>
                <w:rFonts w:ascii="Arial Narrow" w:eastAsia="Times New Roman" w:hAnsi="Arial Narrow" w:cs="Arial"/>
                <w:b/>
                <w:bCs/>
                <w:color w:val="000000"/>
              </w:rPr>
              <w:t>junio</w:t>
            </w:r>
            <w:r w:rsidRPr="000D21BD">
              <w:rPr>
                <w:rFonts w:ascii="Arial Narrow" w:eastAsia="Times New Roman" w:hAnsi="Arial Narrow" w:cs="Arial"/>
                <w:b/>
                <w:bCs/>
                <w:color w:val="000000"/>
              </w:rPr>
              <w:t xml:space="preserve"> de 202</w:t>
            </w:r>
            <w:r w:rsidR="008C62C7">
              <w:rPr>
                <w:rFonts w:ascii="Arial Narrow" w:eastAsia="Times New Roman" w:hAnsi="Arial Narrow" w:cs="Arial"/>
                <w:b/>
                <w:bCs/>
                <w:color w:val="000000"/>
              </w:rPr>
              <w:t>3</w:t>
            </w:r>
            <w:r w:rsidRPr="000D21BD">
              <w:rPr>
                <w:rFonts w:ascii="Arial Narrow" w:eastAsia="Times New Roman" w:hAnsi="Arial Narrow" w:cs="Arial"/>
                <w:b/>
                <w:bCs/>
                <w:color w:val="000000"/>
              </w:rPr>
              <w:t>.</w:t>
            </w:r>
          </w:p>
          <w:p w:rsidR="000D21BD" w:rsidRPr="000D21BD" w:rsidRDefault="000D21BD" w:rsidP="000D21BD">
            <w:pPr>
              <w:autoSpaceDE w:val="0"/>
              <w:autoSpaceDN w:val="0"/>
              <w:adjustRightInd w:val="0"/>
              <w:jc w:val="center"/>
              <w:rPr>
                <w:rFonts w:ascii="Arial Narrow" w:eastAsia="Times New Roman" w:hAnsi="Arial Narrow" w:cs="Arial"/>
                <w:b/>
                <w:bCs/>
                <w:color w:val="000000"/>
              </w:rPr>
            </w:pPr>
            <w:r w:rsidRPr="000D21BD">
              <w:rPr>
                <w:rFonts w:ascii="Arial Narrow" w:eastAsia="Times New Roman" w:hAnsi="Arial Narrow" w:cs="Arial"/>
                <w:b/>
                <w:bCs/>
                <w:color w:val="000000"/>
              </w:rPr>
              <w:t>(Cifras en pesos)</w:t>
            </w:r>
          </w:p>
          <w:p w:rsidR="000D21BD" w:rsidRPr="000D21BD" w:rsidRDefault="000D21BD" w:rsidP="000D21BD">
            <w:pPr>
              <w:autoSpaceDE w:val="0"/>
              <w:autoSpaceDN w:val="0"/>
              <w:adjustRightInd w:val="0"/>
              <w:jc w:val="center"/>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6941"/>
        <w:gridCol w:w="2126"/>
      </w:tblGrid>
      <w:tr w:rsidR="000D21BD" w:rsidRPr="000D21BD" w:rsidTr="007D002F">
        <w:trPr>
          <w:jc w:val="center"/>
        </w:trPr>
        <w:tc>
          <w:tcPr>
            <w:tcW w:w="6941"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1.- Total egresos (presupuestarios)</w:t>
            </w:r>
          </w:p>
        </w:tc>
        <w:tc>
          <w:tcPr>
            <w:tcW w:w="2126"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8C62C7">
              <w:rPr>
                <w:rFonts w:ascii="Arial Narrow" w:eastAsia="Times New Roman" w:hAnsi="Arial Narrow" w:cs="Arial"/>
                <w:color w:val="000000"/>
              </w:rPr>
              <w:t>180</w:t>
            </w:r>
            <w:r w:rsidRPr="000D21BD">
              <w:rPr>
                <w:rFonts w:ascii="Arial Narrow" w:eastAsia="Times New Roman" w:hAnsi="Arial Narrow" w:cs="Arial"/>
                <w:color w:val="000000"/>
              </w:rPr>
              <w:t>,</w:t>
            </w:r>
            <w:r w:rsidR="008C62C7">
              <w:rPr>
                <w:rFonts w:ascii="Arial Narrow" w:eastAsia="Times New Roman" w:hAnsi="Arial Narrow" w:cs="Arial"/>
                <w:color w:val="000000"/>
              </w:rPr>
              <w:t>323</w:t>
            </w:r>
            <w:r w:rsidRPr="000D21BD">
              <w:rPr>
                <w:rFonts w:ascii="Arial Narrow" w:eastAsia="Times New Roman" w:hAnsi="Arial Narrow" w:cs="Arial"/>
                <w:color w:val="000000"/>
              </w:rPr>
              <w:t>,</w:t>
            </w:r>
            <w:r w:rsidR="008C62C7">
              <w:rPr>
                <w:rFonts w:ascii="Arial Narrow" w:eastAsia="Times New Roman" w:hAnsi="Arial Narrow" w:cs="Arial"/>
                <w:color w:val="000000"/>
              </w:rPr>
              <w:t>778</w:t>
            </w:r>
            <w:r w:rsidRPr="000D21BD">
              <w:rPr>
                <w:rFonts w:ascii="Arial Narrow" w:eastAsia="Times New Roman" w:hAnsi="Arial Narrow" w:cs="Arial"/>
                <w:color w:val="000000"/>
              </w:rPr>
              <w:t>.</w:t>
            </w:r>
            <w:r w:rsidR="008C62C7">
              <w:rPr>
                <w:rFonts w:ascii="Arial Narrow" w:eastAsia="Times New Roman" w:hAnsi="Arial Narrow" w:cs="Arial"/>
                <w:color w:val="000000"/>
              </w:rPr>
              <w:t>21</w:t>
            </w:r>
          </w:p>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93"/>
        <w:gridCol w:w="2077"/>
        <w:gridCol w:w="2268"/>
      </w:tblGrid>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2.- Menos: egresos presupuestarios no contables:</w:t>
            </w:r>
          </w:p>
        </w:tc>
        <w:tc>
          <w:tcPr>
            <w:tcW w:w="2077"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268" w:type="dxa"/>
          </w:tcPr>
          <w:p w:rsidR="000D21BD" w:rsidRPr="000D21BD" w:rsidRDefault="000D21BD" w:rsidP="000D21BD">
            <w:pPr>
              <w:autoSpaceDE w:val="0"/>
              <w:autoSpaceDN w:val="0"/>
              <w:adjustRightInd w:val="0"/>
              <w:jc w:val="center"/>
              <w:rPr>
                <w:rFonts w:ascii="Arial Narrow" w:eastAsia="Times New Roman" w:hAnsi="Arial Narrow" w:cs="Arial"/>
                <w:color w:val="000000"/>
              </w:rPr>
            </w:pPr>
            <w:r w:rsidRPr="000D21BD">
              <w:rPr>
                <w:rFonts w:ascii="Arial Narrow" w:eastAsia="Times New Roman" w:hAnsi="Arial Narrow" w:cs="Arial"/>
                <w:color w:val="000000"/>
              </w:rPr>
              <w:t xml:space="preserve">           $    </w:t>
            </w:r>
            <w:r w:rsidR="008C62C7">
              <w:rPr>
                <w:rFonts w:ascii="Arial Narrow" w:eastAsia="Times New Roman" w:hAnsi="Arial Narrow" w:cs="Arial"/>
                <w:color w:val="000000"/>
              </w:rPr>
              <w:t>1,304,572.78</w:t>
            </w: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de administración</w:t>
            </w:r>
          </w:p>
        </w:tc>
        <w:tc>
          <w:tcPr>
            <w:tcW w:w="2077" w:type="dxa"/>
          </w:tcPr>
          <w:p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C62C7">
              <w:rPr>
                <w:rFonts w:ascii="Arial Narrow" w:eastAsia="Times New Roman" w:hAnsi="Arial Narrow" w:cs="Arial"/>
                <w:color w:val="000000"/>
                <w:sz w:val="18"/>
                <w:szCs w:val="18"/>
              </w:rPr>
              <w:t>489</w:t>
            </w: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959</w:t>
            </w: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35</w:t>
            </w:r>
          </w:p>
        </w:tc>
        <w:tc>
          <w:tcPr>
            <w:tcW w:w="2268"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Mobiliario y equipo educacional y recreativo</w:t>
            </w:r>
          </w:p>
        </w:tc>
        <w:tc>
          <w:tcPr>
            <w:tcW w:w="2077"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C62C7">
              <w:rPr>
                <w:rFonts w:ascii="Arial Narrow" w:eastAsia="Times New Roman" w:hAnsi="Arial Narrow" w:cs="Arial"/>
                <w:color w:val="000000"/>
                <w:sz w:val="18"/>
                <w:szCs w:val="18"/>
              </w:rPr>
              <w:t>781</w:t>
            </w: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945</w:t>
            </w: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88</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computo</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Vehículos y equipo de transporte</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de defensa y seguridad</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rsidTr="007D002F">
        <w:trPr>
          <w:jc w:val="center"/>
        </w:trPr>
        <w:tc>
          <w:tcPr>
            <w:tcW w:w="5693" w:type="dxa"/>
          </w:tcPr>
          <w:p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Equipo e instrumental médico y de laboratorio</w:t>
            </w:r>
          </w:p>
        </w:tc>
        <w:tc>
          <w:tcPr>
            <w:tcW w:w="2077" w:type="dxa"/>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equipos y herramientas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Maquinaría, otros equipos y herramientas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Bienes inmuebles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Activos intangibles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Obra pública en bienes propios</w:t>
            </w:r>
          </w:p>
        </w:tc>
        <w:tc>
          <w:tcPr>
            <w:tcW w:w="2077" w:type="dxa"/>
          </w:tcPr>
          <w:p w:rsidR="000D21BD" w:rsidRPr="000D21BD" w:rsidRDefault="000D21BD" w:rsidP="000D21BD">
            <w:pPr>
              <w:autoSpaceDE w:val="0"/>
              <w:autoSpaceDN w:val="0"/>
              <w:adjustRightInd w:val="0"/>
              <w:jc w:val="center"/>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w:t>
            </w:r>
            <w:r w:rsidR="008C62C7">
              <w:rPr>
                <w:rFonts w:ascii="Arial Narrow" w:eastAsia="Times New Roman" w:hAnsi="Arial Narrow" w:cs="Arial"/>
                <w:color w:val="000000"/>
                <w:sz w:val="18"/>
                <w:szCs w:val="18"/>
              </w:rPr>
              <w:t>32,667.55</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Acciones y participaciones de capital</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Compra de título y valores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Inversiones en fideicomisos, mandatos y otros análogos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 para contingencias y otras erogaciones especiales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Amortización de la deuda pública</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Adeudos de ejercicios fiscales anteriores (ADEFAS)</w:t>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93" w:type="dxa"/>
          </w:tcPr>
          <w:p w:rsidR="000D21BD" w:rsidRPr="000D21BD" w:rsidRDefault="000D21BD" w:rsidP="000D21BD">
            <w:pPr>
              <w:tabs>
                <w:tab w:val="right" w:pos="5000"/>
              </w:tabs>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Otros egresos presupuestales no contables </w:t>
            </w:r>
            <w:r w:rsidRPr="000D21BD">
              <w:rPr>
                <w:rFonts w:ascii="Arial Narrow" w:eastAsia="Times New Roman" w:hAnsi="Arial Narrow" w:cs="Arial"/>
                <w:color w:val="000000"/>
                <w:sz w:val="18"/>
                <w:szCs w:val="18"/>
              </w:rPr>
              <w:tab/>
            </w:r>
          </w:p>
        </w:tc>
        <w:tc>
          <w:tcPr>
            <w:tcW w:w="2077"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                  0.00     </w:t>
            </w:r>
          </w:p>
        </w:tc>
        <w:tc>
          <w:tcPr>
            <w:tcW w:w="2268"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bl>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tbl>
      <w:tblPr>
        <w:tblStyle w:val="Tablaconcuadrcula"/>
        <w:tblW w:w="0" w:type="auto"/>
        <w:jc w:val="center"/>
        <w:tblLook w:val="04A0" w:firstRow="1" w:lastRow="0" w:firstColumn="1" w:lastColumn="0" w:noHBand="0" w:noVBand="1"/>
      </w:tblPr>
      <w:tblGrid>
        <w:gridCol w:w="5656"/>
        <w:gridCol w:w="2188"/>
        <w:gridCol w:w="2155"/>
      </w:tblGrid>
      <w:tr w:rsidR="000D21BD" w:rsidRPr="000D21BD" w:rsidTr="007D002F">
        <w:trPr>
          <w:trHeight w:val="139"/>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3.- Más egresos contables no presupuestales:</w:t>
            </w:r>
          </w:p>
        </w:tc>
        <w:tc>
          <w:tcPr>
            <w:tcW w:w="2188" w:type="dxa"/>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                 0.00               </w:t>
            </w: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Estimaciones, depreciaciones, deterioros, obsolescencia, y amortizaciones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val="restart"/>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Provisiones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Disminución de inventarios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8C62C7">
              <w:rPr>
                <w:rFonts w:ascii="Arial Narrow" w:eastAsia="Times New Roman" w:hAnsi="Arial Narrow" w:cs="Arial"/>
                <w:color w:val="000000"/>
                <w:sz w:val="18"/>
                <w:szCs w:val="18"/>
              </w:rPr>
              <w:t>68,797,968.29</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8C62C7" w:rsidRPr="000D21BD" w:rsidTr="007D002F">
        <w:trPr>
          <w:jc w:val="center"/>
        </w:trPr>
        <w:tc>
          <w:tcPr>
            <w:tcW w:w="5656" w:type="dxa"/>
          </w:tcPr>
          <w:p w:rsidR="008C62C7" w:rsidRPr="000D21BD" w:rsidRDefault="008C62C7" w:rsidP="008C62C7">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estimaciones por pérdida o deterioro u obsolescencia</w:t>
            </w:r>
          </w:p>
        </w:tc>
        <w:tc>
          <w:tcPr>
            <w:tcW w:w="2188" w:type="dxa"/>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Pr>
                <w:rFonts w:ascii="Arial Narrow" w:eastAsia="Times New Roman" w:hAnsi="Arial Narrow" w:cs="Arial"/>
                <w:color w:val="000000"/>
                <w:sz w:val="18"/>
                <w:szCs w:val="18"/>
              </w:rPr>
              <w:t>68,797,968.29</w:t>
            </w:r>
          </w:p>
        </w:tc>
        <w:tc>
          <w:tcPr>
            <w:tcW w:w="2155" w:type="dxa"/>
            <w:vMerge/>
          </w:tcPr>
          <w:p w:rsidR="008C62C7" w:rsidRPr="000D21BD" w:rsidRDefault="008C62C7" w:rsidP="008C62C7">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Aumento por insuficiencia de provisiones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w:t>
            </w:r>
            <w:r w:rsidR="008C62C7">
              <w:rPr>
                <w:rFonts w:ascii="Arial Narrow" w:eastAsia="Times New Roman" w:hAnsi="Arial Narrow" w:cs="Arial"/>
                <w:color w:val="000000"/>
                <w:sz w:val="18"/>
                <w:szCs w:val="18"/>
              </w:rPr>
              <w:t xml:space="preserve"> </w:t>
            </w:r>
            <w:r w:rsidRPr="000D21BD">
              <w:rPr>
                <w:rFonts w:ascii="Arial Narrow" w:eastAsia="Times New Roman" w:hAnsi="Arial Narrow" w:cs="Arial"/>
                <w:color w:val="000000"/>
                <w:sz w:val="18"/>
                <w:szCs w:val="18"/>
              </w:rPr>
              <w:t xml:space="preserve">                    0.00</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5656" w:type="dxa"/>
          </w:tcPr>
          <w:p w:rsidR="000D21BD" w:rsidRPr="000D21BD" w:rsidRDefault="000D21BD" w:rsidP="000D21BD">
            <w:pPr>
              <w:autoSpaceDE w:val="0"/>
              <w:autoSpaceDN w:val="0"/>
              <w:adjustRightInd w:val="0"/>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Otros gastos contables no presupuestales</w:t>
            </w:r>
          </w:p>
        </w:tc>
        <w:tc>
          <w:tcPr>
            <w:tcW w:w="2188" w:type="dxa"/>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r w:rsidRPr="000D21BD">
              <w:rPr>
                <w:rFonts w:ascii="Arial Narrow" w:eastAsia="Times New Roman" w:hAnsi="Arial Narrow" w:cs="Arial"/>
                <w:color w:val="000000"/>
                <w:sz w:val="18"/>
                <w:szCs w:val="18"/>
              </w:rPr>
              <w:t xml:space="preserve">$ </w:t>
            </w:r>
            <w:r w:rsidR="008C62C7">
              <w:rPr>
                <w:rFonts w:ascii="Arial Narrow" w:eastAsia="Times New Roman" w:hAnsi="Arial Narrow" w:cs="Arial"/>
                <w:color w:val="000000"/>
                <w:sz w:val="18"/>
                <w:szCs w:val="18"/>
              </w:rPr>
              <w:t>- 137,595,936.58</w:t>
            </w:r>
          </w:p>
        </w:tc>
        <w:tc>
          <w:tcPr>
            <w:tcW w:w="2155" w:type="dxa"/>
            <w:vMerge/>
          </w:tcPr>
          <w:p w:rsidR="000D21BD" w:rsidRPr="000D21BD" w:rsidRDefault="000D21BD" w:rsidP="000D21BD">
            <w:pPr>
              <w:autoSpaceDE w:val="0"/>
              <w:autoSpaceDN w:val="0"/>
              <w:adjustRightInd w:val="0"/>
              <w:jc w:val="right"/>
              <w:rPr>
                <w:rFonts w:ascii="Arial Narrow" w:eastAsia="Times New Roman" w:hAnsi="Arial Narrow" w:cs="Arial"/>
                <w:color w:val="000000"/>
                <w:sz w:val="18"/>
                <w:szCs w:val="18"/>
              </w:rPr>
            </w:pPr>
          </w:p>
        </w:tc>
      </w:tr>
      <w:tr w:rsidR="000D21BD" w:rsidRPr="000D21BD" w:rsidTr="007D002F">
        <w:trPr>
          <w:jc w:val="center"/>
        </w:trPr>
        <w:tc>
          <w:tcPr>
            <w:tcW w:w="7844" w:type="dxa"/>
            <w:gridSpan w:val="2"/>
          </w:tcPr>
          <w:p w:rsidR="000D21BD" w:rsidRPr="000D21BD" w:rsidRDefault="000D21BD" w:rsidP="000D21BD">
            <w:pPr>
              <w:autoSpaceDE w:val="0"/>
              <w:autoSpaceDN w:val="0"/>
              <w:adjustRightInd w:val="0"/>
              <w:rPr>
                <w:rFonts w:ascii="Arial Narrow" w:eastAsia="Times New Roman" w:hAnsi="Arial Narrow" w:cs="Arial"/>
                <w:color w:val="000000"/>
              </w:rPr>
            </w:pPr>
            <w:r w:rsidRPr="000D21BD">
              <w:rPr>
                <w:rFonts w:ascii="Arial Narrow" w:eastAsia="Times New Roman" w:hAnsi="Arial Narrow" w:cs="Arial"/>
                <w:color w:val="000000"/>
              </w:rPr>
              <w:t>4.- Total de gasto contable (4=1+2-3)</w:t>
            </w: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r w:rsidRPr="000D21BD">
              <w:rPr>
                <w:rFonts w:ascii="Arial Narrow" w:eastAsia="Times New Roman" w:hAnsi="Arial Narrow" w:cs="Arial"/>
                <w:color w:val="000000"/>
              </w:rPr>
              <w:t xml:space="preserve">$ </w:t>
            </w:r>
            <w:r w:rsidR="008C62C7">
              <w:rPr>
                <w:rFonts w:ascii="Arial Narrow" w:eastAsia="Times New Roman" w:hAnsi="Arial Narrow" w:cs="Arial"/>
                <w:color w:val="000000"/>
              </w:rPr>
              <w:t>179</w:t>
            </w:r>
            <w:r w:rsidRPr="000D21BD">
              <w:rPr>
                <w:rFonts w:ascii="Arial Narrow" w:eastAsia="Times New Roman" w:hAnsi="Arial Narrow" w:cs="Arial"/>
                <w:color w:val="000000"/>
              </w:rPr>
              <w:t>,</w:t>
            </w:r>
            <w:r w:rsidR="008C62C7">
              <w:rPr>
                <w:rFonts w:ascii="Arial Narrow" w:eastAsia="Times New Roman" w:hAnsi="Arial Narrow" w:cs="Arial"/>
                <w:color w:val="000000"/>
              </w:rPr>
              <w:t>019</w:t>
            </w:r>
            <w:r w:rsidRPr="000D21BD">
              <w:rPr>
                <w:rFonts w:ascii="Arial Narrow" w:eastAsia="Times New Roman" w:hAnsi="Arial Narrow" w:cs="Arial"/>
                <w:color w:val="000000"/>
              </w:rPr>
              <w:t>,</w:t>
            </w:r>
            <w:r w:rsidR="008C62C7">
              <w:rPr>
                <w:rFonts w:ascii="Arial Narrow" w:eastAsia="Times New Roman" w:hAnsi="Arial Narrow" w:cs="Arial"/>
                <w:color w:val="000000"/>
              </w:rPr>
              <w:t>205</w:t>
            </w:r>
            <w:r w:rsidRPr="000D21BD">
              <w:rPr>
                <w:rFonts w:ascii="Arial Narrow" w:eastAsia="Times New Roman" w:hAnsi="Arial Narrow" w:cs="Arial"/>
                <w:color w:val="000000"/>
              </w:rPr>
              <w:t>.</w:t>
            </w:r>
            <w:r w:rsidR="008C62C7">
              <w:rPr>
                <w:rFonts w:ascii="Arial Narrow" w:eastAsia="Times New Roman" w:hAnsi="Arial Narrow" w:cs="Arial"/>
                <w:color w:val="000000"/>
              </w:rPr>
              <w:t>43</w:t>
            </w:r>
          </w:p>
        </w:tc>
      </w:tr>
      <w:tr w:rsidR="000D21BD" w:rsidRPr="000D21BD" w:rsidTr="007D002F">
        <w:trPr>
          <w:trHeight w:val="91"/>
          <w:jc w:val="center"/>
        </w:trPr>
        <w:tc>
          <w:tcPr>
            <w:tcW w:w="7844" w:type="dxa"/>
            <w:gridSpan w:val="2"/>
          </w:tcPr>
          <w:p w:rsidR="000D21BD" w:rsidRPr="000D21BD" w:rsidRDefault="000D21BD" w:rsidP="000D21BD">
            <w:pPr>
              <w:autoSpaceDE w:val="0"/>
              <w:autoSpaceDN w:val="0"/>
              <w:adjustRightInd w:val="0"/>
              <w:rPr>
                <w:rFonts w:ascii="Arial Narrow" w:eastAsia="Times New Roman" w:hAnsi="Arial Narrow" w:cs="Arial"/>
                <w:color w:val="000000"/>
              </w:rPr>
            </w:pPr>
          </w:p>
        </w:tc>
        <w:tc>
          <w:tcPr>
            <w:tcW w:w="2155" w:type="dxa"/>
          </w:tcPr>
          <w:p w:rsidR="000D21BD" w:rsidRPr="000D21BD" w:rsidRDefault="000D21BD" w:rsidP="000D21BD">
            <w:pPr>
              <w:autoSpaceDE w:val="0"/>
              <w:autoSpaceDN w:val="0"/>
              <w:adjustRightInd w:val="0"/>
              <w:jc w:val="right"/>
              <w:rPr>
                <w:rFonts w:ascii="Arial Narrow" w:eastAsia="Times New Roman" w:hAnsi="Arial Narrow" w:cs="Arial"/>
                <w:color w:val="000000"/>
              </w:rPr>
            </w:pPr>
          </w:p>
        </w:tc>
      </w:tr>
    </w:tbl>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lastRenderedPageBreak/>
        <w:t>NOTAS DE MEMORIA (CUENTAS DE ORDEN)</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color w:val="000000"/>
        </w:rPr>
      </w:pPr>
      <w:r w:rsidRPr="000D21BD">
        <w:rPr>
          <w:rFonts w:ascii="Arial Narrow" w:eastAsia="Times New Roman" w:hAnsi="Arial Narrow" w:cs="Arial"/>
          <w:b/>
          <w:color w:val="000000"/>
        </w:rPr>
        <w:t>JUICIOS.</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En el rubro de contingencias, existen juicios laborales pendientes por resolver.</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pBdr>
          <w:top w:val="single" w:sz="4" w:space="1" w:color="auto"/>
          <w:left w:val="single" w:sz="4" w:space="4" w:color="auto"/>
          <w:bottom w:val="single" w:sz="4" w:space="1" w:color="auto"/>
          <w:right w:val="single" w:sz="4" w:space="4" w:color="auto"/>
        </w:pBdr>
        <w:shd w:val="clear" w:color="auto" w:fill="F2DBDB" w:themeFill="accent2" w:themeFillTint="33"/>
        <w:autoSpaceDE w:val="0"/>
        <w:autoSpaceDN w:val="0"/>
        <w:adjustRightInd w:val="0"/>
        <w:spacing w:after="0" w:line="240" w:lineRule="auto"/>
        <w:jc w:val="center"/>
        <w:rPr>
          <w:rFonts w:ascii="Arial Narrow" w:eastAsia="Times New Roman" w:hAnsi="Arial Narrow" w:cs="Arial"/>
          <w:b/>
          <w:color w:val="000000"/>
        </w:rPr>
      </w:pPr>
      <w:r w:rsidRPr="000D21BD">
        <w:rPr>
          <w:rFonts w:ascii="Arial Narrow" w:eastAsia="Times New Roman" w:hAnsi="Arial Narrow" w:cs="Arial"/>
          <w:b/>
          <w:color w:val="000000"/>
        </w:rPr>
        <w:t>NOTAS DE GESTIÓN ADMINISTRATIVA</w:t>
      </w: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u w:val="single"/>
        </w:rPr>
      </w:pPr>
      <w:r w:rsidRPr="000D21BD">
        <w:rPr>
          <w:rFonts w:ascii="Arial Narrow" w:eastAsia="Times New Roman" w:hAnsi="Arial Narrow" w:cs="Arial"/>
          <w:b/>
          <w:bCs/>
          <w:color w:val="000000"/>
        </w:rPr>
        <w:t>1.- Introducción</w:t>
      </w:r>
      <w:r w:rsidRPr="000D21BD">
        <w:rPr>
          <w:rFonts w:ascii="Arial Narrow" w:eastAsia="Times New Roman" w:hAnsi="Arial Narrow" w:cs="Arial"/>
          <w:b/>
          <w:bCs/>
          <w:color w:val="000000"/>
          <w:u w:val="single"/>
        </w:rPr>
        <w:t>.</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spacing w:after="0"/>
        <w:jc w:val="both"/>
        <w:rPr>
          <w:rFonts w:ascii="Arial Narrow" w:eastAsia="Times New Roman" w:hAnsi="Arial Narrow" w:cs="Times New Roman"/>
          <w:lang w:val="es-ES"/>
        </w:rPr>
      </w:pPr>
      <w:r w:rsidRPr="000D21BD">
        <w:rPr>
          <w:rFonts w:ascii="Arial Narrow" w:eastAsia="Times New Roman" w:hAnsi="Arial Narrow" w:cs="Times New Roman"/>
        </w:rPr>
        <w:t xml:space="preserve">Conforme a lo dispuesto por el Consejo Nacional de Armonización Contable, por el que se armoniza la estructura de las cuentas públicas, el tomo del Poder Judicial se integra a su vez por los estados financieros y demás información presupuestaria, programática y contable que presenta el Honorable Tribunal Superior de Justicia, que tiene por </w:t>
      </w:r>
      <w:r w:rsidRPr="000D21BD">
        <w:rPr>
          <w:rFonts w:ascii="Arial Narrow" w:eastAsia="Times New Roman" w:hAnsi="Arial Narrow" w:cs="Times New Roman"/>
          <w:lang w:val="es-ES"/>
        </w:rPr>
        <w:t xml:space="preserve">objetivo proveer información, confiable, relevante, comprensible y comparable, expresada en términos monetarios, respecto del ejercicio presupuestario, la situación financiera, el ahorro o desahorro generado en la gestión, el flujo del efectivo y las variaciones en el patrimonio de este Poder Judicial al 30 de </w:t>
      </w:r>
      <w:r w:rsidR="008C62C7">
        <w:rPr>
          <w:rFonts w:ascii="Arial Narrow" w:eastAsia="Times New Roman" w:hAnsi="Arial Narrow" w:cs="Times New Roman"/>
          <w:lang w:val="es-ES"/>
        </w:rPr>
        <w:t>junio</w:t>
      </w:r>
      <w:r w:rsidRPr="000D21BD">
        <w:rPr>
          <w:rFonts w:ascii="Arial Narrow" w:eastAsia="Times New Roman" w:hAnsi="Arial Narrow" w:cs="Times New Roman"/>
          <w:lang w:val="es-ES"/>
        </w:rPr>
        <w:t xml:space="preserve"> de 202</w:t>
      </w:r>
      <w:r w:rsidR="008C62C7">
        <w:rPr>
          <w:rFonts w:ascii="Arial Narrow" w:eastAsia="Times New Roman" w:hAnsi="Arial Narrow" w:cs="Times New Roman"/>
          <w:lang w:val="es-ES"/>
        </w:rPr>
        <w:t>3</w:t>
      </w:r>
      <w:r w:rsidRPr="000D21BD">
        <w:rPr>
          <w:rFonts w:ascii="Arial Narrow" w:eastAsia="Times New Roman" w:hAnsi="Arial Narrow" w:cs="Times New Roman"/>
          <w:lang w:val="es-ES"/>
        </w:rPr>
        <w:t xml:space="preserve">. </w:t>
      </w:r>
    </w:p>
    <w:p w:rsidR="000D21BD" w:rsidRPr="000D21BD" w:rsidRDefault="000D21BD" w:rsidP="000D21BD">
      <w:pPr>
        <w:spacing w:after="0"/>
        <w:jc w:val="both"/>
        <w:rPr>
          <w:rFonts w:ascii="Arial Narrow" w:eastAsia="Times New Roman" w:hAnsi="Arial Narrow" w:cs="Times New Roman"/>
          <w:lang w:val="es-ES"/>
        </w:rPr>
      </w:pPr>
    </w:p>
    <w:p w:rsidR="000D21BD" w:rsidRPr="000D21BD" w:rsidRDefault="000D21BD" w:rsidP="000D21BD">
      <w:pPr>
        <w:spacing w:after="0"/>
        <w:jc w:val="both"/>
        <w:rPr>
          <w:rFonts w:ascii="Arial Narrow" w:eastAsia="Times New Roman" w:hAnsi="Arial Narrow" w:cs="Times New Roman"/>
          <w:lang w:val="es-E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2.- Panorama económico y financiero.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GaramondPro-Bold"/>
          <w:b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GaramondPro-Regular"/>
        </w:rPr>
      </w:pPr>
      <w:r w:rsidRPr="000D21BD">
        <w:rPr>
          <w:rFonts w:ascii="Arial Narrow" w:eastAsia="Times New Roman" w:hAnsi="Arial Narrow" w:cs="AGaramondPro-Bold"/>
          <w:bCs/>
        </w:rPr>
        <w:t>Con las Reformas Constitucionales que fueron publicadas e</w:t>
      </w:r>
      <w:r w:rsidRPr="000D21BD">
        <w:rPr>
          <w:rFonts w:ascii="Arial Narrow" w:eastAsia="Times New Roman" w:hAnsi="Arial Narrow" w:cs="AGaramondPro-Regular"/>
        </w:rPr>
        <w:t>l 18 de diciembre de 2008 en el Diario Oficial de la Federación, en el decreto por el que se reforman los artículos 16, 17, 18, 19, 20, 21 y 22; las fracciones XXI y XXIII del artículo 73; la fracción VII del artículo 115 y la fracción XIII del apartado B del artículo 123, todos de la Constitución Política de los Estados Unidos Mexicanos, aunado a ello los artículos transitorios segundo y tercero del decreto mencionado establecen los lineamientos temporales para la entrada en vigor</w:t>
      </w:r>
      <w:r w:rsidRPr="000D21BD">
        <w:rPr>
          <w:rFonts w:ascii="Arial Narrow" w:eastAsia="Times New Roman" w:hAnsi="Arial Narrow" w:cs="AGaramondPro-Regular"/>
          <w:b/>
        </w:rPr>
        <w:t xml:space="preserve"> </w:t>
      </w:r>
      <w:r w:rsidRPr="000D21BD">
        <w:rPr>
          <w:rFonts w:ascii="Arial Narrow" w:eastAsia="Times New Roman" w:hAnsi="Arial Narrow" w:cs="AGaramondPro-Regular"/>
        </w:rPr>
        <w:t>en nuestro país del sistema procesal penal acusatorio y oral mercantil, ha</w:t>
      </w:r>
      <w:r w:rsidRPr="000D21BD">
        <w:rPr>
          <w:rFonts w:ascii="Arial Narrow" w:eastAsia="Times New Roman" w:hAnsi="Arial Narrow" w:cs="Times New Roman"/>
        </w:rPr>
        <w:t xml:space="preserve"> originado un incremento en el gasto corriente para la implementación de estas reformas impactando considerablemente en el presupuesto del ejercicio, así como, la Reforma al Sistema de Justicia Laboral, misma que se ha atendido en los tiempos y formas como lo establece la ley. </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3.- Autorización e historia.</w:t>
      </w:r>
    </w:p>
    <w:p w:rsidR="000D21BD" w:rsidRPr="000D21BD" w:rsidRDefault="000D21BD" w:rsidP="000D21BD">
      <w:pPr>
        <w:autoSpaceDE w:val="0"/>
        <w:autoSpaceDN w:val="0"/>
        <w:adjustRightInd w:val="0"/>
        <w:spacing w:after="0" w:line="240" w:lineRule="auto"/>
        <w:rPr>
          <w:rFonts w:ascii="Arial Narrow" w:eastAsia="Times New Roman" w:hAnsi="Arial Narrow" w:cs="Arial"/>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 xml:space="preserve">Fecha de creación e historia. </w:t>
      </w:r>
    </w:p>
    <w:p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rPr>
          <w:rFonts w:ascii="Arial Narrow" w:eastAsia="Times New Roman" w:hAnsi="Arial Narrow" w:cs="Arial"/>
          <w:b/>
          <w:bCs/>
          <w:color w:val="000000"/>
        </w:rPr>
      </w:pPr>
      <w:r w:rsidRPr="000D21BD">
        <w:rPr>
          <w:rFonts w:ascii="Arial Narrow" w:eastAsia="Times New Roman" w:hAnsi="Arial Narrow" w:cs="Arial"/>
          <w:b/>
          <w:bCs/>
          <w:color w:val="000000"/>
        </w:rPr>
        <w:t>Entidad: Honorable Tribunal Superior de Justicia.</w:t>
      </w:r>
    </w:p>
    <w:p w:rsidR="000D21BD" w:rsidRPr="000D21BD" w:rsidRDefault="000D21BD" w:rsidP="000D21BD">
      <w:pPr>
        <w:autoSpaceDE w:val="0"/>
        <w:autoSpaceDN w:val="0"/>
        <w:adjustRightInd w:val="0"/>
        <w:spacing w:after="0" w:line="240" w:lineRule="auto"/>
        <w:ind w:left="708"/>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El Poder Judicial se crea a través de la Constitución Política del Estado Libre y Soberano de Tlaxcala, bajo ese decreto se constituyó el Tribunal Superior de Justicia en su TITULO X denominado: Del Poder Judicial, en su Artículo 56 señala: “El ejercicio del Poder Judicial se encomienda al TRIBUNAL SUPERIOR DE JUSTICIA DEL ESTADO” y posteriormente el 05 de mayo de 1968 por decreto, se convoca para nombrar los tres primeros Magistrados y a los jueces miembros del Superior Tribunal de Justicia del Estado.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lastRenderedPageBreak/>
        <w:t>La supremacía y el control de la Constitución Política del Estado Libre y Soberano del Estado Tlaxcala, para impartir justicia de manera pronta, gratuita, completa e imparcial, en los asuntos de orden civil, familiar, penal, administrativo y ejecución de sanciones, administración de justicia para adolescentes y en los del orden federal en los casos en que las leyes de la materia le confieran jurisdicción como lo marca la ley Orgánica del Poder Judicial del Estado de Tlaxcala en su artículo 1, recaen sobre el Poder Judicial del Estado de Tlaxcala.</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4.- Organización y Objeto social.</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t>a) Objeto social.</w:t>
      </w:r>
    </w:p>
    <w:p w:rsidR="000D21BD" w:rsidRPr="000D21BD" w:rsidRDefault="000D21BD" w:rsidP="000D21BD">
      <w:pPr>
        <w:autoSpaceDE w:val="0"/>
        <w:autoSpaceDN w:val="0"/>
        <w:adjustRightInd w:val="0"/>
        <w:spacing w:after="0" w:line="240" w:lineRule="auto"/>
        <w:ind w:left="106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Impartir justicia de manera pronta, gratuita, completa e imparcial, en los asuntos de orden civil, familiar, penal, administrativo y ejecución de sanciones, administración de justicia para adolescentes, aunado a ello los inicios del nuevo sistema de justicia penal acusatorio, el sistema mercantil y de oralidad mercantil, así también, la Reforma al Sistema de Justicia Laboral que se integra a este Honorable Tribunal Superior de Justicia del Estado de Tlaxcala.</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b)</w:t>
      </w:r>
      <w:r w:rsidRPr="000D21BD">
        <w:rPr>
          <w:rFonts w:ascii="Arial Narrow" w:eastAsia="Times New Roman" w:hAnsi="Arial Narrow" w:cs="Arial"/>
          <w:b/>
          <w:bCs/>
          <w:color w:val="000000"/>
          <w:u w:val="single"/>
        </w:rPr>
        <w:t xml:space="preserve">  Principal actividad.</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Es un Ente público encargado de la impartición de justicia por medio del personal que colabora en el mismo (Magistrados, Consejeros, Jueces y demás personal jurisdiccional y administrativo).</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c)</w:t>
      </w:r>
      <w:r w:rsidRPr="000D21BD">
        <w:rPr>
          <w:rFonts w:ascii="Arial Narrow" w:eastAsia="Times New Roman" w:hAnsi="Arial Narrow" w:cs="Arial"/>
          <w:b/>
          <w:bCs/>
          <w:color w:val="000000"/>
          <w:u w:val="single"/>
        </w:rPr>
        <w:t xml:space="preserve">  Ejercicio fiscal.</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u w:val="single"/>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Su ejercicio inicia el 01 de enero y termina el 31 de diciembre de cada año.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d)</w:t>
      </w:r>
      <w:r w:rsidRPr="000D21BD">
        <w:rPr>
          <w:rFonts w:ascii="Arial Narrow" w:eastAsia="Times New Roman" w:hAnsi="Arial Narrow" w:cs="Arial"/>
          <w:b/>
          <w:bCs/>
          <w:color w:val="000000"/>
          <w:u w:val="single"/>
        </w:rPr>
        <w:t xml:space="preserve">  Régimen jurídico.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Narrow-Bold"/>
          <w:b/>
          <w:b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BoldMT"/>
          <w:bCs/>
        </w:rPr>
      </w:pPr>
      <w:r w:rsidRPr="000D21BD">
        <w:rPr>
          <w:rFonts w:ascii="Arial Narrow" w:eastAsia="Times New Roman" w:hAnsi="Arial Narrow" w:cs="ArialNarrow-Bold"/>
          <w:bCs/>
        </w:rPr>
        <w:t>El Honorable Tribunal de Justicia del Estado, se rige a través de la Ley Orgánica del Poder Judicial del Estado de Tlaxcala</w:t>
      </w:r>
      <w:r w:rsidRPr="000D21BD">
        <w:rPr>
          <w:rFonts w:ascii="Arial Narrow" w:eastAsia="Times New Roman" w:hAnsi="Arial Narrow" w:cs="ArialMT"/>
        </w:rPr>
        <w:t xml:space="preserve">, tiene como objeto garantizar a través del Poder Judicial la supremacía y el control de la Constitución Política del Estado y deberá impartir justicia de manera pronta, gratuita, completa e imparcial, </w:t>
      </w:r>
      <w:r w:rsidRPr="000D21BD">
        <w:rPr>
          <w:rFonts w:ascii="Arial Narrow" w:eastAsia="Times New Roman" w:hAnsi="Arial Narrow" w:cs="Arial-BoldMT"/>
          <w:bCs/>
        </w:rPr>
        <w:t>en los asuntos de orden civil, familiar, penal, administrativo, ejecución de sanciones, administración de justicia para adolescentes y en los del orden federal en los casos en que las leyes de la materia le confiera jurisdicción.</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e)</w:t>
      </w:r>
      <w:r w:rsidRPr="000D21BD">
        <w:rPr>
          <w:rFonts w:ascii="Arial Narrow" w:eastAsia="Times New Roman" w:hAnsi="Arial Narrow" w:cs="Arial"/>
          <w:b/>
          <w:bCs/>
          <w:color w:val="000000"/>
          <w:u w:val="single"/>
        </w:rPr>
        <w:t xml:space="preserve">  Consideraciones fiscales.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color w:val="000000"/>
        </w:rPr>
        <w:t>El Ente es una persona moral no contribuyente del Impuesto Sobre la Renta e impuesto al Valor Agregado, por tanto, es solo retenedor de Impuesto Sobre la Renta por salarios pagados y retenciones de Impuesto Sobre la Renta por el pago a personas físicas que se encuentran bajo el régimen de honorarios por servicios profesionales y/o arrendamiento. Así también funge como Retenedor de Impuesto al Valor agregado.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rPr>
        <w:t>f)</w:t>
      </w:r>
      <w:r w:rsidRPr="000D21BD">
        <w:rPr>
          <w:rFonts w:ascii="Arial Narrow" w:eastAsia="Times New Roman" w:hAnsi="Arial Narrow" w:cs="Arial"/>
          <w:b/>
          <w:bCs/>
          <w:color w:val="000000"/>
          <w:u w:val="single"/>
        </w:rPr>
        <w:t xml:space="preserve">  Estructura organizacional básica.</w:t>
      </w:r>
    </w:p>
    <w:p w:rsidR="000D21BD" w:rsidRPr="000D21BD" w:rsidRDefault="000D21BD" w:rsidP="000D21BD">
      <w:pPr>
        <w:spacing w:after="247"/>
        <w:ind w:left="329"/>
        <w:jc w:val="center"/>
        <w:rPr>
          <w:rFonts w:ascii="Arial Narrow" w:eastAsia="Times New Roman" w:hAnsi="Arial Narrow" w:cs="Times New Roman"/>
        </w:rPr>
      </w:pPr>
      <w:r w:rsidRPr="000D21BD">
        <w:rPr>
          <w:rFonts w:eastAsia="Times New Roman" w:cs="Times New Roman"/>
          <w:noProof/>
        </w:rPr>
        <w:drawing>
          <wp:anchor distT="0" distB="0" distL="114300" distR="114300" simplePos="0" relativeHeight="251658240" behindDoc="0" locked="0" layoutInCell="1" allowOverlap="1">
            <wp:simplePos x="0" y="0"/>
            <wp:positionH relativeFrom="margin">
              <wp:posOffset>183515</wp:posOffset>
            </wp:positionH>
            <wp:positionV relativeFrom="paragraph">
              <wp:posOffset>327025</wp:posOffset>
            </wp:positionV>
            <wp:extent cx="8715375" cy="4672330"/>
            <wp:effectExtent l="0" t="0" r="9525"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715375" cy="46723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21BD">
        <w:rPr>
          <w:rFonts w:eastAsia="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4822190</wp:posOffset>
                </wp:positionH>
                <wp:positionV relativeFrom="paragraph">
                  <wp:posOffset>3803650</wp:posOffset>
                </wp:positionV>
                <wp:extent cx="654050" cy="304800"/>
                <wp:effectExtent l="0" t="0" r="12700" b="19050"/>
                <wp:wrapNone/>
                <wp:docPr id="10" name="Rectángulo: esquinas redondeadas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4050" cy="304800"/>
                        </a:xfrm>
                        <a:prstGeom prst="roundRect">
                          <a:avLst/>
                        </a:prstGeom>
                        <a:solidFill>
                          <a:sysClr val="window" lastClr="FFFFFF"/>
                        </a:solidFill>
                        <a:ln w="3175" cap="flat" cmpd="sng" algn="ctr">
                          <a:solidFill>
                            <a:sysClr val="windowText" lastClr="000000"/>
                          </a:solidFill>
                          <a:prstDash val="solid"/>
                        </a:ln>
                        <a:effectLst/>
                      </wps:spPr>
                      <wps:txbx>
                        <w:txbxContent>
                          <w:p w:rsidR="007D002F" w:rsidRPr="00241AB9" w:rsidRDefault="007D002F"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esquinas redondeadas 10" o:spid="_x0000_s1026" style="position:absolute;left:0;text-align:left;margin-left:379.7pt;margin-top:299.5pt;width:51.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" fillcolor="window" strokecolor="windowText" strokeweight=".25pt">
                <v:path arrowok="t"/>
                <v:textbox>
                  <w:txbxContent>
                    <w:p w:rsidR="007D002F" w:rsidRPr="00241AB9" w:rsidRDefault="007D002F" w:rsidP="000D21BD">
                      <w:pPr>
                        <w:jc w:val="center"/>
                        <w:rPr>
                          <w:rFonts w:ascii="Arial Narrow" w:hAnsi="Arial Narrow"/>
                          <w:b/>
                          <w:bCs/>
                          <w:sz w:val="8"/>
                          <w:szCs w:val="8"/>
                          <w:lang w:val="es-ES"/>
                        </w:rPr>
                      </w:pPr>
                      <w:r w:rsidRPr="00241AB9">
                        <w:rPr>
                          <w:rFonts w:ascii="Arial Narrow" w:hAnsi="Arial Narrow"/>
                          <w:b/>
                          <w:bCs/>
                          <w:sz w:val="8"/>
                          <w:szCs w:val="8"/>
                          <w:lang w:val="es-ES"/>
                        </w:rPr>
                        <w:t>DIRECTOR DE RECURSOS HUMANOS Y MATERIALES</w:t>
                      </w:r>
                    </w:p>
                  </w:txbxContent>
                </v:textbox>
              </v:roundrect>
            </w:pict>
          </mc:Fallback>
        </mc:AlternateContent>
      </w:r>
      <w:r w:rsidRPr="000D21BD">
        <w:rPr>
          <w:rFonts w:ascii="Arial Narrow" w:eastAsia="Times New Roman" w:hAnsi="Arial Narrow" w:cs="Times New Roman"/>
          <w:b/>
          <w:sz w:val="23"/>
        </w:rPr>
        <w:t xml:space="preserve">ESTRUCTURA ORGÁNICA DEL PODER JUDICIAL DEL ESTADO DE TLAXCALA </w:t>
      </w:r>
    </w:p>
    <w:p w:rsidR="000D21BD" w:rsidRPr="000D21BD" w:rsidRDefault="000D21BD" w:rsidP="000D21BD">
      <w:pPr>
        <w:tabs>
          <w:tab w:val="left" w:pos="525"/>
          <w:tab w:val="left" w:pos="5550"/>
        </w:tabs>
        <w:spacing w:after="312"/>
        <w:ind w:left="-1298" w:right="-995"/>
        <w:rPr>
          <w:rFonts w:ascii="Arial Narrow" w:eastAsia="Times New Roman" w:hAnsi="Arial Narrow" w:cs="Arial"/>
          <w:color w:val="000000"/>
          <w:sz w:val="24"/>
          <w:szCs w:val="24"/>
          <w:vertAlign w:val="superscript"/>
        </w:rPr>
      </w:pPr>
      <w:r w:rsidRPr="000D21BD">
        <w:rPr>
          <w:rFonts w:ascii="Arial Narrow" w:eastAsia="Times New Roman" w:hAnsi="Arial Narrow" w:cs="Times New Roman"/>
        </w:rPr>
        <w:tab/>
      </w:r>
      <w:r w:rsidRPr="000D21BD">
        <w:rPr>
          <w:rFonts w:ascii="Arial Narrow" w:eastAsia="Times New Roman" w:hAnsi="Arial Narrow" w:cs="Times New Roman"/>
        </w:rPr>
        <w:tab/>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noProof/>
          <w:color w:val="000000"/>
          <w:sz w:val="24"/>
          <w:szCs w:val="24"/>
          <w:lang w:eastAsia="es-MX"/>
        </w:rPr>
      </w:pPr>
      <w:r w:rsidRPr="000D21BD">
        <w:rPr>
          <w:rFonts w:ascii="Arial Narrow" w:eastAsia="Times New Roman" w:hAnsi="Arial Narrow" w:cs="Arial"/>
          <w:color w:val="000000"/>
          <w:sz w:val="24"/>
          <w:szCs w:val="24"/>
          <w:vertAlign w:val="superscript"/>
        </w:rPr>
        <w:t xml:space="preserve">Fuente:   Secretaría Ejecutiva </w:t>
      </w:r>
      <w:r w:rsidRPr="000D21BD">
        <w:rPr>
          <w:rFonts w:ascii="Arial Narrow" w:eastAsia="Times New Roman" w:hAnsi="Arial Narrow" w:cs="Arial"/>
          <w:color w:val="000000"/>
          <w:sz w:val="24"/>
          <w:szCs w:val="24"/>
          <w:vertAlign w:val="superscript"/>
        </w:rPr>
        <w:tab/>
      </w:r>
      <w:r w:rsidRPr="000D21BD">
        <w:rPr>
          <w:rFonts w:ascii="Arial Narrow" w:eastAsia="Times New Roman" w:hAnsi="Arial Narrow" w:cs="Arial"/>
          <w:color w:val="000000"/>
          <w:sz w:val="16"/>
          <w:szCs w:val="24"/>
        </w:rPr>
        <w:t xml:space="preserve">Autorizado en Sesión Extraordinaria Privada del Consejo de la Judicatura del Estado de Tlaxcala de fecha 19 de  Marzo de 2020.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u w:val="single"/>
        </w:rPr>
      </w:pPr>
      <w:r w:rsidRPr="000D21BD">
        <w:rPr>
          <w:rFonts w:ascii="Arial Narrow" w:eastAsia="Times New Roman" w:hAnsi="Arial Narrow" w:cs="Arial"/>
          <w:b/>
          <w:bCs/>
          <w:color w:val="000000"/>
          <w:u w:val="single"/>
        </w:rPr>
        <w:lastRenderedPageBreak/>
        <w:t>g) Fideicomisos, mandatos y análogos de los cuales es fideicomitente o fiduciario.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ab/>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Cs/>
          <w:color w:val="000000"/>
        </w:rPr>
      </w:pPr>
      <w:r w:rsidRPr="000D21BD">
        <w:rPr>
          <w:rFonts w:ascii="Arial Narrow" w:eastAsia="Times New Roman" w:hAnsi="Arial Narrow" w:cs="Arial"/>
          <w:bCs/>
          <w:color w:val="000000"/>
        </w:rPr>
        <w:t xml:space="preserve">No aplica.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5.- Bases de preparación.</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rPr>
      </w:pPr>
      <w:r w:rsidRPr="000D21BD">
        <w:rPr>
          <w:rFonts w:ascii="Arial Narrow" w:eastAsia="Times New Roman" w:hAnsi="Arial Narrow" w:cs="Arial"/>
          <w:b/>
          <w:bCs/>
          <w:color w:val="000000"/>
        </w:rPr>
        <w:t xml:space="preserve"> </w:t>
      </w:r>
    </w:p>
    <w:p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Se ha observado la normatividad emitida por el Consejo Nacional de Armonización Contable y las disposiciones legales aplicables en la materia.</w:t>
      </w:r>
    </w:p>
    <w:p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color w:val="000000"/>
        </w:rPr>
      </w:pPr>
    </w:p>
    <w:p w:rsidR="000D21BD" w:rsidRPr="000D21BD" w:rsidRDefault="000D21BD" w:rsidP="000D21BD">
      <w:pPr>
        <w:numPr>
          <w:ilvl w:val="0"/>
          <w:numId w:val="36"/>
        </w:numPr>
        <w:autoSpaceDE w:val="0"/>
        <w:autoSpaceDN w:val="0"/>
        <w:adjustRightInd w:val="0"/>
        <w:spacing w:after="0" w:line="240" w:lineRule="auto"/>
        <w:ind w:left="284" w:hanging="284"/>
        <w:jc w:val="both"/>
        <w:rPr>
          <w:rFonts w:ascii="Arial Narrow" w:eastAsia="Times New Roman" w:hAnsi="Arial Narrow" w:cs="Arial"/>
          <w:color w:val="000000"/>
        </w:rPr>
      </w:pPr>
      <w:r w:rsidRPr="000D21BD">
        <w:rPr>
          <w:rFonts w:ascii="Arial Narrow" w:eastAsia="Times New Roman" w:hAnsi="Arial Narrow" w:cs="Arial"/>
          <w:color w:val="000000"/>
        </w:rPr>
        <w:t>Los estados financieros adjuntos, han sido preparados de acuerdo con la Norma Internacional de Contabilidad (NIC) 34, información financiera intermedia cumpliendo con las Normas Internacionales de Información Financiera (NIIF) y con las interpretaciones a las Normas Internacionales de Información Financiera (INIIF) respectivas, emitidas por el Consejo de Normas Internacionales de Contabilidad (IASB por sus siglas en inglés).</w:t>
      </w:r>
    </w:p>
    <w:p w:rsidR="008C62C7" w:rsidRDefault="008C62C7"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r w:rsidRPr="000D21BD">
        <w:rPr>
          <w:rFonts w:ascii="Arial Narrow" w:eastAsia="Times New Roman" w:hAnsi="Arial Narrow" w:cs="Arial"/>
          <w:b/>
          <w:bCs/>
          <w:color w:val="000000"/>
        </w:rPr>
        <w:t>6.- Postulados básicos.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estados financieros han sido preparados sobre la base del costo histórico.</w:t>
      </w:r>
    </w:p>
    <w:p w:rsidR="000D21BD" w:rsidRPr="000D21BD" w:rsidRDefault="000D21BD" w:rsidP="000D21BD">
      <w:pPr>
        <w:autoSpaceDE w:val="0"/>
        <w:autoSpaceDN w:val="0"/>
        <w:adjustRightInd w:val="0"/>
        <w:spacing w:after="0" w:line="240" w:lineRule="auto"/>
        <w:ind w:left="284"/>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Las partidas de inmuebles, maquinaria y equipo están registradas a su costo histórico, el cual corresponde a los valores contables y no reconocen los efectos de la inflación de conformidad con las Normas de Información Financiera en México (NIF).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bCs/>
          <w:i/>
          <w:iCs/>
          <w:u w:val="single"/>
        </w:rPr>
        <w:t xml:space="preserve">a) Moneda funcional y de presentación.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estados financieros son presentados en pesos mexicanos, que es la moneda funcional del Tribunal Superior de Justicia, toda la información es presentada en pesos corrientes.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color w:val="000000"/>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color w:val="000000"/>
          <w:u w:val="single"/>
        </w:rPr>
      </w:pPr>
      <w:r w:rsidRPr="000D21BD">
        <w:rPr>
          <w:rFonts w:ascii="Arial Narrow" w:eastAsia="Times New Roman" w:hAnsi="Arial Narrow" w:cs="Arial"/>
          <w:b/>
          <w:bCs/>
          <w:color w:val="000000"/>
          <w:u w:val="single"/>
        </w:rPr>
        <w:t xml:space="preserve">b) </w:t>
      </w:r>
      <w:r w:rsidRPr="000D21BD">
        <w:rPr>
          <w:rFonts w:ascii="Arial Narrow" w:eastAsia="Times New Roman" w:hAnsi="Arial Narrow" w:cs="Times New Roman"/>
          <w:b/>
          <w:bCs/>
          <w:i/>
          <w:iCs/>
          <w:u w:val="single"/>
        </w:rPr>
        <w:t>Clasificación de activos y pasivos.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Los activos y pasivos se clasifican según su destino o su grado de realización o exigibilidad en términos de tiempo, en corrientes y no corrientes, para tal efecto se entiende como activos o pasivos corrientes, aquellas partidas que serán realizables o exigibles en un plazo no mayor a un año y más allá de este tiempo, no corrientes.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Vidas útiles y valor razonable de inmuebles y bienes muebles.</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r w:rsidRPr="000D21BD">
        <w:rPr>
          <w:rFonts w:ascii="Arial Narrow" w:eastAsia="Times New Roman" w:hAnsi="Arial Narrow" w:cs="Arial"/>
        </w:rPr>
        <w:t xml:space="preserv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El Poder Judicial determina las vidas útiles de sus activos con base en su mejor estimación de los períodos durante los cuales espera obtener beneficios económicos derivados de dichos activos. Únicamente para efectos de la adopción de las NIIF, para aquellos activos valuados a su valor razonable, en caso de existir un valor de mercado, este Poder evaluó si dicho valor de mercado satisfacía las condiciones de pactarse entre partes interesadas y dispuestas, en una transacción de libre competencia, lo que permitiría considerar el valor de mercado como una referencia apropiada del valor razonable, de lo contrario, el valor razonable de los activos se estimó con base en modelos técnicos de valuación reconocidos en el ámbito financiero.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lastRenderedPageBreak/>
        <w:t xml:space="preserve">Los otros pasivos financieros se componen de documentos por pagar, obligaciones de carácter contractual laboral y otras cuentas por pagar e impuestos por pagar, en el caso de obligaciones contractuales. Cuando el cálculo genera un beneficio para el Ente, el activo reconocido se limita al total neto de cualquier costo por servicio anterior no reconocido y al valor presente de cualquier devolución futura proveniente del plan o de reducciones en futuras contribuciones al plan. A fin de calcular el valor presente de los beneficios económicos, se debe considerar cualquier requerimiento de financiamiento mínimo que sea aplicable a cualquier plan del Ente. El costo laboral resultante del aumento en la obligación por los beneficios y gastos por los empleados en el año se reconoce en gastos de operación.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costo financiero, asociado con el incremento del pasivo por el paso del tiempo, así como el rendimiento esperado en el periodo de los activos del plan, se reconocen dentro del resultado de financiamiento. Un beneficio económico está disponible para el Ente si es realizable en la duración del plan o la liquidación de las obligaciones del plan. Cuando se mejoran los beneficios de un plan, la porción del beneficio mejorado que tiene relación con servicios pasados realizados por empleados es reconocida en resultados usando el método lineal en el período promedio hasta que los beneficios sean entregados. En la medida en que los beneficios sean otorgados de forma inmediata, el gasto es reconocido inmediatamente en resultados.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Cuando tengan lugar reducciones o liquidaciones en un plan de beneficios definidos, el Ente procederá a reconocer las ganancias o pérdidas derivadas de los mismos. Estas ganancias o pérdidas comprenderán cualquier cambio que pudiera resultar en el valor presente de las obligaciones por beneficios definidos contraídos por la entidad, cualquier variación en el valor razonable de los activos del plan; cualesquiera ganancias y pérdidas actuariales y costos de servicio pasado que no hubieran sido previamente reconocidas.</w:t>
      </w:r>
    </w:p>
    <w:p w:rsidR="000D21BD" w:rsidRPr="000D21BD" w:rsidRDefault="000D21BD" w:rsidP="000D21BD">
      <w:pPr>
        <w:autoSpaceDE w:val="0"/>
        <w:autoSpaceDN w:val="0"/>
        <w:adjustRightInd w:val="0"/>
        <w:spacing w:after="0" w:line="240" w:lineRule="auto"/>
        <w:ind w:left="1416"/>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obligación neta del Ente relacionada con los planes de pensiones de beneficios definidos es calculada de forma separada para cada plan, calculando el monto del beneficio futuro que los empleados han ganado a cambio de sus servicios en el período actual y en los anteriores. </w:t>
      </w:r>
    </w:p>
    <w:p w:rsidR="000D21BD" w:rsidRPr="000D21BD" w:rsidRDefault="000D21BD" w:rsidP="000D21BD">
      <w:pPr>
        <w:autoSpaceDE w:val="0"/>
        <w:autoSpaceDN w:val="0"/>
        <w:adjustRightInd w:val="0"/>
        <w:spacing w:after="0" w:line="240" w:lineRule="auto"/>
        <w:ind w:left="708"/>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c) Políticas de contabilidad significativas</w:t>
      </w:r>
      <w:r w:rsidRPr="000D21BD">
        <w:rPr>
          <w:rFonts w:ascii="Arial Narrow" w:eastAsia="Times New Roman" w:hAnsi="Arial Narrow" w:cs="Arial"/>
          <w:u w:val="single"/>
        </w:rPr>
        <w:t>.</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Actualización: la información presentada en los estados financieros no reconoce los efectos de la inflación, por tanto, se presentan a valor histórico.</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Operaciones en el extranjero: se informa que este ente no realiza operaciones en el extranjero.</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inversiones en acciones en el sector paraestatal: se informa que este Poder Judicial no tiene inversiones en acciones en el sector paraestatal.</w:t>
      </w:r>
    </w:p>
    <w:p w:rsidR="000D21BD" w:rsidRPr="000D21BD" w:rsidRDefault="000D21BD" w:rsidP="000D21BD">
      <w:pPr>
        <w:numPr>
          <w:ilvl w:val="0"/>
          <w:numId w:val="32"/>
        </w:num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Método de valuación de inventarios: debido a las actividades que realiza este Ente público, no tiene manejo de inventarios de materia prima y materiales.</w:t>
      </w:r>
    </w:p>
    <w:p w:rsidR="000D21BD" w:rsidRPr="000D21BD" w:rsidRDefault="000D21BD" w:rsidP="000D21BD">
      <w:pPr>
        <w:autoSpaceDE w:val="0"/>
        <w:autoSpaceDN w:val="0"/>
        <w:adjustRightInd w:val="0"/>
        <w:spacing w:after="0" w:line="240" w:lineRule="auto"/>
        <w:ind w:left="720"/>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u w:val="single"/>
        </w:rPr>
      </w:pPr>
      <w:r w:rsidRPr="000D21BD">
        <w:rPr>
          <w:rFonts w:ascii="Arial Narrow" w:eastAsia="Times New Roman" w:hAnsi="Arial Narrow" w:cs="Arial"/>
          <w:b/>
          <w:u w:val="single"/>
        </w:rPr>
        <w:t>d)  Posición en moneda extranjera y protección por riesgo cambiario</w:t>
      </w:r>
      <w:r w:rsidRPr="000D21BD">
        <w:rPr>
          <w:rFonts w:ascii="Arial Narrow" w:eastAsia="Times New Roman" w:hAnsi="Arial Narrow" w:cs="Arial"/>
          <w:u w:val="single"/>
        </w:rPr>
        <w:t>.</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Este Ente público no tiene activos o pasivos en moneda extranjera.</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7.- Reporte analítico del activo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bCs/>
          <w:i/>
          <w:iCs/>
        </w:rPr>
      </w:pPr>
      <w:r w:rsidRPr="000D21BD">
        <w:rPr>
          <w:rFonts w:ascii="Arial Narrow" w:eastAsia="Times New Roman" w:hAnsi="Arial Narrow" w:cs="Arial"/>
          <w:b/>
          <w:bCs/>
          <w:i/>
          <w:iCs/>
        </w:rPr>
        <w:t>Efectivo y equivalentes al efectivo.</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efectivo y equivalente al efectivo se compone de los saldos en efectivo y depósitos a la vista con vencimientos originales de tres meses o menos desde la fecha de adquisición, que están sujetos a efectos cambiarios en su valor razonable y son usados por el ente en la gestión de sus compromisos a corto plazo.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r w:rsidRPr="000D21BD">
        <w:rPr>
          <w:rFonts w:ascii="Arial Narrow" w:eastAsia="Times New Roman" w:hAnsi="Arial Narrow" w:cs="Arial"/>
          <w:b/>
        </w:rPr>
        <w:t>8.- Bienes muebles e inmuebles.</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b/>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bienes muebles, se deprecian desde la fecha en la que están instalados y listos para su uso o en el caso de los activos construidos internamente, desde la fecha en la que el activo esté completado y en condiciones de ser usado, se deprecian usando el método de línea recta en resultados con base a la vida útil estimada de cada componente.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El terreno no se deprecia.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La vida útil estimada para los períodos actuales y comparativos de las partidas significativas de propiedades, planta y equipo es la siguiente: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                                                 Años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Edificios                                    30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Maquinaria y herramientas      10</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Muebles y equipo de oficina    10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de transporte                 5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Equipo electrónico de datos      3 </w:t>
      </w: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p>
    <w:p w:rsidR="000D21BD" w:rsidRPr="000D21BD" w:rsidRDefault="000D21BD" w:rsidP="000D21BD">
      <w:pPr>
        <w:autoSpaceDE w:val="0"/>
        <w:autoSpaceDN w:val="0"/>
        <w:adjustRightInd w:val="0"/>
        <w:spacing w:after="0" w:line="240" w:lineRule="auto"/>
        <w:jc w:val="both"/>
        <w:rPr>
          <w:rFonts w:ascii="Arial Narrow" w:eastAsia="Times New Roman" w:hAnsi="Arial Narrow" w:cs="Arial"/>
        </w:rPr>
      </w:pPr>
      <w:r w:rsidRPr="000D21BD">
        <w:rPr>
          <w:rFonts w:ascii="Arial Narrow" w:eastAsia="Times New Roman" w:hAnsi="Arial Narrow" w:cs="Arial"/>
        </w:rPr>
        <w:t xml:space="preserve">Los métodos de depreciación, vida útil y valores residuales son revisados en cada ejercicio y se ajustan si es necesario. </w:t>
      </w:r>
    </w:p>
    <w:p w:rsidR="000D21BD" w:rsidRPr="000D21BD" w:rsidRDefault="000D21BD" w:rsidP="000D21BD">
      <w:pPr>
        <w:spacing w:after="0" w:line="240" w:lineRule="auto"/>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Debido a la antigüedad de la fundación del ente público, se desconoce el paradero de la diferencia de existencia física de los bienes muebles, por tanto, será solicitado al órgano administrativo interno del Ente público (Consejo de la Judicatura del Estado de Tlaxcala), acta para dar de baja los bienes muebles inexistentes.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Así mismo, no han sido depreciados ni revaluados en su caso los bienes muebles e inmuebles se encuentran en proceso de depuración y registro de los movimientos.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9. Fideicomisos, mandatos y análogos.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aplica.</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10. Reporte de recaudación.</w:t>
      </w:r>
    </w:p>
    <w:p w:rsidR="000D21BD" w:rsidRPr="000D21BD" w:rsidRDefault="000D21BD" w:rsidP="000D21BD">
      <w:pPr>
        <w:jc w:val="both"/>
        <w:rPr>
          <w:rFonts w:ascii="Arial Narrow" w:eastAsia="Times New Roman" w:hAnsi="Arial Narrow" w:cs="Times New Roman"/>
          <w:b/>
          <w:bCs/>
          <w:color w:val="FF0000"/>
          <w:u w:val="single"/>
        </w:rPr>
      </w:pPr>
      <w:r w:rsidRPr="000D21BD">
        <w:rPr>
          <w:rFonts w:ascii="Arial Narrow" w:eastAsia="Times New Roman" w:hAnsi="Arial Narrow" w:cs="Times New Roman"/>
          <w:b/>
          <w:bCs/>
          <w:u w:val="single"/>
        </w:rPr>
        <w:t>a) Análisis del comportamiento de la recaudación:</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comportamiento de recaudación del Ente depende de las participaciones estatales provenientes del Poder Ejecutivo y sólo un </w:t>
      </w:r>
      <w:r w:rsidR="008C62C7">
        <w:rPr>
          <w:rFonts w:ascii="Arial Narrow" w:eastAsia="Times New Roman" w:hAnsi="Arial Narrow" w:cs="Times New Roman"/>
        </w:rPr>
        <w:t>1</w:t>
      </w:r>
      <w:r w:rsidRPr="000D21BD">
        <w:rPr>
          <w:rFonts w:ascii="Arial Narrow" w:eastAsia="Times New Roman" w:hAnsi="Arial Narrow" w:cs="Times New Roman"/>
        </w:rPr>
        <w:t>.</w:t>
      </w:r>
      <w:r w:rsidR="008C62C7">
        <w:rPr>
          <w:rFonts w:ascii="Arial Narrow" w:eastAsia="Times New Roman" w:hAnsi="Arial Narrow" w:cs="Times New Roman"/>
        </w:rPr>
        <w:t>52</w:t>
      </w:r>
      <w:r w:rsidRPr="000D21BD">
        <w:rPr>
          <w:rFonts w:ascii="Arial Narrow" w:eastAsia="Times New Roman" w:hAnsi="Arial Narrow" w:cs="Times New Roman"/>
        </w:rPr>
        <w:t xml:space="preserve"> % se recaudó por Ingresos por venta de bienes y servicios del Poder Judicial y Productos de tipo corriente. </w:t>
      </w:r>
    </w:p>
    <w:p w:rsidR="000D21BD" w:rsidRPr="000D21BD" w:rsidRDefault="000D21BD" w:rsidP="000D21BD">
      <w:pPr>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bCs/>
          <w:u w:val="single"/>
        </w:rPr>
      </w:pPr>
    </w:p>
    <w:p w:rsidR="000D21BD" w:rsidRPr="000D21BD" w:rsidRDefault="000D21BD" w:rsidP="000D21BD">
      <w:pPr>
        <w:jc w:val="both"/>
        <w:rPr>
          <w:rFonts w:ascii="Arial Narrow" w:eastAsia="Times New Roman" w:hAnsi="Arial Narrow" w:cs="Times New Roman"/>
          <w:b/>
          <w:bCs/>
          <w:u w:val="single"/>
        </w:rPr>
      </w:pP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Proyección de la recaudación e ingresos en el mediano plazo: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El Ente cuenta con una dependencia presupuestal de la Secretaría de Planeación y Finanzas del Poder Ejecutivo en un 98.</w:t>
      </w:r>
      <w:r w:rsidR="008C62C7">
        <w:rPr>
          <w:rFonts w:ascii="Arial Narrow" w:eastAsia="Times New Roman" w:hAnsi="Arial Narrow" w:cs="Times New Roman"/>
        </w:rPr>
        <w:t>48</w:t>
      </w:r>
      <w:r w:rsidRPr="000D21BD">
        <w:rPr>
          <w:rFonts w:ascii="Arial Narrow" w:eastAsia="Times New Roman" w:hAnsi="Arial Narrow" w:cs="Times New Roman"/>
        </w:rPr>
        <w:t xml:space="preserve">% y es a través de un calendario de ministraciones mensuales a través del cual, la Secretaría suministra el recurso de acuerdo al presupuesto autorizado y aprobado por el Congreso del Estado.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11. Calificaciones otorgadas.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El resultado de la última evaluación fue del 100% en el índice de cumplimiento del Poder Judicial, determinado por el Sistema de Evaluación de Armonización Contable (SEVAC). </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12. Proceso de mejora.</w:t>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a) Principales políticas de control interno:</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 xml:space="preserve">Se cuenta con manuales de procedimientos, Lineamientos de Racionalidad, Austeridad y Disciplina Presupuestal, Lineamientos de Adquisiciones, Arrendamientos, Servicios y Obra Pública del Consejo de la Judicatura del Poder Judicial del Estado de Tlaxcala, Lineamientos para el Pago de Servicios Médicos, así como la normatividad vigente para los registros contables emitidos por la Consejo Nacional de Armonización Contable.  </w:t>
      </w:r>
    </w:p>
    <w:p w:rsidR="000D21BD" w:rsidRPr="000D21BD" w:rsidRDefault="000D21BD" w:rsidP="000D21BD">
      <w:pPr>
        <w:jc w:val="both"/>
        <w:rPr>
          <w:rFonts w:ascii="Arial Narrow" w:eastAsia="Times New Roman" w:hAnsi="Arial Narrow" w:cs="Times New Roman"/>
          <w:b/>
          <w:bCs/>
          <w:u w:val="single"/>
        </w:rPr>
      </w:pPr>
      <w:r w:rsidRPr="000D21BD">
        <w:rPr>
          <w:rFonts w:ascii="Arial Narrow" w:eastAsia="Times New Roman" w:hAnsi="Arial Narrow" w:cs="Times New Roman"/>
          <w:b/>
          <w:bCs/>
          <w:u w:val="single"/>
        </w:rPr>
        <w:t>b) Medidas de desempeño financiero, metas y alcance:</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Se lleva un control estadístico de actividades por área administrativa a fin de evaluar el desempeño de acuerdo con lo programado y presupuestado (PBR) del ejercicio 202</w:t>
      </w:r>
      <w:r w:rsidR="008C62C7">
        <w:rPr>
          <w:rFonts w:ascii="Arial Narrow" w:eastAsia="Times New Roman" w:hAnsi="Arial Narrow" w:cs="Times New Roman"/>
        </w:rPr>
        <w:t>3</w:t>
      </w:r>
      <w:r w:rsidRPr="000D21BD">
        <w:rPr>
          <w:rFonts w:ascii="Arial Narrow" w:eastAsia="Times New Roman" w:hAnsi="Arial Narrow" w:cs="Times New Roman"/>
        </w:rPr>
        <w:t>.</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Con el fin de afrontar los retos y las transformaciones del Poder Judicial del Estado de Tlaxcala respecto a una mejora global en la eficiencia y la calidad en la impartición de justicia, así como el fortalecimiento de los mecanismos alternativos de solución de controversias. El detalle se puede visualizar en la página oficial www.tsjtlaxcala.gob.mx.</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13. Información por segmentos.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resultados del segmento que son informados al presidente del Poder Judicial (máxima autoridad en la toma de decisiones de operación), incluyen las partidas directamente atribuibles atendiendo la clasificación por objeto del gasto y por rubro de ingreso, así como también aquellos que pueden ser asignados a los activos y pasivos por impuestos.</w:t>
      </w: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14. Eventos posteriores al cierre.</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Los desembolsos posteriores, son capitalizados aumentando los beneficios económicos futuros en su incorporación en el activo específico relacionado con dichos desembolsos, de estas formas todos los gastos, son reconocidos en resultados cuando se incurren.</w:t>
      </w:r>
    </w:p>
    <w:p w:rsidR="000D21BD" w:rsidRPr="000D21BD" w:rsidRDefault="000D21BD" w:rsidP="000D21BD">
      <w:pPr>
        <w:jc w:val="both"/>
        <w:rPr>
          <w:rFonts w:ascii="Arial Narrow" w:eastAsia="Times New Roman" w:hAnsi="Arial Narrow" w:cs="Times New Roman"/>
        </w:rPr>
      </w:pP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15. Partes relacionadas.</w:t>
      </w:r>
    </w:p>
    <w:p w:rsidR="000D21BD" w:rsidRPr="000D21BD" w:rsidRDefault="000D21BD" w:rsidP="000D21BD">
      <w:pPr>
        <w:jc w:val="both"/>
        <w:rPr>
          <w:rFonts w:ascii="Arial Narrow" w:eastAsia="Times New Roman" w:hAnsi="Arial Narrow" w:cs="Times New Roman"/>
        </w:rPr>
      </w:pPr>
      <w:r w:rsidRPr="000D21BD">
        <w:rPr>
          <w:rFonts w:ascii="Arial Narrow" w:eastAsia="Times New Roman" w:hAnsi="Arial Narrow" w:cs="Times New Roman"/>
        </w:rPr>
        <w:t>No existen partes relacionadas que pudieran ejercer influencia significativa sobre la toma de decisiones financieras y operativas.</w:t>
      </w:r>
    </w:p>
    <w:p w:rsidR="000D21BD" w:rsidRPr="000D21BD" w:rsidRDefault="000D21BD" w:rsidP="000D21BD">
      <w:pPr>
        <w:jc w:val="both"/>
        <w:rPr>
          <w:rFonts w:ascii="Arial Narrow" w:eastAsia="Times New Roman" w:hAnsi="Arial Narrow" w:cs="Times New Roman"/>
          <w:b/>
        </w:rPr>
      </w:pPr>
    </w:p>
    <w:p w:rsidR="000D21BD" w:rsidRPr="000D21BD" w:rsidRDefault="000D21BD" w:rsidP="000D21BD">
      <w:pPr>
        <w:jc w:val="both"/>
        <w:rPr>
          <w:rFonts w:ascii="Arial Narrow" w:eastAsia="Times New Roman" w:hAnsi="Arial Narrow" w:cs="Times New Roman"/>
          <w:b/>
        </w:rPr>
      </w:pPr>
      <w:r w:rsidRPr="000D21BD">
        <w:rPr>
          <w:rFonts w:ascii="Arial Narrow" w:eastAsia="Times New Roman" w:hAnsi="Arial Narrow" w:cs="Times New Roman"/>
          <w:b/>
        </w:rPr>
        <w:t>16. Responsabilidad sobre la presentación razonable de la información contable.</w:t>
      </w:r>
    </w:p>
    <w:p w:rsidR="000D21BD" w:rsidRPr="000D21BD" w:rsidRDefault="000D21BD" w:rsidP="000D21BD">
      <w:pPr>
        <w:jc w:val="both"/>
        <w:rPr>
          <w:rFonts w:ascii="Arial Narrow" w:eastAsia="Times New Roman" w:hAnsi="Arial Narrow" w:cs="Times New Roman"/>
          <w:bCs/>
          <w:lang w:eastAsia="es-MX"/>
        </w:rPr>
      </w:pPr>
      <w:r w:rsidRPr="000D21BD">
        <w:rPr>
          <w:rFonts w:ascii="Arial Narrow" w:eastAsia="Times New Roman" w:hAnsi="Arial Narrow" w:cs="Times New Roman"/>
          <w:noProof/>
          <w:lang w:eastAsia="es-MX"/>
        </w:rPr>
        <w:t xml:space="preserve"> </w:t>
      </w:r>
      <w:r w:rsidRPr="000D21BD">
        <w:rPr>
          <w:rFonts w:ascii="Arial Narrow" w:eastAsia="Times New Roman" w:hAnsi="Arial Narrow" w:cs="Times New Roman"/>
          <w:bCs/>
          <w:lang w:eastAsia="es-MX"/>
        </w:rPr>
        <w:t>Bajo protesta de decir verdad declaramos que los estados financieros y sus notas son razonablemente correctos y responsabilidad del emisor.</w:t>
      </w:r>
    </w:p>
    <w:p w:rsidR="000D21BD" w:rsidRPr="00667D50" w:rsidRDefault="000D21BD" w:rsidP="00667D50">
      <w:r w:rsidRPr="000D21BD">
        <w:rPr>
          <w:rFonts w:eastAsia="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4171950</wp:posOffset>
                </wp:positionH>
                <wp:positionV relativeFrom="paragraph">
                  <wp:posOffset>1799590</wp:posOffset>
                </wp:positionV>
                <wp:extent cx="3130550" cy="893445"/>
                <wp:effectExtent l="0" t="0" r="12700" b="20955"/>
                <wp:wrapNone/>
                <wp:docPr id="11" name="Rectángulo: esquinas redondeadas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0550" cy="89344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rsidR="007D002F" w:rsidRPr="00D775E3"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11" o:spid="_x0000_s1027" style="position:absolute;margin-left:328.5pt;margin-top:141.7pt;width:246.5pt;height:70.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" fillcolor="window" strokecolor="#595959" strokeweight="2pt">
                <v:path arrowok="t"/>
                <v:textbox>
                  <w:txbxContent>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ARMANDO MARTÍNEZ NAVA.</w:t>
                      </w:r>
                    </w:p>
                    <w:p w:rsidR="007D002F" w:rsidRPr="00D775E3"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TESORERO DEL PODER JUDICIAL.</w:t>
                      </w:r>
                    </w:p>
                  </w:txbxContent>
                </v:textbox>
              </v:roundrect>
            </w:pict>
          </mc:Fallback>
        </mc:AlternateContent>
      </w:r>
      <w:r w:rsidRPr="000D21BD">
        <w:rPr>
          <w:rFonts w:eastAsia="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114300</wp:posOffset>
                </wp:positionH>
                <wp:positionV relativeFrom="paragraph">
                  <wp:posOffset>1799590</wp:posOffset>
                </wp:positionV>
                <wp:extent cx="3411220" cy="887095"/>
                <wp:effectExtent l="0" t="0" r="17780" b="27305"/>
                <wp:wrapNone/>
                <wp:docPr id="9" name="Rectángulo: esquinas redondeadas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11220" cy="887095"/>
                        </a:xfrm>
                        <a:prstGeom prst="roundRect">
                          <a:avLst/>
                        </a:prstGeom>
                        <a:solidFill>
                          <a:sysClr val="window" lastClr="FFFFFF"/>
                        </a:solidFill>
                        <a:ln w="25400" cap="flat" cmpd="sng" algn="ctr">
                          <a:solidFill>
                            <a:sysClr val="windowText" lastClr="000000">
                              <a:lumMod val="65000"/>
                              <a:lumOff val="35000"/>
                            </a:sysClr>
                          </a:solidFill>
                          <a:prstDash val="solid"/>
                        </a:ln>
                        <a:effectLst/>
                      </wps:spPr>
                      <wps:txbx>
                        <w:txbxContent>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rsidR="007D002F" w:rsidRPr="00D775E3" w:rsidRDefault="007D002F"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roundrect id="Rectángulo: esquinas redondeadas 9" o:spid="_x0000_s1028" style="position:absolute;margin-left:9pt;margin-top:141.7pt;width:268.6pt;height:69.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" fillcolor="window" strokecolor="#595959" strokeweight="2pt">
                <v:path arrowok="t"/>
                <v:textbox>
                  <w:txbxContent>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p>
                    <w:p w:rsidR="007D002F" w:rsidRDefault="007D002F" w:rsidP="000D21BD">
                      <w:pPr>
                        <w:pStyle w:val="NormalWeb"/>
                        <w:spacing w:before="0" w:beforeAutospacing="0" w:after="0" w:afterAutospacing="0"/>
                        <w:jc w:val="center"/>
                        <w:rPr>
                          <w:rFonts w:asciiTheme="minorHAnsi" w:hAnsi="Calibri"/>
                          <w:b/>
                          <w:bCs/>
                          <w:color w:val="000000" w:themeColor="dark1"/>
                          <w:sz w:val="18"/>
                          <w:szCs w:val="18"/>
                        </w:rPr>
                      </w:pPr>
                      <w:r>
                        <w:rPr>
                          <w:rFonts w:asciiTheme="minorHAnsi" w:hAnsi="Calibri"/>
                          <w:b/>
                          <w:bCs/>
                          <w:color w:val="000000" w:themeColor="dark1"/>
                          <w:sz w:val="18"/>
                          <w:szCs w:val="18"/>
                        </w:rPr>
                        <w:t>MARY CRUZ CORTÉS ORNELAS</w:t>
                      </w:r>
                      <w:r w:rsidRPr="00D775E3">
                        <w:rPr>
                          <w:rFonts w:asciiTheme="minorHAnsi" w:hAnsi="Calibri"/>
                          <w:b/>
                          <w:bCs/>
                          <w:color w:val="000000" w:themeColor="dark1"/>
                          <w:sz w:val="18"/>
                          <w:szCs w:val="18"/>
                        </w:rPr>
                        <w:t>.</w:t>
                      </w:r>
                    </w:p>
                    <w:p w:rsidR="007D002F" w:rsidRPr="00D775E3" w:rsidRDefault="007D002F" w:rsidP="000D21BD">
                      <w:pPr>
                        <w:pStyle w:val="NormalWeb"/>
                        <w:spacing w:before="0" w:beforeAutospacing="0" w:after="0" w:afterAutospacing="0"/>
                        <w:jc w:val="center"/>
                        <w:rPr>
                          <w:sz w:val="18"/>
                          <w:szCs w:val="18"/>
                        </w:rPr>
                      </w:pPr>
                      <w:r>
                        <w:rPr>
                          <w:rFonts w:asciiTheme="minorHAnsi" w:hAnsi="Calibri"/>
                          <w:b/>
                          <w:bCs/>
                          <w:color w:val="000000" w:themeColor="dark1"/>
                          <w:sz w:val="18"/>
                          <w:szCs w:val="18"/>
                        </w:rPr>
                        <w:t>MAGISTRADA PRESIDENTA DEL H. TRIBUNAL SUPERIOR DE JUSTICIA Y DEL CONSEJO DE LA JUDICATURA DEL ESTADO.</w:t>
                      </w:r>
                    </w:p>
                  </w:txbxContent>
                </v:textbox>
              </v:roundrect>
            </w:pict>
          </mc:Fallback>
        </mc:AlternateContent>
      </w:r>
    </w:p>
    <w:sectPr w:rsidR="000D21BD" w:rsidRPr="00667D50" w:rsidSect="00164A3F">
      <w:pgSz w:w="15840" w:h="12240" w:orient="landscape" w:code="1"/>
      <w:pgMar w:top="1440" w:right="567" w:bottom="1440"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64128" w:rsidRDefault="00E64128" w:rsidP="00EA5418">
      <w:pPr>
        <w:spacing w:after="0" w:line="240" w:lineRule="auto"/>
      </w:pPr>
      <w:r>
        <w:separator/>
      </w:r>
    </w:p>
  </w:endnote>
  <w:endnote w:type="continuationSeparator" w:id="0">
    <w:p w:rsidR="00E64128" w:rsidRDefault="00E6412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AGaramondPro-Bold">
    <w:panose1 w:val="00000000000000000000"/>
    <w:charset w:val="00"/>
    <w:family w:val="roman"/>
    <w:notTrueType/>
    <w:pitch w:val="default"/>
    <w:sig w:usb0="00000003" w:usb1="00000000" w:usb2="00000000" w:usb3="00000000" w:csb0="00000001" w:csb1="00000000"/>
  </w:font>
  <w:font w:name="AGaramondPro-Regular">
    <w:panose1 w:val="00000000000000000000"/>
    <w:charset w:val="00"/>
    <w:family w:val="roman"/>
    <w:notTrueType/>
    <w:pitch w:val="default"/>
    <w:sig w:usb0="00000003" w:usb1="00000000" w:usb2="00000000" w:usb3="00000000" w:csb0="00000001" w:csb1="00000000"/>
  </w:font>
  <w:font w:name="ArialNarrow-Bold">
    <w:panose1 w:val="00000000000000000000"/>
    <w:charset w:val="00"/>
    <w:family w:val="auto"/>
    <w:notTrueType/>
    <w:pitch w:val="default"/>
    <w:sig w:usb0="00000003" w:usb1="00000000" w:usb2="00000000" w:usb3="00000000" w:csb0="00000001" w:csb1="00000000"/>
  </w:font>
  <w:font w:name="Arial-BoldMT">
    <w:altName w:val="Times New Roman"/>
    <w:panose1 w:val="00000000000000000000"/>
    <w:charset w:val="B2"/>
    <w:family w:val="auto"/>
    <w:notTrueType/>
    <w:pitch w:val="default"/>
    <w:sig w:usb0="00002001" w:usb1="00000000" w:usb2="00000000" w:usb3="00000000" w:csb0="00000040"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02F" w:rsidRPr="004E3EA4" w:rsidRDefault="007D002F"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6432" behindDoc="0" locked="0" layoutInCell="1" allowOverlap="1" wp14:anchorId="47C557EB" wp14:editId="78CAACF5">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13EAEA" id="12 Conector recto"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Pr="004E68FC">
          <w:rPr>
            <w:rFonts w:ascii="Arial" w:hAnsi="Arial" w:cs="Arial"/>
            <w:noProof/>
            <w:sz w:val="20"/>
            <w:lang w:val="es-ES"/>
          </w:rPr>
          <w:t>6</w:t>
        </w:r>
        <w:r w:rsidRPr="004E3EA4">
          <w:rPr>
            <w:rFonts w:ascii="Arial" w:hAnsi="Arial" w:cs="Arial"/>
            <w:sz w:val="20"/>
          </w:rPr>
          <w:fldChar w:fldCharType="end"/>
        </w:r>
      </w:sdtContent>
    </w:sdt>
  </w:p>
  <w:p w:rsidR="007D002F" w:rsidRDefault="007D0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02F" w:rsidRPr="003527CD" w:rsidRDefault="007D002F"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0288" behindDoc="0" locked="0" layoutInCell="1" allowOverlap="1">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DB169F3" id="3 Conector recto"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Pr="004E68FC">
          <w:rPr>
            <w:rFonts w:ascii="Arial" w:hAnsi="Arial" w:cs="Arial"/>
            <w:noProof/>
            <w:lang w:val="es-ES"/>
          </w:rPr>
          <w:t>5</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64128" w:rsidRDefault="00E64128" w:rsidP="00EA5418">
      <w:pPr>
        <w:spacing w:after="0" w:line="240" w:lineRule="auto"/>
      </w:pPr>
      <w:r>
        <w:separator/>
      </w:r>
    </w:p>
  </w:footnote>
  <w:footnote w:type="continuationSeparator" w:id="0">
    <w:p w:rsidR="00E64128" w:rsidRDefault="00E6412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02F" w:rsidRDefault="007D002F" w:rsidP="00C26BB4">
    <w:pPr>
      <w:pStyle w:val="Encabezado"/>
      <w:ind w:left="720"/>
      <w:jc w:val="center"/>
    </w:pPr>
    <w:r>
      <w:rPr>
        <w:rFonts w:ascii="Soberana Sans Light" w:hAnsi="Soberana Sans Light"/>
        <w:noProof/>
        <w:lang w:eastAsia="es-MX"/>
      </w:rPr>
      <mc:AlternateContent>
        <mc:Choice Requires="wps">
          <w:drawing>
            <wp:anchor distT="0" distB="0" distL="114300" distR="114300" simplePos="0" relativeHeight="251662336" behindDoc="0" locked="0" layoutInCell="1" allowOverlap="1" wp14:anchorId="3A6A2B4C" wp14:editId="160BE4C5">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FA6E24B"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rFonts w:ascii="Arial" w:hAnsi="Arial" w:cs="Arial"/>
        <w:noProof/>
        <w:lang w:eastAsia="es-MX"/>
      </w:rPr>
      <w:t>PODER JUDICIAL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D002F" w:rsidRPr="003527CD" w:rsidRDefault="007D002F"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E9C755A" id="1 Conector recto"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sidRPr="003527CD">
      <w:rPr>
        <w:rFonts w:ascii="Arial" w:hAnsi="Arial" w:cs="Arial"/>
      </w:rPr>
      <w:t xml:space="preserve">PODER </w:t>
    </w:r>
    <w:r>
      <w:rPr>
        <w:rFonts w:ascii="Arial" w:hAnsi="Arial" w:cs="Arial"/>
      </w:rPr>
      <w:t>JUDICIAL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3219C6"/>
    <w:multiLevelType w:val="hybridMultilevel"/>
    <w:tmpl w:val="1CDEDA68"/>
    <w:lvl w:ilvl="0" w:tplc="906C1410">
      <w:start w:val="1"/>
      <w:numFmt w:val="decimal"/>
      <w:lvlText w:val="%1."/>
      <w:lvlJc w:val="left"/>
      <w:pPr>
        <w:ind w:left="1080" w:hanging="360"/>
      </w:pPr>
      <w:rPr>
        <w:rFonts w:cs="Times New Roman"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9"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0" w15:restartNumberingAfterBreak="0">
    <w:nsid w:val="24673447"/>
    <w:multiLevelType w:val="hybridMultilevel"/>
    <w:tmpl w:val="7ADAA1E0"/>
    <w:lvl w:ilvl="0" w:tplc="C11617B0">
      <w:start w:val="1"/>
      <w:numFmt w:val="low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E213D"/>
    <w:multiLevelType w:val="hybridMultilevel"/>
    <w:tmpl w:val="C4C8CE86"/>
    <w:lvl w:ilvl="0" w:tplc="69C88384">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3"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8"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0"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2"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8C544D"/>
    <w:multiLevelType w:val="hybridMultilevel"/>
    <w:tmpl w:val="1E669FB2"/>
    <w:lvl w:ilvl="0" w:tplc="E3FE1DD0">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1A833BF"/>
    <w:multiLevelType w:val="hybridMultilevel"/>
    <w:tmpl w:val="0526EBF4"/>
    <w:lvl w:ilvl="0" w:tplc="6D7CAE9A">
      <w:start w:val="1"/>
      <w:numFmt w:val="lowerLetter"/>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7"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4"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abstractNumId w:val="1"/>
  </w:num>
  <w:num w:numId="2">
    <w:abstractNumId w:val="4"/>
  </w:num>
  <w:num w:numId="3">
    <w:abstractNumId w:val="21"/>
  </w:num>
  <w:num w:numId="4">
    <w:abstractNumId w:val="13"/>
  </w:num>
  <w:num w:numId="5">
    <w:abstractNumId w:val="17"/>
  </w:num>
  <w:num w:numId="6">
    <w:abstractNumId w:val="34"/>
  </w:num>
  <w:num w:numId="7">
    <w:abstractNumId w:val="28"/>
  </w:num>
  <w:num w:numId="8">
    <w:abstractNumId w:val="24"/>
  </w:num>
  <w:num w:numId="9">
    <w:abstractNumId w:val="11"/>
  </w:num>
  <w:num w:numId="10">
    <w:abstractNumId w:val="3"/>
  </w:num>
  <w:num w:numId="11">
    <w:abstractNumId w:val="0"/>
  </w:num>
  <w:num w:numId="12">
    <w:abstractNumId w:val="7"/>
  </w:num>
  <w:num w:numId="13">
    <w:abstractNumId w:val="29"/>
  </w:num>
  <w:num w:numId="14">
    <w:abstractNumId w:val="25"/>
  </w:num>
  <w:num w:numId="15">
    <w:abstractNumId w:val="16"/>
  </w:num>
  <w:num w:numId="16">
    <w:abstractNumId w:val="2"/>
  </w:num>
  <w:num w:numId="17">
    <w:abstractNumId w:val="15"/>
  </w:num>
  <w:num w:numId="18">
    <w:abstractNumId w:val="20"/>
  </w:num>
  <w:num w:numId="19">
    <w:abstractNumId w:val="19"/>
  </w:num>
  <w:num w:numId="20">
    <w:abstractNumId w:val="6"/>
  </w:num>
  <w:num w:numId="21">
    <w:abstractNumId w:val="9"/>
  </w:num>
  <w:num w:numId="22">
    <w:abstractNumId w:val="31"/>
  </w:num>
  <w:num w:numId="23">
    <w:abstractNumId w:val="30"/>
  </w:num>
  <w:num w:numId="24">
    <w:abstractNumId w:val="22"/>
  </w:num>
  <w:num w:numId="25">
    <w:abstractNumId w:val="33"/>
  </w:num>
  <w:num w:numId="26">
    <w:abstractNumId w:val="14"/>
  </w:num>
  <w:num w:numId="27">
    <w:abstractNumId w:val="32"/>
  </w:num>
  <w:num w:numId="28">
    <w:abstractNumId w:val="27"/>
  </w:num>
  <w:num w:numId="29">
    <w:abstractNumId w:val="18"/>
  </w:num>
  <w:num w:numId="30">
    <w:abstractNumId w:val="35"/>
  </w:num>
  <w:num w:numId="31">
    <w:abstractNumId w:val="5"/>
  </w:num>
  <w:num w:numId="32">
    <w:abstractNumId w:val="26"/>
  </w:num>
  <w:num w:numId="33">
    <w:abstractNumId w:val="8"/>
  </w:num>
  <w:num w:numId="34">
    <w:abstractNumId w:val="12"/>
  </w:num>
  <w:num w:numId="35">
    <w:abstractNumId w:val="23"/>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5945"/>
    <w:rsid w:val="00006217"/>
    <w:rsid w:val="0001342E"/>
    <w:rsid w:val="000155BC"/>
    <w:rsid w:val="000164D8"/>
    <w:rsid w:val="000202A5"/>
    <w:rsid w:val="00021787"/>
    <w:rsid w:val="00026C0E"/>
    <w:rsid w:val="000271C8"/>
    <w:rsid w:val="00031160"/>
    <w:rsid w:val="00031DC4"/>
    <w:rsid w:val="00032921"/>
    <w:rsid w:val="00037045"/>
    <w:rsid w:val="00037A4C"/>
    <w:rsid w:val="00037E57"/>
    <w:rsid w:val="00040466"/>
    <w:rsid w:val="0004135F"/>
    <w:rsid w:val="000417DA"/>
    <w:rsid w:val="00043D1E"/>
    <w:rsid w:val="00043F64"/>
    <w:rsid w:val="0004567A"/>
    <w:rsid w:val="00045A10"/>
    <w:rsid w:val="00045BDA"/>
    <w:rsid w:val="0004695D"/>
    <w:rsid w:val="000474FE"/>
    <w:rsid w:val="00054C4D"/>
    <w:rsid w:val="00056EDF"/>
    <w:rsid w:val="000574E6"/>
    <w:rsid w:val="00057C1C"/>
    <w:rsid w:val="00062509"/>
    <w:rsid w:val="00063159"/>
    <w:rsid w:val="000655E4"/>
    <w:rsid w:val="0006610A"/>
    <w:rsid w:val="00066325"/>
    <w:rsid w:val="0006668A"/>
    <w:rsid w:val="0006755E"/>
    <w:rsid w:val="00072BA1"/>
    <w:rsid w:val="0007333B"/>
    <w:rsid w:val="0007519E"/>
    <w:rsid w:val="00076E1D"/>
    <w:rsid w:val="00077A1F"/>
    <w:rsid w:val="0008099F"/>
    <w:rsid w:val="00080D6B"/>
    <w:rsid w:val="00084D46"/>
    <w:rsid w:val="000872D9"/>
    <w:rsid w:val="00090FD9"/>
    <w:rsid w:val="0009604B"/>
    <w:rsid w:val="00097255"/>
    <w:rsid w:val="000A00F8"/>
    <w:rsid w:val="000A1DD4"/>
    <w:rsid w:val="000A4867"/>
    <w:rsid w:val="000A5776"/>
    <w:rsid w:val="000A58AB"/>
    <w:rsid w:val="000A7734"/>
    <w:rsid w:val="000A7AB8"/>
    <w:rsid w:val="000B0542"/>
    <w:rsid w:val="000B0742"/>
    <w:rsid w:val="000B15F5"/>
    <w:rsid w:val="000B54AD"/>
    <w:rsid w:val="000B552D"/>
    <w:rsid w:val="000B62E8"/>
    <w:rsid w:val="000B6DEA"/>
    <w:rsid w:val="000B6E5A"/>
    <w:rsid w:val="000C6B64"/>
    <w:rsid w:val="000C6E95"/>
    <w:rsid w:val="000C7FBB"/>
    <w:rsid w:val="000D01E9"/>
    <w:rsid w:val="000D0EE3"/>
    <w:rsid w:val="000D21BD"/>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5E1"/>
    <w:rsid w:val="00164A3F"/>
    <w:rsid w:val="00165BB4"/>
    <w:rsid w:val="001660FE"/>
    <w:rsid w:val="00171788"/>
    <w:rsid w:val="00172B7D"/>
    <w:rsid w:val="00174F47"/>
    <w:rsid w:val="001769D8"/>
    <w:rsid w:val="001778B1"/>
    <w:rsid w:val="0018009C"/>
    <w:rsid w:val="0018603D"/>
    <w:rsid w:val="001872A3"/>
    <w:rsid w:val="00191085"/>
    <w:rsid w:val="00192770"/>
    <w:rsid w:val="00192B86"/>
    <w:rsid w:val="00193005"/>
    <w:rsid w:val="00193B2D"/>
    <w:rsid w:val="001A3F6A"/>
    <w:rsid w:val="001A575F"/>
    <w:rsid w:val="001A78A4"/>
    <w:rsid w:val="001B13BF"/>
    <w:rsid w:val="001B1B72"/>
    <w:rsid w:val="001B1BBF"/>
    <w:rsid w:val="001B2632"/>
    <w:rsid w:val="001B267D"/>
    <w:rsid w:val="001B4EE5"/>
    <w:rsid w:val="001B4F84"/>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E2A65"/>
    <w:rsid w:val="001E3216"/>
    <w:rsid w:val="001E327A"/>
    <w:rsid w:val="001E46CF"/>
    <w:rsid w:val="001E7072"/>
    <w:rsid w:val="001F0C04"/>
    <w:rsid w:val="001F18C1"/>
    <w:rsid w:val="001F2E68"/>
    <w:rsid w:val="001F4B7F"/>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6748"/>
    <w:rsid w:val="00237A38"/>
    <w:rsid w:val="002431DD"/>
    <w:rsid w:val="00243D91"/>
    <w:rsid w:val="00245E54"/>
    <w:rsid w:val="00247AD7"/>
    <w:rsid w:val="00251F0D"/>
    <w:rsid w:val="00255476"/>
    <w:rsid w:val="0025735F"/>
    <w:rsid w:val="00261B45"/>
    <w:rsid w:val="0026333F"/>
    <w:rsid w:val="00264426"/>
    <w:rsid w:val="002705C0"/>
    <w:rsid w:val="00270EC8"/>
    <w:rsid w:val="002714C7"/>
    <w:rsid w:val="00272E20"/>
    <w:rsid w:val="00274353"/>
    <w:rsid w:val="002748C9"/>
    <w:rsid w:val="0027627B"/>
    <w:rsid w:val="00280CD3"/>
    <w:rsid w:val="00280CDA"/>
    <w:rsid w:val="002858C7"/>
    <w:rsid w:val="00287D90"/>
    <w:rsid w:val="00290A24"/>
    <w:rsid w:val="00295D09"/>
    <w:rsid w:val="00295FCC"/>
    <w:rsid w:val="00297D52"/>
    <w:rsid w:val="002A15A9"/>
    <w:rsid w:val="002A2013"/>
    <w:rsid w:val="002A4BAA"/>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E2962"/>
    <w:rsid w:val="002E3C2E"/>
    <w:rsid w:val="002E3F51"/>
    <w:rsid w:val="002E4A3B"/>
    <w:rsid w:val="002E52F9"/>
    <w:rsid w:val="002E544B"/>
    <w:rsid w:val="002F09C1"/>
    <w:rsid w:val="002F3AC1"/>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7048"/>
    <w:rsid w:val="00327701"/>
    <w:rsid w:val="00327740"/>
    <w:rsid w:val="00331185"/>
    <w:rsid w:val="00332091"/>
    <w:rsid w:val="0033398C"/>
    <w:rsid w:val="00334098"/>
    <w:rsid w:val="00336B8F"/>
    <w:rsid w:val="003478FA"/>
    <w:rsid w:val="00347BC6"/>
    <w:rsid w:val="00351921"/>
    <w:rsid w:val="003527CD"/>
    <w:rsid w:val="003530FB"/>
    <w:rsid w:val="00354047"/>
    <w:rsid w:val="0035405F"/>
    <w:rsid w:val="0035468F"/>
    <w:rsid w:val="00356170"/>
    <w:rsid w:val="00357A70"/>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695F"/>
    <w:rsid w:val="00386C8E"/>
    <w:rsid w:val="00386DD7"/>
    <w:rsid w:val="00386E53"/>
    <w:rsid w:val="003900E3"/>
    <w:rsid w:val="00390936"/>
    <w:rsid w:val="00390A9A"/>
    <w:rsid w:val="00392742"/>
    <w:rsid w:val="00393281"/>
    <w:rsid w:val="00393659"/>
    <w:rsid w:val="00394541"/>
    <w:rsid w:val="003951A0"/>
    <w:rsid w:val="00396C2B"/>
    <w:rsid w:val="00397076"/>
    <w:rsid w:val="003A0303"/>
    <w:rsid w:val="003A072B"/>
    <w:rsid w:val="003A2546"/>
    <w:rsid w:val="003A3013"/>
    <w:rsid w:val="003A6C39"/>
    <w:rsid w:val="003A731F"/>
    <w:rsid w:val="003A7ADE"/>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B83"/>
    <w:rsid w:val="00412CB0"/>
    <w:rsid w:val="00412D28"/>
    <w:rsid w:val="00415099"/>
    <w:rsid w:val="00420208"/>
    <w:rsid w:val="004213BC"/>
    <w:rsid w:val="00424251"/>
    <w:rsid w:val="004306DA"/>
    <w:rsid w:val="004311BE"/>
    <w:rsid w:val="00435556"/>
    <w:rsid w:val="004373B9"/>
    <w:rsid w:val="00437809"/>
    <w:rsid w:val="00441E7C"/>
    <w:rsid w:val="00441F2C"/>
    <w:rsid w:val="0044253C"/>
    <w:rsid w:val="004466A7"/>
    <w:rsid w:val="00451963"/>
    <w:rsid w:val="00454129"/>
    <w:rsid w:val="00454250"/>
    <w:rsid w:val="00454AE1"/>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279C"/>
    <w:rsid w:val="00493E27"/>
    <w:rsid w:val="00496633"/>
    <w:rsid w:val="00497D8B"/>
    <w:rsid w:val="004A07A5"/>
    <w:rsid w:val="004A56B0"/>
    <w:rsid w:val="004A67F1"/>
    <w:rsid w:val="004A6987"/>
    <w:rsid w:val="004A7484"/>
    <w:rsid w:val="004B04CF"/>
    <w:rsid w:val="004B1994"/>
    <w:rsid w:val="004B1CCA"/>
    <w:rsid w:val="004B1F00"/>
    <w:rsid w:val="004B2344"/>
    <w:rsid w:val="004B263B"/>
    <w:rsid w:val="004B5686"/>
    <w:rsid w:val="004C0ECA"/>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B1F"/>
    <w:rsid w:val="00584F08"/>
    <w:rsid w:val="0058542E"/>
    <w:rsid w:val="00585D38"/>
    <w:rsid w:val="00587618"/>
    <w:rsid w:val="005876AE"/>
    <w:rsid w:val="005907A0"/>
    <w:rsid w:val="0059084C"/>
    <w:rsid w:val="00590C01"/>
    <w:rsid w:val="00592B24"/>
    <w:rsid w:val="00593097"/>
    <w:rsid w:val="005A3CCB"/>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53EB"/>
    <w:rsid w:val="00667D50"/>
    <w:rsid w:val="0067443A"/>
    <w:rsid w:val="00675B86"/>
    <w:rsid w:val="00677384"/>
    <w:rsid w:val="006774BF"/>
    <w:rsid w:val="006822AA"/>
    <w:rsid w:val="00693B49"/>
    <w:rsid w:val="006942ED"/>
    <w:rsid w:val="006944EF"/>
    <w:rsid w:val="006A04E9"/>
    <w:rsid w:val="006A289F"/>
    <w:rsid w:val="006A33FB"/>
    <w:rsid w:val="006B1FE7"/>
    <w:rsid w:val="006B4727"/>
    <w:rsid w:val="006C2C92"/>
    <w:rsid w:val="006C4213"/>
    <w:rsid w:val="006C54B8"/>
    <w:rsid w:val="006D1933"/>
    <w:rsid w:val="006D2166"/>
    <w:rsid w:val="006D21D0"/>
    <w:rsid w:val="006D3DF1"/>
    <w:rsid w:val="006D5097"/>
    <w:rsid w:val="006D5AC5"/>
    <w:rsid w:val="006E2D9E"/>
    <w:rsid w:val="006E77DD"/>
    <w:rsid w:val="006E78A6"/>
    <w:rsid w:val="006E7F02"/>
    <w:rsid w:val="006F0CCF"/>
    <w:rsid w:val="006F2058"/>
    <w:rsid w:val="006F23B1"/>
    <w:rsid w:val="006F4379"/>
    <w:rsid w:val="006F4C3C"/>
    <w:rsid w:val="006F5412"/>
    <w:rsid w:val="006F6AC2"/>
    <w:rsid w:val="006F74DC"/>
    <w:rsid w:val="007004C7"/>
    <w:rsid w:val="00702079"/>
    <w:rsid w:val="007025F4"/>
    <w:rsid w:val="00703446"/>
    <w:rsid w:val="0070431B"/>
    <w:rsid w:val="00707693"/>
    <w:rsid w:val="007103D4"/>
    <w:rsid w:val="007149DA"/>
    <w:rsid w:val="007156AF"/>
    <w:rsid w:val="00720256"/>
    <w:rsid w:val="00721EA3"/>
    <w:rsid w:val="007277F5"/>
    <w:rsid w:val="0073056A"/>
    <w:rsid w:val="007314A9"/>
    <w:rsid w:val="00731CA2"/>
    <w:rsid w:val="00734272"/>
    <w:rsid w:val="0073581C"/>
    <w:rsid w:val="00736F40"/>
    <w:rsid w:val="007375D6"/>
    <w:rsid w:val="007420CD"/>
    <w:rsid w:val="00742C34"/>
    <w:rsid w:val="007439D3"/>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002F"/>
    <w:rsid w:val="007D1332"/>
    <w:rsid w:val="007D1805"/>
    <w:rsid w:val="007D3166"/>
    <w:rsid w:val="007D4702"/>
    <w:rsid w:val="007D5937"/>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3F9B"/>
    <w:rsid w:val="008167D5"/>
    <w:rsid w:val="00817DFF"/>
    <w:rsid w:val="00820352"/>
    <w:rsid w:val="00822CD5"/>
    <w:rsid w:val="00823500"/>
    <w:rsid w:val="0082514D"/>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2BE"/>
    <w:rsid w:val="00866F4E"/>
    <w:rsid w:val="00870F4E"/>
    <w:rsid w:val="00872C30"/>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568D"/>
    <w:rsid w:val="008C62C7"/>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2987"/>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48E5"/>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16F7"/>
    <w:rsid w:val="00AA1AB3"/>
    <w:rsid w:val="00AA3279"/>
    <w:rsid w:val="00AA6498"/>
    <w:rsid w:val="00AA7AE3"/>
    <w:rsid w:val="00AB2062"/>
    <w:rsid w:val="00AB31F3"/>
    <w:rsid w:val="00AB3613"/>
    <w:rsid w:val="00AB5D6A"/>
    <w:rsid w:val="00AC2CB6"/>
    <w:rsid w:val="00AD27C1"/>
    <w:rsid w:val="00AD46DD"/>
    <w:rsid w:val="00AD4F95"/>
    <w:rsid w:val="00AD5E8D"/>
    <w:rsid w:val="00AD75D3"/>
    <w:rsid w:val="00AE0E84"/>
    <w:rsid w:val="00AE2CC1"/>
    <w:rsid w:val="00AE30F7"/>
    <w:rsid w:val="00AE32DD"/>
    <w:rsid w:val="00AF4311"/>
    <w:rsid w:val="00AF4C0F"/>
    <w:rsid w:val="00AF4DBC"/>
    <w:rsid w:val="00AF68D1"/>
    <w:rsid w:val="00B006FD"/>
    <w:rsid w:val="00B0402E"/>
    <w:rsid w:val="00B04DFA"/>
    <w:rsid w:val="00B052B4"/>
    <w:rsid w:val="00B06D4E"/>
    <w:rsid w:val="00B073ED"/>
    <w:rsid w:val="00B10DA4"/>
    <w:rsid w:val="00B11CB7"/>
    <w:rsid w:val="00B146E2"/>
    <w:rsid w:val="00B14AB7"/>
    <w:rsid w:val="00B15C1F"/>
    <w:rsid w:val="00B22704"/>
    <w:rsid w:val="00B22AC4"/>
    <w:rsid w:val="00B23F18"/>
    <w:rsid w:val="00B2470C"/>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640"/>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BB4"/>
    <w:rsid w:val="00C26CE0"/>
    <w:rsid w:val="00C27323"/>
    <w:rsid w:val="00C30B88"/>
    <w:rsid w:val="00C346B4"/>
    <w:rsid w:val="00C34DE1"/>
    <w:rsid w:val="00C3682C"/>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1E6"/>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3D4D"/>
    <w:rsid w:val="00C95974"/>
    <w:rsid w:val="00C97083"/>
    <w:rsid w:val="00C97412"/>
    <w:rsid w:val="00CA24BE"/>
    <w:rsid w:val="00CA2A37"/>
    <w:rsid w:val="00CA37AE"/>
    <w:rsid w:val="00CA4EC7"/>
    <w:rsid w:val="00CA5CDF"/>
    <w:rsid w:val="00CA631E"/>
    <w:rsid w:val="00CA7A99"/>
    <w:rsid w:val="00CB1A6E"/>
    <w:rsid w:val="00CB1D42"/>
    <w:rsid w:val="00CB45AD"/>
    <w:rsid w:val="00CB72A9"/>
    <w:rsid w:val="00CB7B1B"/>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728"/>
    <w:rsid w:val="00D45237"/>
    <w:rsid w:val="00D511CD"/>
    <w:rsid w:val="00D52FF5"/>
    <w:rsid w:val="00D55E41"/>
    <w:rsid w:val="00D56088"/>
    <w:rsid w:val="00D562FF"/>
    <w:rsid w:val="00D62468"/>
    <w:rsid w:val="00D628F8"/>
    <w:rsid w:val="00D63571"/>
    <w:rsid w:val="00D66910"/>
    <w:rsid w:val="00D6706B"/>
    <w:rsid w:val="00D700D5"/>
    <w:rsid w:val="00D70822"/>
    <w:rsid w:val="00D71A33"/>
    <w:rsid w:val="00D73B4D"/>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4EE2"/>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45B2"/>
    <w:rsid w:val="00E57C06"/>
    <w:rsid w:val="00E64128"/>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B678B"/>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319C"/>
    <w:rsid w:val="00F6436A"/>
    <w:rsid w:val="00F6438A"/>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E82528"/>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 w:type="table" w:customStyle="1" w:styleId="Sombreadoclaro-nfasis11">
    <w:name w:val="Sombreado claro - Énfasis 11"/>
    <w:basedOn w:val="Tablanormal"/>
    <w:uiPriority w:val="60"/>
    <w:rsid w:val="000D21BD"/>
    <w:pPr>
      <w:spacing w:after="0" w:line="240" w:lineRule="auto"/>
    </w:pPr>
    <w:rPr>
      <w:rFonts w:eastAsia="Times New Roman" w:cs="Times New Roman"/>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pPr>
      <w:rPr>
        <w:rFonts w:cs="Times New Roman"/>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hemeFill="accent1" w:themeFillTint="3F"/>
      </w:tcPr>
    </w:tblStylePr>
    <w:tblStylePr w:type="band1Horz">
      <w:rPr>
        <w:rFonts w:cs="Times New Roman"/>
      </w:rPr>
      <w:tblPr/>
      <w:tcPr>
        <w:tcBorders>
          <w:left w:val="nil"/>
          <w:right w:val="nil"/>
          <w:insideH w:val="nil"/>
          <w:insideV w:val="nil"/>
        </w:tcBorders>
        <w:shd w:val="clear" w:color="auto" w:fill="D3DFEE" w:themeFill="accent1" w:themeFillTint="3F"/>
      </w:tcPr>
    </w:tblStylePr>
  </w:style>
  <w:style w:type="table" w:styleId="Cuadrculamedia1-nfasis5">
    <w:name w:val="Medium Grid 1 Accent 5"/>
    <w:basedOn w:val="Tablanormal"/>
    <w:uiPriority w:val="67"/>
    <w:rsid w:val="000D21BD"/>
    <w:pPr>
      <w:spacing w:after="0" w:line="240" w:lineRule="auto"/>
    </w:pPr>
    <w:rPr>
      <w:rFonts w:eastAsia="Times New Roman" w:cs="Times New Roman"/>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rFonts w:cs="Times New Roman"/>
        <w:b/>
        <w:bCs/>
      </w:rPr>
    </w:tblStylePr>
    <w:tblStylePr w:type="lastRow">
      <w:rPr>
        <w:rFonts w:cs="Times New Roman"/>
        <w:b/>
        <w:bCs/>
      </w:rPr>
      <w:tblPr/>
      <w:tcPr>
        <w:tcBorders>
          <w:top w:val="single" w:sz="18" w:space="0" w:color="78C0D4" w:themeColor="accent5" w:themeTint="BF"/>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hemeFill="accent5" w:themeFillTint="7F"/>
      </w:tcPr>
    </w:tblStylePr>
    <w:tblStylePr w:type="band1Horz">
      <w:rPr>
        <w:rFonts w:cs="Times New Roman"/>
      </w:rPr>
      <w:tblPr/>
      <w:tcPr>
        <w:shd w:val="clear" w:color="auto" w:fill="A5D5E2" w:themeFill="accent5" w:themeFillTint="7F"/>
      </w:tcPr>
    </w:tblStylePr>
  </w:style>
  <w:style w:type="table" w:customStyle="1" w:styleId="Tabladelista1clara-nfasis11">
    <w:name w:val="Tabla de lista 1 clara - Énfasis 11"/>
    <w:basedOn w:val="Tablanormal"/>
    <w:uiPriority w:val="46"/>
    <w:rsid w:val="000D21BD"/>
    <w:pPr>
      <w:spacing w:after="0" w:line="240" w:lineRule="auto"/>
    </w:pPr>
    <w:rPr>
      <w:rFonts w:eastAsia="Times New Roman" w:cs="Times New Roman"/>
    </w:rPr>
    <w:tblPr>
      <w:tblStyleRowBandSize w:val="1"/>
      <w:tblStyleColBandSize w:val="1"/>
    </w:tblPr>
    <w:tblStylePr w:type="firstRow">
      <w:rPr>
        <w:rFonts w:cs="Times New Roman"/>
        <w:b/>
        <w:bCs/>
      </w:rPr>
      <w:tblPr/>
      <w:tcPr>
        <w:tcBorders>
          <w:bottom w:val="single" w:sz="4" w:space="0" w:color="95B3D7" w:themeColor="accent1" w:themeTint="99"/>
        </w:tcBorders>
      </w:tcPr>
    </w:tblStylePr>
    <w:tblStylePr w:type="lastRow">
      <w:rPr>
        <w:rFonts w:cs="Times New Roman"/>
        <w:b/>
        <w:bCs/>
      </w:rPr>
      <w:tblPr/>
      <w:tcPr>
        <w:tcBorders>
          <w:top w:val="single" w:sz="4" w:space="0" w:color="95B3D7" w:themeColor="accent1" w:themeTint="9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hemeFill="accent1" w:themeFillTint="33"/>
      </w:tcPr>
    </w:tblStylePr>
    <w:tblStylePr w:type="band1Horz">
      <w:rPr>
        <w:rFonts w:cs="Times New Roman"/>
      </w:rPr>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file:///C:\Users\JoseLHA\Downloads\01.%20Contable%20(4)\01.%20Contable\FORMATO%20ECSF.xlsx" TargetMode="External"/><Relationship Id="rId18" Type="http://schemas.openxmlformats.org/officeDocument/2006/relationships/image" Target="media/image6.emf"/><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oleObject" Target="file:///C:\Users\JoseLHA\Downloads\01.%20Contable%20(4)\01.%20Contable\FORMATO%20EFE.xlsx" TargetMode="Externa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JoseLHA\Downloads\01.%20Contable%20(4)\01.%20Contable\FORMATO%20EADOP.xlsx"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JoseLHA\Downloads\01.%20Contable%20(4)\01.%20Contable\FORMATO%20EA.xls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file:///C:\Users\JoseLHA\Downloads\01.%20Contable%20(4)\01.%20Contable\FORMATO%20EAA.xlsx" TargetMode="External"/><Relationship Id="rId23" Type="http://schemas.openxmlformats.org/officeDocument/2006/relationships/header" Target="header2.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file:///C:\Users\JoseLHA\Downloads\01.%20Contable%20(4)\01.%20Contable\FORMATO%20EVHP.xlsx" TargetMode="External"/><Relationship Id="rId4" Type="http://schemas.openxmlformats.org/officeDocument/2006/relationships/settings" Target="settings.xml"/><Relationship Id="rId9" Type="http://schemas.openxmlformats.org/officeDocument/2006/relationships/oleObject" Target="file:///C:\Users\JoseLHA\Downloads\01.%20Contable%20(4)\01.%20Contable\FORMATO%20ESF.xlsx" TargetMode="External"/><Relationship Id="rId14" Type="http://schemas.openxmlformats.org/officeDocument/2006/relationships/image" Target="media/image4.emf"/><Relationship Id="rId22" Type="http://schemas.openxmlformats.org/officeDocument/2006/relationships/header" Target="header1.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994FD-2476-452E-A5D9-89608C5B39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4148</Words>
  <Characters>22816</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JOSE LUIS HERNANDEZ AMADOR</cp:lastModifiedBy>
  <cp:revision>3</cp:revision>
  <cp:lastPrinted>2021-10-11T19:55:00Z</cp:lastPrinted>
  <dcterms:created xsi:type="dcterms:W3CDTF">2023-07-10T21:04:00Z</dcterms:created>
  <dcterms:modified xsi:type="dcterms:W3CDTF">2023-07-11T17:38:00Z</dcterms:modified>
</cp:coreProperties>
</file>