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E65A" w14:textId="77777777" w:rsidR="00486AE1" w:rsidRDefault="00000000" w:rsidP="00AA44D4">
      <w:r>
        <w:rPr>
          <w:noProof/>
        </w:rPr>
        <w:object w:dxaOrig="1440" w:dyaOrig="1440" w14:anchorId="35C9E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margin-left:21.35pt;margin-top:1.25pt;width:683.95pt;height:434.05pt;z-index:251665408">
            <v:imagedata r:id="rId8" o:title=""/>
            <w10:wrap type="square" side="right"/>
          </v:shape>
          <o:OLEObject Type="Embed" ProgID="Excel.Sheet.8" ShapeID="_x0000_s2061" DrawAspect="Content" ObjectID="_1758625108" r:id="rId9"/>
        </w:object>
      </w:r>
      <w:r w:rsidR="00AA44D4">
        <w:br w:type="textWrapping" w:clear="all"/>
      </w:r>
    </w:p>
    <w:p w14:paraId="16466FFC" w14:textId="77777777" w:rsidR="004339EE" w:rsidRDefault="004339EE" w:rsidP="00AA44D4"/>
    <w:p w14:paraId="5BCDDAB8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034C9E63" w14:textId="77777777"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14:paraId="2C58E4F8" w14:textId="77777777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D64F1C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49BAFB8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33B0E336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4095F6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69D51D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  <w:proofErr w:type="gramEnd"/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AUTORIZADO </w:t>
            </w:r>
          </w:p>
        </w:tc>
      </w:tr>
      <w:tr w:rsidR="00B01221" w:rsidRPr="00B01221" w14:paraId="6E22FA5B" w14:textId="77777777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C559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D91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5A5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90F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FE2E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14:paraId="4470839E" w14:textId="77777777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787B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F79A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9E84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2A6A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CCC0" w14:textId="77777777"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</w:t>
            </w:r>
            <w:proofErr w:type="gramEnd"/>
            <w:r w:rsidR="002A689D"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7E0E4759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2223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37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BD4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306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4F7E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6774C361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27A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096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A22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C64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5C9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7A39E06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456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EF6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6012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C9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CDBF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2FAEFEEE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4B86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C6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B6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C6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58B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309C9B7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CED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15C1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E77A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3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C42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59DB4130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8D1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0D3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8FE4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72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C940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4B60BD55" w14:textId="77777777"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14:paraId="594C391F" w14:textId="77777777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5C3852E5" w14:textId="77777777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77D105F6" w14:textId="77777777"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14:paraId="28DEA85A" w14:textId="77777777" w:rsidR="008A3C0B" w:rsidRPr="00060949" w:rsidRDefault="00C90ED9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B71DD1" wp14:editId="37FFAA0D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7914640" cy="1082040"/>
                <wp:effectExtent l="0" t="0" r="0" b="381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1082040"/>
                          <a:chOff x="897" y="8350"/>
                          <a:chExt cx="12464" cy="1704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11C0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A36E3D1" w14:textId="06BC8B12" w:rsidR="00D96512" w:rsidRDefault="00D96512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>
                                <w:t xml:space="preserve">.P. </w:t>
                              </w:r>
                              <w:proofErr w:type="gramStart"/>
                              <w:r>
                                <w:t>GIOVANNA</w:t>
                              </w:r>
                              <w:r w:rsidR="00006D48">
                                <w:t xml:space="preserve"> </w:t>
                              </w:r>
                              <w:r>
                                <w:t xml:space="preserve"> DY</w:t>
                              </w:r>
                              <w:proofErr w:type="gramEnd"/>
                              <w:r>
                                <w:t xml:space="preserve"> AGUILAR MEZA</w:t>
                              </w:r>
                            </w:p>
                            <w:p w14:paraId="36CEA683" w14:textId="0339E1CD" w:rsidR="00D96512" w:rsidRPr="00363FD2" w:rsidRDefault="00D96512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</w:t>
                              </w:r>
                              <w:r w:rsidR="00006D48">
                                <w:t>A</w:t>
                              </w:r>
                              <w:r w:rsidRPr="002F3E41">
                                <w:t xml:space="preserve">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BB4C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3D33391" w14:textId="77777777" w:rsidR="00D96512" w:rsidRPr="004A1BDB" w:rsidRDefault="00D96512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A1B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LIC. JULIO CAPORAL FLORES</w:t>
                              </w:r>
                            </w:p>
                            <w:p w14:paraId="686E1D29" w14:textId="77777777" w:rsidR="00D96512" w:rsidRPr="002F3E41" w:rsidRDefault="00D96512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6361A5C7" w14:textId="77777777" w:rsidR="00D96512" w:rsidRPr="004A1BDB" w:rsidRDefault="00D9651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1DD1" id="Group 20" o:spid="_x0000_s1026" style="position:absolute;left:0;text-align:left;margin-left:15.6pt;margin-top:8.3pt;width:623.2pt;height:85.2pt;z-index:251671552" coordorigin="897,8350" coordsize="1246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47511C0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4A36E3D1" w14:textId="06BC8B12" w:rsidR="00D96512" w:rsidRDefault="00D96512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>
                          <w:t xml:space="preserve">.P. </w:t>
                        </w:r>
                        <w:proofErr w:type="gramStart"/>
                        <w:r>
                          <w:t>GIOVANNA</w:t>
                        </w:r>
                        <w:r w:rsidR="00006D48">
                          <w:t xml:space="preserve"> </w:t>
                        </w:r>
                        <w:r>
                          <w:t xml:space="preserve"> DY</w:t>
                        </w:r>
                        <w:proofErr w:type="gramEnd"/>
                        <w:r>
                          <w:t xml:space="preserve"> AGUILAR MEZA</w:t>
                        </w:r>
                      </w:p>
                      <w:p w14:paraId="36CEA683" w14:textId="0339E1CD" w:rsidR="00D96512" w:rsidRPr="00363FD2" w:rsidRDefault="00D96512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</w:t>
                        </w:r>
                        <w:r w:rsidR="00006D48">
                          <w:t>A</w:t>
                        </w:r>
                        <w:r w:rsidRPr="002F3E41">
                          <w:t xml:space="preserve">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A39BB4C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53D33391" w14:textId="77777777" w:rsidR="00D96512" w:rsidRPr="004A1BDB" w:rsidRDefault="00D96512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A1B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LIC. JULIO CAPORAL FLORES</w:t>
                        </w:r>
                      </w:p>
                      <w:p w14:paraId="686E1D29" w14:textId="77777777" w:rsidR="00D96512" w:rsidRPr="002F3E41" w:rsidRDefault="00D96512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6361A5C7" w14:textId="77777777" w:rsidR="00D96512" w:rsidRPr="004A1BDB" w:rsidRDefault="00D9651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00ED5373" w14:textId="77777777"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14:paraId="2BA71295" w14:textId="77777777"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4380B3A0" w14:textId="77777777"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14:paraId="3B77C9C5" w14:textId="2778831B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360"/>
        <w:gridCol w:w="602"/>
        <w:gridCol w:w="1286"/>
        <w:gridCol w:w="1081"/>
        <w:gridCol w:w="720"/>
        <w:gridCol w:w="720"/>
        <w:gridCol w:w="542"/>
        <w:gridCol w:w="629"/>
        <w:gridCol w:w="536"/>
        <w:gridCol w:w="451"/>
        <w:gridCol w:w="539"/>
        <w:gridCol w:w="449"/>
        <w:gridCol w:w="542"/>
        <w:gridCol w:w="544"/>
        <w:gridCol w:w="1081"/>
        <w:gridCol w:w="988"/>
        <w:gridCol w:w="1171"/>
        <w:gridCol w:w="1439"/>
      </w:tblGrid>
      <w:tr w:rsidR="005327AF" w:rsidRPr="005327AF" w14:paraId="604651F9" w14:textId="77777777" w:rsidTr="00077A92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6CA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lastRenderedPageBreak/>
              <w:t xml:space="preserve">SECRETARÍA EJECUTIVA DEL SISTEMA ANTICORRUPCIÓN DEL ESTADO DE TLAXCALA </w:t>
            </w:r>
          </w:p>
        </w:tc>
      </w:tr>
      <w:tr w:rsidR="005327AF" w:rsidRPr="005327AF" w14:paraId="633BDA7B" w14:textId="77777777" w:rsidTr="00077A92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3B67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t xml:space="preserve"> COMPORTAMIENTO DE INDICADORES PRESUPUESTO BASADO EN RESULTADOS (POA) 2023 </w:t>
            </w:r>
          </w:p>
        </w:tc>
      </w:tr>
      <w:tr w:rsidR="005327AF" w:rsidRPr="005327AF" w14:paraId="5BD8E46F" w14:textId="77777777" w:rsidTr="00077A92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9861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t xml:space="preserve"> EJERCICIO FISCAL 2023 PERÍODO: JULIO - SEPTIEMBRE </w:t>
            </w:r>
          </w:p>
        </w:tc>
      </w:tr>
      <w:tr w:rsidR="00043911" w:rsidRPr="005327AF" w14:paraId="1C78E7B2" w14:textId="77777777" w:rsidTr="00B350E0">
        <w:trPr>
          <w:trHeight w:val="30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1F90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B951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48BE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8594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4F76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53C3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16EA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D5E4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5F39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EDEB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0C89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E81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C2B7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EE19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2C97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9245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2CBE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6065" w14:textId="77777777" w:rsidR="005327AF" w:rsidRPr="005327AF" w:rsidRDefault="005327AF" w:rsidP="0053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43911" w:rsidRPr="005327AF" w14:paraId="46707105" w14:textId="77777777" w:rsidTr="00B350E0">
        <w:trPr>
          <w:trHeight w:val="30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5D6BC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No. 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FDBD5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NIVEL 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56787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NOMBRE DE LA META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86BB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INDICADORES 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28EFF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UNIDAD DE MEDIDA 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AE89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FRECUENCIA DE MEDICIÓN 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0AC1F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LINEA BASE 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C05FB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META ANUAL   </w:t>
            </w:r>
            <w:proofErr w:type="gramStart"/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  (</w:t>
            </w:r>
            <w:proofErr w:type="gramEnd"/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a) </w:t>
            </w:r>
          </w:p>
        </w:tc>
        <w:tc>
          <w:tcPr>
            <w:tcW w:w="11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5161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AVANCE DE METAS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E7BE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>MEDIOS DE VERIFICACIÓN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4222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>DOCUMENTO QUE LO ACREDITA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505A0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>AREA RESPONSABLE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9AF9D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>OBSERVACIONES</w:t>
            </w:r>
          </w:p>
        </w:tc>
      </w:tr>
      <w:tr w:rsidR="00B350E0" w:rsidRPr="005327AF" w14:paraId="1F6DACAE" w14:textId="77777777" w:rsidTr="00BE25D1">
        <w:trPr>
          <w:trHeight w:val="377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AF92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5D51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A7C5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10502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12C4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EB868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52108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1309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D42606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 xml:space="preserve"> ENERO-MARZO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C3814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 xml:space="preserve"> ABRIL-JUNIO 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437D7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 xml:space="preserve"> JULIO-SEPTIEMBRE 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6E63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A74E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31EEC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176D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043911" w:rsidRPr="005327AF" w14:paraId="47DC8608" w14:textId="77777777" w:rsidTr="00BE25D1">
        <w:trPr>
          <w:trHeight w:val="323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6142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F6D8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9C74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DBC4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CEF0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B93C6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CA73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8E78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FD72A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PROG.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4A8702" w14:textId="77777777" w:rsidR="00077A92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</w:t>
            </w:r>
          </w:p>
          <w:p w14:paraId="78234694" w14:textId="6D60813A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ALC.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47540" w14:textId="77777777" w:rsidR="00043911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</w:t>
            </w:r>
          </w:p>
          <w:p w14:paraId="7C578F87" w14:textId="799B7AD7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PROG. 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F9902E" w14:textId="77777777" w:rsidR="00077A92" w:rsidRDefault="00077A92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</w:p>
          <w:p w14:paraId="462A204F" w14:textId="082A11CD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ALC.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B6610" w14:textId="77777777" w:rsidR="00043911" w:rsidRDefault="00043911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</w:p>
          <w:p w14:paraId="592650B0" w14:textId="4B7FCFDC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PROG.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D7A576" w14:textId="77777777" w:rsidR="00077A92" w:rsidRDefault="00077A92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</w:p>
          <w:p w14:paraId="2DF24F8C" w14:textId="111D2315" w:rsidR="005327AF" w:rsidRPr="005327AF" w:rsidRDefault="005327AF" w:rsidP="005327A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5327AF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ALC. 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7F02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3EB3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441A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6293" w14:textId="77777777" w:rsidR="005327AF" w:rsidRPr="005327AF" w:rsidRDefault="005327AF" w:rsidP="005327A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043911" w:rsidRPr="00077A92" w14:paraId="18EDFAEF" w14:textId="77777777" w:rsidTr="00B350E0">
        <w:trPr>
          <w:trHeight w:val="141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B89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A6CF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FIN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115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Contribuir a disminuir la tasa de víctimas de actos de corrupción en trámites realizados en Tlaxcala, a través de la Implementación de la PAET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E353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Tasa de víctimas de actos de corrupción en al menos uno de los trámites realizados por cada 100 000 habitantes en el Estado de Tlaxcala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A1D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TASA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D7C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BIANUAL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7F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DBF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8810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015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87C6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ABF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187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8EA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64B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2FC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ENCIG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855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Encuesta Nacional de Calidad e Impacto Gubernamental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10BB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SECRETARÍA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CEDF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En cuanto el INEGI publique los datos, se publicará el avance del fin. </w:t>
            </w:r>
          </w:p>
        </w:tc>
      </w:tr>
      <w:tr w:rsidR="00043911" w:rsidRPr="00077A92" w14:paraId="23FB4EC5" w14:textId="77777777" w:rsidTr="00B350E0">
        <w:trPr>
          <w:trHeight w:val="175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65F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5E9D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PROPÓSITO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B8E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Coadyuvar a modificar la percepción de la corrupción en la población de Tlaxcala a través de la Implementación de la PAET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D6D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 de personas que consideran que los actos de corrupción son frecuentes o muy frecuentes en su entidad federativa.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C7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BFF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CD5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1FB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81.5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421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3B7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A3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098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187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95D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9E8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ENCIG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DFE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Encuesta Nacional de Calidad e Impacto Gubernamental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D37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SECRETARÍA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7C6E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En cuanto el INEGI publique los datos, se publicará el avance del propósito. </w:t>
            </w:r>
          </w:p>
        </w:tc>
      </w:tr>
      <w:tr w:rsidR="00043911" w:rsidRPr="00077A92" w14:paraId="7930D1CA" w14:textId="77777777" w:rsidTr="00B350E0">
        <w:trPr>
          <w:trHeight w:val="36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A7F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F9A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B92D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1. Lograr la coordinación </w:t>
            </w:r>
            <w:proofErr w:type="spellStart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estrategica</w:t>
            </w:r>
            <w:proofErr w:type="spellEnd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 del Sistema Anticorrupción del Estado de Tlaxcala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234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 de avance en coordinación estratégica del Sistema Local Anticorrupción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37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CE3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B2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80B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8D0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C62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646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4B7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CBE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0F1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C07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Minutas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0A4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9D46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SECRETARÍA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B07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En el primer trimestre se llevó a cabo una sesión del Magistrado </w:t>
            </w:r>
            <w:proofErr w:type="gramStart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Presidente</w:t>
            </w:r>
            <w:proofErr w:type="gramEnd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 del Tribunal de Justicia Administrativa con Titulares de Órganos Internos de Control durante el Seminario en materia de </w:t>
            </w:r>
            <w:proofErr w:type="spellStart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Responabilidades</w:t>
            </w:r>
            <w:proofErr w:type="spellEnd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 Administrativas impartido por el Instituto Mexicano de Valores.</w:t>
            </w: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br/>
              <w:t xml:space="preserve">En el segundo trimestre se realizó una mesa de trabajo referente a Auditorías de Desempeño. </w:t>
            </w:r>
          </w:p>
        </w:tc>
      </w:tr>
      <w:tr w:rsidR="00043911" w:rsidRPr="00077A92" w14:paraId="2AEED857" w14:textId="77777777" w:rsidTr="00B350E0">
        <w:trPr>
          <w:trHeight w:val="139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FB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16D5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613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2. Diseñar e </w:t>
            </w:r>
            <w:proofErr w:type="spellStart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emplementar</w:t>
            </w:r>
            <w:proofErr w:type="spellEnd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 herramientas </w:t>
            </w:r>
            <w:proofErr w:type="spellStart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TIC´s</w:t>
            </w:r>
            <w:proofErr w:type="spellEnd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 coadyuvantes para el seguimiento de investigaciones por actos de corrupción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DF52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Porcentaje de avance en el diseño e implementación de herramientas </w:t>
            </w:r>
            <w:proofErr w:type="spellStart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TICs</w:t>
            </w:r>
            <w:proofErr w:type="spellEnd"/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46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ECD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F4E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253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9CA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B5E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9B4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321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456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E20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FD4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Ligas de Micrositios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A69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Micrositios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3E61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SECRETARÍA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526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</w:tr>
      <w:tr w:rsidR="00043911" w:rsidRPr="00077A92" w14:paraId="7C502B9A" w14:textId="77777777" w:rsidTr="00B350E0">
        <w:trPr>
          <w:trHeight w:val="15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4AA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130D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DBE0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3. Realizar estudios especializados para la factibilidad del desarrollo de proyectos en materia de certificación de personas servidoras públicas, observatorios ciudadanos y consejos consultivos.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E77C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Número de documentos especializados concluidos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41F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346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C3F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645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A75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10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E52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97D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771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632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DF2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Primer borrador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0C1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Documento denominado: Diagnóstico de certificación de las personas servidoras públicas (Primer borrador)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C2E7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FE3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Primer avance de tres programados </w:t>
            </w:r>
          </w:p>
        </w:tc>
      </w:tr>
      <w:tr w:rsidR="00043911" w:rsidRPr="00077A92" w14:paraId="77C88C6C" w14:textId="77777777" w:rsidTr="00B350E0">
        <w:trPr>
          <w:trHeight w:val="21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A1C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A88E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CF3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4. Contribuir a generar una política criminal integral para la prevención y control de la corrupción en el Estado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632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Número de estrategias para el diseño de una Política Criminal en el Estado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FD5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EC4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18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DFA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F96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D7E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F58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83B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2D1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A02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987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Ficha Técnica y relatoría del Foro Hacia la Construcción de una Política Criminal en el Estado Tlaxcala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CF9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Relatoría del Foro Política Criminal y Ficha Técnica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AF3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5903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El 1 de junio de 2023 se realizó el Foro hacia la Construcción de una Política Criminal en el Estado Tlaxcala; acordando que la Consulta Digital se realizaría posterior al Foro. </w:t>
            </w:r>
          </w:p>
        </w:tc>
      </w:tr>
      <w:tr w:rsidR="00043911" w:rsidRPr="00077A92" w14:paraId="07923099" w14:textId="77777777" w:rsidTr="00B350E0">
        <w:trPr>
          <w:trHeight w:val="12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FE3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B032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4AED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5. Crear una estrategia para la efectiva comunicación y difusión institucional del Comité Coordinador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3AFE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Número de estrategias generadas para comunicar y difundir actividades del Comité Coordinador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F46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A38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DF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6B2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904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0CB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BE8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7E9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15A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0EC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FE6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Publicaciones en redes sociales.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F58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Estrategias de actividades de difusión.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CB5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DE COMUNICACIÓN Y VINCULACIÓN SOCIAL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5E6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</w:tr>
      <w:tr w:rsidR="00043911" w:rsidRPr="00077A92" w14:paraId="1CB8B89F" w14:textId="77777777" w:rsidTr="00B350E0">
        <w:trPr>
          <w:trHeight w:val="109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217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C1CC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9AB5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6. Realizar el seguimiento de acuerdos con la Comisión Estatal de Mejora Regulatoria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54C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Número de estrategias a nivel municipal en materia de Mejora Regulatoria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82C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008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44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F69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5D1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0BB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9B0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988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B72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0E3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32A5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0C8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6E27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C289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</w:tr>
      <w:tr w:rsidR="00043911" w:rsidRPr="00077A92" w14:paraId="2AE279BD" w14:textId="77777777" w:rsidTr="00B350E0">
        <w:trPr>
          <w:trHeight w:val="2393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5DB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lastRenderedPageBreak/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FB6C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71B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7. Fortalecer los procedimientos del Control Interno en la Secretaría Ejecutiva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3B7A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 de diseño y seguimiento de mecanismos de Control Interno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9AE6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2C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0D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D3C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AE2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6DC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195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8CC6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591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233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C63D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MATRIZ DE RIESGOS INSTITUCIONAL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B4ED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MATRIZ DE RIESGOS DE LA SECRETARÍA EJECUTIVA DEL SAET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CBB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DEPARTAMENTO ÓRGANO DE CONTROL INTERNO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19F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En la Matriz de Riesgos quedan establecidos los procedimientos relevantes de cada área de la estructura </w:t>
            </w: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br/>
              <w:t xml:space="preserve">ejecutiva, señalando los riesgos que presenta su ejecución, pero también </w:t>
            </w: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br/>
              <w:t>promoviendo como se pueden mitigar sus efectos, previniendo incluso su aparición</w:t>
            </w:r>
          </w:p>
        </w:tc>
      </w:tr>
      <w:tr w:rsidR="00043911" w:rsidRPr="00077A92" w14:paraId="285A23F7" w14:textId="77777777" w:rsidTr="00B350E0">
        <w:trPr>
          <w:trHeight w:val="139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0D9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5F93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375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1.1 Fortalecer a los Órganos Internos de Control a nivel municipal a través del análisis de la Ley Municipal del Estado de Tlaxcala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8D2B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Grado de avance del Proyecto de reforma a la Ley Municipal para el fortalecimiento de los Órganos Internos de Control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600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736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A4A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BF5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0FB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39B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0CB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2C7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60E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E33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840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Proyecto de Regulación de Órganos Internos de Control en la Ley Municipal del Estado de Tlaxcala.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7A36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Proyecto de Regulación de Órganos Internos de Control en la Ley Municipal del Estado de Tlaxcala.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717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DE ASUNTOS JURICOS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CF5F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Los avances programados fueron concluidos el primer trimestre, presentando la iniciativa aprobada por el Comité Coordinador el 2 de marzo de 2023. </w:t>
            </w:r>
          </w:p>
        </w:tc>
      </w:tr>
      <w:tr w:rsidR="00043911" w:rsidRPr="00077A92" w14:paraId="70A89108" w14:textId="77777777" w:rsidTr="00B350E0">
        <w:trPr>
          <w:trHeight w:val="139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73E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2F19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52D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1.2 Incentivar la coordinación </w:t>
            </w:r>
            <w:proofErr w:type="gramStart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entre  autoridades</w:t>
            </w:r>
            <w:proofErr w:type="gramEnd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 encargadas de investigar, substanciar, resolver y sancionar faltas administrativas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A0C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Número de mesas de trabajo </w:t>
            </w:r>
            <w:proofErr w:type="gramStart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entre  autoridades</w:t>
            </w:r>
            <w:proofErr w:type="gramEnd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 encargadas de investigar, substanciar, resolver y sancionar faltas administrativas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B0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C4F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E72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E8E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046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50B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3A0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842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881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59E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FAD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Fotografías y oficios de invitación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83E1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Carpeta del Seminario de Responsabilidades Administrativas y Carpeta de Capacitaciones Regionales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4C3E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9E2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Sesión de clausura (10 de febrero de 2023) en el Instituto Mexicano de Valores y 5 capacitaciones regionales  </w:t>
            </w:r>
          </w:p>
        </w:tc>
      </w:tr>
      <w:tr w:rsidR="00043911" w:rsidRPr="00077A92" w14:paraId="1DBCB017" w14:textId="77777777" w:rsidTr="00B350E0">
        <w:trPr>
          <w:trHeight w:val="216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C70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1.3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F2C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9D7C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1.3 Generar mesas de trabajo </w:t>
            </w:r>
            <w:proofErr w:type="gramStart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y  establecer</w:t>
            </w:r>
            <w:proofErr w:type="gramEnd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 los criterios adecuados que correspondan a las preguntas de auditoría de desempeño y se relacionen a los principios de economía, eficiencia y eficacia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8839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Número de mesas de trabajo sobre auditoría de desempeño con autoridades competentes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B4F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14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42D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766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BCD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5E8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B776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E4B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FDF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D84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230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Minuta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DDB4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Minuta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1C4E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ADMINISTRACIÓN Y FINANZAS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B4FA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Se realizó una Reunión de Trabajo referente a las auditorías de desempeño que realiza el OFS</w:t>
            </w:r>
          </w:p>
        </w:tc>
      </w:tr>
      <w:tr w:rsidR="00043911" w:rsidRPr="00077A92" w14:paraId="18F0FECF" w14:textId="77777777" w:rsidTr="00B350E0">
        <w:trPr>
          <w:trHeight w:val="139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30F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lastRenderedPageBreak/>
              <w:t>2.1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F3C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AE88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2.1 Iniciar la operatividad del Portal de Datos de Órganos Internos de Control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7A2A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 de Implementación de los Lineamientos para el Micrositio de Órganos Internos de Control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602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35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FD8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52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D5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D90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D966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F65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809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90F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6D1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Portal de datos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28E7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22F9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OFICINA DE SISTEMAS Y PLATAFORMA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8A5E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043911" w:rsidRPr="00077A92" w14:paraId="1B1D76D8" w14:textId="77777777" w:rsidTr="00B350E0">
        <w:trPr>
          <w:trHeight w:val="172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09B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9181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09B6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2.2 Impulsar la adopción del MCCEEPET y la integración de los comités de ética para la adopción, socialización y fortalecimiento de políticas de integridad y prevención de conflictos de interés, haciendo uso del Micrositio de Ética Pública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ABB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Grado de avance en el fortalecimiento del Micrositio de Ética Pública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C9F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EC8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F57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BA7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sz w:val="14"/>
                <w:szCs w:val="14"/>
                <w:lang w:eastAsia="es-MX"/>
              </w:rPr>
              <w:t>96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487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E5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7CC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102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4A1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F1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28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Micrositio de </w:t>
            </w:r>
            <w:proofErr w:type="spellStart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Éica</w:t>
            </w:r>
            <w:proofErr w:type="spellEnd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 Pública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D30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Micrositio de </w:t>
            </w:r>
            <w:proofErr w:type="spellStart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Éica</w:t>
            </w:r>
            <w:proofErr w:type="spellEnd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 Pública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B8D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OFICINA DE SISTEMAS Y PLATAFORMA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990E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proofErr w:type="spellStart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sse</w:t>
            </w:r>
            <w:proofErr w:type="spellEnd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 anexa liga </w:t>
            </w: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br/>
            </w: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br/>
              <w:t>https://saetlax.org/wp-content/docs6/.global.html</w:t>
            </w:r>
          </w:p>
        </w:tc>
      </w:tr>
      <w:tr w:rsidR="00043911" w:rsidRPr="00077A92" w14:paraId="147C5C08" w14:textId="77777777" w:rsidTr="00B350E0">
        <w:trPr>
          <w:trHeight w:val="15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FE4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2.3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EFE3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9D00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2.3 </w:t>
            </w:r>
            <w:proofErr w:type="gramStart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Estandarizar  los</w:t>
            </w:r>
            <w:proofErr w:type="gramEnd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 Datos del Sistema 6 de Contrataciones de la  Plataforma Digital Estatal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D20E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Porcentaje de avance en la Estandarización de Datos del Sistema 6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0B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BB2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746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8E9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4F0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BCA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D34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C2E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D53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689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441E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15E2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08F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OFICINA DE SISTEMAS Y PLATAFORMA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8CED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</w:tr>
      <w:tr w:rsidR="00043911" w:rsidRPr="00077A92" w14:paraId="388953E9" w14:textId="77777777" w:rsidTr="00B350E0">
        <w:trPr>
          <w:trHeight w:val="217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632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2E4F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3D56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3.1 Realizar un diagnóstico para definir una ruta crítica sobre la certificación de personas servidoras públicas que reciben quejas, denuncias, alertas por faltas administrativas o hechos de corrupción. 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ABED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 de avance del diagnóstico de certificación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8DA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EBF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MENSUAL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D69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74E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49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053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7EC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6F2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12F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BD96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0940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 documentos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82FD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*Estrategia de elaboración de Diagnóstico de Certificación </w:t>
            </w: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br/>
              <w:t xml:space="preserve">*Preguntas </w:t>
            </w:r>
            <w:proofErr w:type="gramStart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del  Diagnóstico</w:t>
            </w:r>
            <w:proofErr w:type="gramEnd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 de Certificación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FA3B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200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https://saetlax.org/wp-content/docs6/.global.html</w:t>
            </w:r>
          </w:p>
        </w:tc>
      </w:tr>
      <w:tr w:rsidR="00043911" w:rsidRPr="00077A92" w14:paraId="37D1153D" w14:textId="77777777" w:rsidTr="00B350E0">
        <w:trPr>
          <w:trHeight w:val="186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F50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lastRenderedPageBreak/>
              <w:t>3.2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D54B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558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3.2 Elaborar una propuesta referente al funcionamiento de un Observatorio Ciudadano sobre gestión de riesgos de corrupción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7EC6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Porcentaje de avance de la propuesta de un Observatorio Ciudadano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AD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17C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MENSUAL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84D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DC0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551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A39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5C8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7E6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2DF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8D8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7479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Documento diagnóstico sobre el funcionamiento de un Observatorio de Riesgos de Corrupción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62B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Análisis del funcionamiento de observatorios ciudadanos en Tlaxcala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302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971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Esta actividad es coordinada con el Departamento de Asuntos </w:t>
            </w:r>
            <w:proofErr w:type="gramStart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Jurídicos,  disponible</w:t>
            </w:r>
            <w:proofErr w:type="gramEnd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 en:  https://saetlax.org/wp-content/uploads/2023/08/Observatorioparalagestionderiesgos.pdf</w:t>
            </w:r>
          </w:p>
        </w:tc>
      </w:tr>
      <w:tr w:rsidR="00043911" w:rsidRPr="00077A92" w14:paraId="2D1CEA7C" w14:textId="77777777" w:rsidTr="00B350E0">
        <w:trPr>
          <w:trHeight w:val="168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00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3.3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D2DD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2E58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3.3 Generar un análisis sobre la operatividad y funcionamiento de los Consejos Consultivos en el Estado, con base en el diagnóstico elaborado en esta materia en 2022.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970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Grado de avance en el análisis de operatividad y funcionamiento de los Consejos Consultivos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E4D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0B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MENSUAL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16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AD6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348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701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A0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E85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A9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E94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2662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 documento finalizado https://saetlax.org/wp-content/uploads/2023/08/EstudiodelFuncionamientodelosConsejosConsultivosenTlaxcala.pdf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2C10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Estudio del funcionamiento de los Consejos Consultivos en Tlaxcala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0699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2E8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Esta actividad es colaborativa con el Departamento de Asuntos Jurídicos, de los 3 avances que se tenían programados, el citado Departamento entregó el documento completo, para agregarse al informe del Comité Coordinador 2022 - 2023. </w:t>
            </w:r>
          </w:p>
        </w:tc>
      </w:tr>
      <w:tr w:rsidR="00043911" w:rsidRPr="00077A92" w14:paraId="5B9FF7ED" w14:textId="77777777" w:rsidTr="00B350E0">
        <w:trPr>
          <w:trHeight w:val="151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667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4.1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F81C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74D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4.1 Diseñar y ejecutar una consulta digital que contribuya a la construcción de una Política Criminal en nuestra Entidad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3BFF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Consulta Digital de Política Criminal diseñada y ejecutada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C8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AD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336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576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B64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990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15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F29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A79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98C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029A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834B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AAC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3DF0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Es un proyecto colaborativo con la FECC, que se sugirió realizar posterior al Foro hacia la Construcción de una Política Criminal del 1 de junio de 2023, por lo que se encuentra en proceso.</w:t>
            </w:r>
          </w:p>
        </w:tc>
      </w:tr>
      <w:tr w:rsidR="00043911" w:rsidRPr="00077A92" w14:paraId="7020B01E" w14:textId="77777777" w:rsidTr="00B350E0">
        <w:trPr>
          <w:trHeight w:val="144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33D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5.1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7270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D010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5.1 Impartir sensibilizaciones a entes públicos para explicar el funcionamiento de las instancias que integran el Sistema Anticorrupción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B114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Número de sensibilizaciones dirigidas a entes públicos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B9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5AC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DD5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F46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E9E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9A8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572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995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339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FC1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6B22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Listas de asistencia, fotografías e </w:t>
            </w:r>
            <w:proofErr w:type="spellStart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invitacion</w:t>
            </w:r>
            <w:proofErr w:type="spellEnd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A3B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Listas de asistencia, fotografías e </w:t>
            </w:r>
            <w:proofErr w:type="spellStart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invitacion</w:t>
            </w:r>
            <w:proofErr w:type="spellEnd"/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59BA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SECRETARÍA TÉCNICA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E234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</w:tr>
      <w:tr w:rsidR="00043911" w:rsidRPr="00077A92" w14:paraId="2ED1CA47" w14:textId="77777777" w:rsidTr="00B350E0">
        <w:trPr>
          <w:trHeight w:val="160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56D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5.2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B419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D596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5.2 Difundir y socializar las actividades que realiza el Comité Coordinador del Sistema Anticorrupción del Estado de Tlaxcala para fortalecer el vínculo con la sociedad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F4D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Programa de Difusión y Socialización elaborado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11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DF2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00C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81A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B57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A9F7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0A3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0DF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8DB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FFF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069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Documento denominado Programa de Difusión y Socialización 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487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B45B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DE COMUNICACIÓN Y VINCULACIÓN SOCIAL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BB36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Se realiza la </w:t>
            </w:r>
            <w:proofErr w:type="spellStart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correccion</w:t>
            </w:r>
            <w:proofErr w:type="spellEnd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 en el dato de la meta anual en el </w:t>
            </w:r>
            <w:proofErr w:type="spellStart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docuemnto</w:t>
            </w:r>
            <w:proofErr w:type="spellEnd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 reportado en el documento del primer trimestre, así como los números de cumplimiento ya que se refiere a las actividades realizadas.</w:t>
            </w:r>
          </w:p>
        </w:tc>
      </w:tr>
      <w:tr w:rsidR="00043911" w:rsidRPr="00077A92" w14:paraId="36F70D70" w14:textId="77777777" w:rsidTr="00B350E0">
        <w:trPr>
          <w:trHeight w:val="144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E07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lastRenderedPageBreak/>
              <w:t>5.3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BA1A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49DD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5.3 Realizar la Semana de la Integridad 2023 para generar un espacio de retroalimentación entre el Comité Coordinador y la sociedad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9BFE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Semana de la Integridad 2023 realizada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10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D5F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0C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F1D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F91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802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5D1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1E0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219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EA3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AD80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000F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2342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DE COMUNICACIÓN Y VINCULACIÓN SOCIAL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4C5B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</w:tr>
      <w:tr w:rsidR="00043911" w:rsidRPr="00077A92" w14:paraId="0D0B48EE" w14:textId="77777777" w:rsidTr="00B350E0">
        <w:trPr>
          <w:trHeight w:val="1232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4C0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6.1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167D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582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6.1 Realizar el seguimiento de acuerdos con la Comisión Estatal de Mejora Regulatoria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A345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Número de los seguimientos a acuerdos en materia de mejora regulatoria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338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B5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487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856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6C2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72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020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020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D28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D0DA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F112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A05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FF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A6D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B73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Actualmente se trabaja en el proyecto de seguimiento con personal de la Comisión Estatal de Mejora Regulatoria. </w:t>
            </w:r>
          </w:p>
        </w:tc>
      </w:tr>
      <w:tr w:rsidR="00043911" w:rsidRPr="00077A92" w14:paraId="588016CB" w14:textId="77777777" w:rsidTr="00B350E0">
        <w:trPr>
          <w:trHeight w:val="144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974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7.1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1BFB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30F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7.1 Vigilar </w:t>
            </w:r>
            <w:proofErr w:type="gramStart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y  dar</w:t>
            </w:r>
            <w:proofErr w:type="gramEnd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 seguimiento a las declaraciones patrimoniales, conflicto de </w:t>
            </w:r>
            <w:proofErr w:type="spellStart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interes</w:t>
            </w:r>
            <w:proofErr w:type="spellEnd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 y situación fiscal del personal de la Secretaría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820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 xml:space="preserve">Número de seguimientos de la evaluación patrimonial del personal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DE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93B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401B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171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7C1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6B6C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E081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9FA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03D5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F77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72F1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PLATAFORMA NACIONAL DE TRANSPARENCIA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5D0B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DECLARACIÓN PATRIMONIAL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5280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DEPARTAMENTO ÓRGANO DE CONTROL INTERNO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DABB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Cumplir las disposiciones federales y estatales en materia de declaración patrimonial, de intereses y fiscal</w:t>
            </w:r>
          </w:p>
        </w:tc>
      </w:tr>
      <w:tr w:rsidR="00043911" w:rsidRPr="00077A92" w14:paraId="7E04F4F6" w14:textId="77777777" w:rsidTr="00B350E0">
        <w:trPr>
          <w:trHeight w:val="135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4216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7.2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25C0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15D5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7.2 </w:t>
            </w:r>
            <w:proofErr w:type="spellStart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Eficientar</w:t>
            </w:r>
            <w:proofErr w:type="spellEnd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 el marco normativo de </w:t>
            </w:r>
            <w:proofErr w:type="spellStart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autoregulación</w:t>
            </w:r>
            <w:proofErr w:type="spellEnd"/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 xml:space="preserve"> interna de la Secretaría Ejecutiva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7979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Nivel de avance en el diseño del Código de Conducta de la Secretaría Ejecutiva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2C8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4B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7EC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8040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E1CE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6B69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713D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FAF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C434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BA63" w14:textId="77777777" w:rsidR="005327AF" w:rsidRPr="005327AF" w:rsidRDefault="005327AF" w:rsidP="00532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23FC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DOCUMENTO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0FA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PROYECTO "CODIGO DE CONDUCTA DE LA SECRETARÍA EJECUTIVA DEL SAET"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D21" w14:textId="77777777" w:rsidR="005327AF" w:rsidRPr="005327AF" w:rsidRDefault="005327AF" w:rsidP="005327AF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DEPARTAMENTO ÓRGANO DE CONTROL INTERNO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C400" w14:textId="77777777" w:rsidR="005327AF" w:rsidRPr="005327AF" w:rsidRDefault="005327AF" w:rsidP="005327AF">
            <w:pPr>
              <w:spacing w:after="0" w:line="240" w:lineRule="auto"/>
              <w:jc w:val="both"/>
              <w:rPr>
                <w:rFonts w:eastAsia="Times New Roman" w:cstheme="minorHAnsi"/>
                <w:sz w:val="14"/>
                <w:szCs w:val="14"/>
                <w:lang w:eastAsia="es-MX"/>
              </w:rPr>
            </w:pPr>
            <w:r w:rsidRPr="005327AF">
              <w:rPr>
                <w:rFonts w:eastAsia="Times New Roman" w:cstheme="minorHAnsi"/>
                <w:sz w:val="14"/>
                <w:szCs w:val="14"/>
                <w:lang w:eastAsia="es-MX"/>
              </w:rPr>
              <w:t>Se cumplió la meta programada, el Código de Conducta se encuentra entregado y en revisión para su aprobación.</w:t>
            </w:r>
          </w:p>
        </w:tc>
      </w:tr>
    </w:tbl>
    <w:p w14:paraId="4DE9D6C9" w14:textId="77777777" w:rsidR="005327AF" w:rsidRDefault="005327AF" w:rsidP="00EC77F5">
      <w:pPr>
        <w:jc w:val="center"/>
        <w:rPr>
          <w:rFonts w:ascii="Arial" w:hAnsi="Arial" w:cs="Arial"/>
          <w:sz w:val="18"/>
          <w:szCs w:val="18"/>
        </w:rPr>
      </w:pPr>
    </w:p>
    <w:sectPr w:rsidR="005327AF" w:rsidSect="005327AF">
      <w:headerReference w:type="even" r:id="rId10"/>
      <w:headerReference w:type="default" r:id="rId11"/>
      <w:footerReference w:type="even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4339" w14:textId="77777777" w:rsidR="00F0127B" w:rsidRDefault="00F0127B" w:rsidP="00EA5418">
      <w:pPr>
        <w:spacing w:after="0" w:line="240" w:lineRule="auto"/>
      </w:pPr>
      <w:r>
        <w:separator/>
      </w:r>
    </w:p>
  </w:endnote>
  <w:endnote w:type="continuationSeparator" w:id="0">
    <w:p w14:paraId="61A313B4" w14:textId="77777777" w:rsidR="00F0127B" w:rsidRDefault="00F0127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ACB5" w14:textId="0631DFA7" w:rsidR="00D96512" w:rsidRPr="0013011C" w:rsidRDefault="00D9651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FA755F" wp14:editId="5575933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62419" w:rsidRPr="00162419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6B08061" w14:textId="77777777" w:rsidR="00D96512" w:rsidRDefault="00D965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43F2" w14:textId="77777777" w:rsidR="00F0127B" w:rsidRDefault="00F0127B" w:rsidP="00EA5418">
      <w:pPr>
        <w:spacing w:after="0" w:line="240" w:lineRule="auto"/>
      </w:pPr>
      <w:r>
        <w:separator/>
      </w:r>
    </w:p>
  </w:footnote>
  <w:footnote w:type="continuationSeparator" w:id="0">
    <w:p w14:paraId="63A9BB64" w14:textId="77777777" w:rsidR="00F0127B" w:rsidRDefault="00F0127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C065" w14:textId="77777777" w:rsidR="00D96512" w:rsidRDefault="00D9651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791E81" wp14:editId="0D94175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1E26" w14:textId="77777777" w:rsidR="00D96512" w:rsidRDefault="00D9651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44B7B88" w14:textId="77777777" w:rsidR="00D96512" w:rsidRDefault="00D9651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ECF078B" w14:textId="77777777" w:rsidR="00D96512" w:rsidRPr="00275FC6" w:rsidRDefault="00D9651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B696" w14:textId="7156BC17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4168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6B4861D" w14:textId="77777777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89D669" w14:textId="77777777" w:rsidR="00D96512" w:rsidRPr="00275FC6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91E81"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58021E26" w14:textId="77777777" w:rsidR="00D96512" w:rsidRDefault="00D9651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44B7B88" w14:textId="77777777" w:rsidR="00D96512" w:rsidRDefault="00D9651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ECF078B" w14:textId="77777777" w:rsidR="00D96512" w:rsidRPr="00275FC6" w:rsidRDefault="00D9651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6C7B696" w14:textId="7156BC17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4168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6B4861D" w14:textId="77777777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89D669" w14:textId="77777777" w:rsidR="00D96512" w:rsidRPr="00275FC6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FAA8A" wp14:editId="5C4E2C6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134E" w14:textId="2C4EAC2B" w:rsidR="00D96512" w:rsidRPr="0013011C" w:rsidRDefault="00D9651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93A37" wp14:editId="030B1392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37565471">
    <w:abstractNumId w:val="0"/>
  </w:num>
  <w:num w:numId="2" w16cid:durableId="210895121">
    <w:abstractNumId w:val="1"/>
  </w:num>
  <w:num w:numId="3" w16cid:durableId="1471559125">
    <w:abstractNumId w:val="3"/>
  </w:num>
  <w:num w:numId="4" w16cid:durableId="170259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6C1"/>
    <w:rsid w:val="00006D48"/>
    <w:rsid w:val="00027B57"/>
    <w:rsid w:val="000314E9"/>
    <w:rsid w:val="000315C3"/>
    <w:rsid w:val="00040466"/>
    <w:rsid w:val="00043911"/>
    <w:rsid w:val="00060949"/>
    <w:rsid w:val="000729D0"/>
    <w:rsid w:val="00077A92"/>
    <w:rsid w:val="00080B8F"/>
    <w:rsid w:val="0009549F"/>
    <w:rsid w:val="000B32C7"/>
    <w:rsid w:val="000B45BC"/>
    <w:rsid w:val="000B59C9"/>
    <w:rsid w:val="000C5175"/>
    <w:rsid w:val="000D126A"/>
    <w:rsid w:val="000E3DD5"/>
    <w:rsid w:val="00112360"/>
    <w:rsid w:val="001143AF"/>
    <w:rsid w:val="00121F59"/>
    <w:rsid w:val="0013011C"/>
    <w:rsid w:val="001305D8"/>
    <w:rsid w:val="0013536D"/>
    <w:rsid w:val="00136843"/>
    <w:rsid w:val="0015134E"/>
    <w:rsid w:val="0016211D"/>
    <w:rsid w:val="00162419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358F"/>
    <w:rsid w:val="001E7744"/>
    <w:rsid w:val="001F38FF"/>
    <w:rsid w:val="00203B29"/>
    <w:rsid w:val="00210E26"/>
    <w:rsid w:val="00213559"/>
    <w:rsid w:val="00214D6A"/>
    <w:rsid w:val="00226368"/>
    <w:rsid w:val="00226F64"/>
    <w:rsid w:val="002346B7"/>
    <w:rsid w:val="00241686"/>
    <w:rsid w:val="00246346"/>
    <w:rsid w:val="0025039C"/>
    <w:rsid w:val="0025404C"/>
    <w:rsid w:val="00280D4D"/>
    <w:rsid w:val="0029459E"/>
    <w:rsid w:val="002A689D"/>
    <w:rsid w:val="002A70B3"/>
    <w:rsid w:val="002B39D1"/>
    <w:rsid w:val="002B4DFB"/>
    <w:rsid w:val="002C4080"/>
    <w:rsid w:val="002D213C"/>
    <w:rsid w:val="002E4EC7"/>
    <w:rsid w:val="002E754B"/>
    <w:rsid w:val="002F29B6"/>
    <w:rsid w:val="002F3E41"/>
    <w:rsid w:val="003002CC"/>
    <w:rsid w:val="0030468A"/>
    <w:rsid w:val="00305E14"/>
    <w:rsid w:val="00317399"/>
    <w:rsid w:val="00317468"/>
    <w:rsid w:val="003303C3"/>
    <w:rsid w:val="00356139"/>
    <w:rsid w:val="00363FD2"/>
    <w:rsid w:val="00372F40"/>
    <w:rsid w:val="003769A4"/>
    <w:rsid w:val="0038525C"/>
    <w:rsid w:val="003B0CC7"/>
    <w:rsid w:val="003D5DBF"/>
    <w:rsid w:val="003E17FB"/>
    <w:rsid w:val="003E2138"/>
    <w:rsid w:val="003E301A"/>
    <w:rsid w:val="003E6C72"/>
    <w:rsid w:val="003E784C"/>
    <w:rsid w:val="003E7FD0"/>
    <w:rsid w:val="003F255B"/>
    <w:rsid w:val="003F45EB"/>
    <w:rsid w:val="003F4AD9"/>
    <w:rsid w:val="003F7C35"/>
    <w:rsid w:val="00407D1A"/>
    <w:rsid w:val="00420104"/>
    <w:rsid w:val="00423BE8"/>
    <w:rsid w:val="004339EE"/>
    <w:rsid w:val="0044253C"/>
    <w:rsid w:val="00447DD0"/>
    <w:rsid w:val="00460F1D"/>
    <w:rsid w:val="00461F03"/>
    <w:rsid w:val="00464D98"/>
    <w:rsid w:val="004730DD"/>
    <w:rsid w:val="00473710"/>
    <w:rsid w:val="00474EAC"/>
    <w:rsid w:val="004754E2"/>
    <w:rsid w:val="00486AE1"/>
    <w:rsid w:val="00497D8B"/>
    <w:rsid w:val="004A1BDB"/>
    <w:rsid w:val="004C16F0"/>
    <w:rsid w:val="004C19BD"/>
    <w:rsid w:val="004C319E"/>
    <w:rsid w:val="004D107F"/>
    <w:rsid w:val="004D2FE0"/>
    <w:rsid w:val="004D41B8"/>
    <w:rsid w:val="004D5747"/>
    <w:rsid w:val="004D7869"/>
    <w:rsid w:val="004F773B"/>
    <w:rsid w:val="00502D8E"/>
    <w:rsid w:val="005117F4"/>
    <w:rsid w:val="00513182"/>
    <w:rsid w:val="00515BC5"/>
    <w:rsid w:val="00520DF3"/>
    <w:rsid w:val="00522632"/>
    <w:rsid w:val="00523B89"/>
    <w:rsid w:val="00531ECF"/>
    <w:rsid w:val="005327AF"/>
    <w:rsid w:val="00534982"/>
    <w:rsid w:val="005403D4"/>
    <w:rsid w:val="00540418"/>
    <w:rsid w:val="00570EDE"/>
    <w:rsid w:val="00577B2F"/>
    <w:rsid w:val="005859FA"/>
    <w:rsid w:val="005910C1"/>
    <w:rsid w:val="005A5CF0"/>
    <w:rsid w:val="005B22D0"/>
    <w:rsid w:val="005E0431"/>
    <w:rsid w:val="005E5A2B"/>
    <w:rsid w:val="0060046B"/>
    <w:rsid w:val="006048D2"/>
    <w:rsid w:val="00611E39"/>
    <w:rsid w:val="006120CF"/>
    <w:rsid w:val="00620342"/>
    <w:rsid w:val="0062132E"/>
    <w:rsid w:val="00640B16"/>
    <w:rsid w:val="00652CE6"/>
    <w:rsid w:val="00655CD4"/>
    <w:rsid w:val="00656329"/>
    <w:rsid w:val="006851C5"/>
    <w:rsid w:val="00687BDA"/>
    <w:rsid w:val="006906F2"/>
    <w:rsid w:val="00692877"/>
    <w:rsid w:val="006A0293"/>
    <w:rsid w:val="006A02FC"/>
    <w:rsid w:val="006B5F06"/>
    <w:rsid w:val="006D4E77"/>
    <w:rsid w:val="006E46D8"/>
    <w:rsid w:val="006E77DD"/>
    <w:rsid w:val="006F4747"/>
    <w:rsid w:val="00702803"/>
    <w:rsid w:val="00705F6D"/>
    <w:rsid w:val="00724E10"/>
    <w:rsid w:val="00731B4D"/>
    <w:rsid w:val="00731F06"/>
    <w:rsid w:val="007419A8"/>
    <w:rsid w:val="007552A0"/>
    <w:rsid w:val="0077089F"/>
    <w:rsid w:val="007777E4"/>
    <w:rsid w:val="00777EC8"/>
    <w:rsid w:val="00786E52"/>
    <w:rsid w:val="007873F5"/>
    <w:rsid w:val="0079582C"/>
    <w:rsid w:val="007966D3"/>
    <w:rsid w:val="007A0022"/>
    <w:rsid w:val="007C3A85"/>
    <w:rsid w:val="007C4C08"/>
    <w:rsid w:val="007D1A31"/>
    <w:rsid w:val="007D544A"/>
    <w:rsid w:val="007D6E9A"/>
    <w:rsid w:val="00805737"/>
    <w:rsid w:val="00816F5E"/>
    <w:rsid w:val="0082085B"/>
    <w:rsid w:val="008315FC"/>
    <w:rsid w:val="00845244"/>
    <w:rsid w:val="00857C2D"/>
    <w:rsid w:val="00867234"/>
    <w:rsid w:val="00867CE6"/>
    <w:rsid w:val="00874B72"/>
    <w:rsid w:val="008762E5"/>
    <w:rsid w:val="00894E3E"/>
    <w:rsid w:val="008A33B3"/>
    <w:rsid w:val="008A3C0B"/>
    <w:rsid w:val="008A627E"/>
    <w:rsid w:val="008A6E4D"/>
    <w:rsid w:val="008B0017"/>
    <w:rsid w:val="008B101A"/>
    <w:rsid w:val="008C63C0"/>
    <w:rsid w:val="008C761B"/>
    <w:rsid w:val="008D51D8"/>
    <w:rsid w:val="008D6184"/>
    <w:rsid w:val="008E3652"/>
    <w:rsid w:val="008E4606"/>
    <w:rsid w:val="008F117C"/>
    <w:rsid w:val="00904568"/>
    <w:rsid w:val="00905559"/>
    <w:rsid w:val="00906789"/>
    <w:rsid w:val="00907A7B"/>
    <w:rsid w:val="00910961"/>
    <w:rsid w:val="00911377"/>
    <w:rsid w:val="0091258A"/>
    <w:rsid w:val="00913E60"/>
    <w:rsid w:val="009274A7"/>
    <w:rsid w:val="00941748"/>
    <w:rsid w:val="00965DDC"/>
    <w:rsid w:val="00972267"/>
    <w:rsid w:val="00980EFE"/>
    <w:rsid w:val="00984F45"/>
    <w:rsid w:val="009B3BEA"/>
    <w:rsid w:val="009C2A74"/>
    <w:rsid w:val="009D125B"/>
    <w:rsid w:val="009E20C9"/>
    <w:rsid w:val="009E44E6"/>
    <w:rsid w:val="009F05E0"/>
    <w:rsid w:val="009F6CA4"/>
    <w:rsid w:val="00A211E6"/>
    <w:rsid w:val="00A3502D"/>
    <w:rsid w:val="00A40C43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C574E"/>
    <w:rsid w:val="00AD3655"/>
    <w:rsid w:val="00AD3FED"/>
    <w:rsid w:val="00AD4265"/>
    <w:rsid w:val="00AE1079"/>
    <w:rsid w:val="00AE4BEF"/>
    <w:rsid w:val="00AE7F5F"/>
    <w:rsid w:val="00AF6B43"/>
    <w:rsid w:val="00B01221"/>
    <w:rsid w:val="00B16FA8"/>
    <w:rsid w:val="00B274F8"/>
    <w:rsid w:val="00B30281"/>
    <w:rsid w:val="00B30903"/>
    <w:rsid w:val="00B350E0"/>
    <w:rsid w:val="00B366AB"/>
    <w:rsid w:val="00B40B64"/>
    <w:rsid w:val="00B43E75"/>
    <w:rsid w:val="00B51D19"/>
    <w:rsid w:val="00B57A95"/>
    <w:rsid w:val="00B849EE"/>
    <w:rsid w:val="00B8613D"/>
    <w:rsid w:val="00B94F89"/>
    <w:rsid w:val="00BA29BE"/>
    <w:rsid w:val="00BC11D4"/>
    <w:rsid w:val="00BD1CE2"/>
    <w:rsid w:val="00BD29FE"/>
    <w:rsid w:val="00BD6559"/>
    <w:rsid w:val="00BE25D1"/>
    <w:rsid w:val="00C02236"/>
    <w:rsid w:val="00C071F9"/>
    <w:rsid w:val="00C20AAC"/>
    <w:rsid w:val="00C22250"/>
    <w:rsid w:val="00C30482"/>
    <w:rsid w:val="00C50D92"/>
    <w:rsid w:val="00C60B92"/>
    <w:rsid w:val="00C60CE0"/>
    <w:rsid w:val="00C71B47"/>
    <w:rsid w:val="00C90ED9"/>
    <w:rsid w:val="00C91066"/>
    <w:rsid w:val="00CA5635"/>
    <w:rsid w:val="00CA7851"/>
    <w:rsid w:val="00CB22A1"/>
    <w:rsid w:val="00CB62A6"/>
    <w:rsid w:val="00CC19FA"/>
    <w:rsid w:val="00CC598A"/>
    <w:rsid w:val="00CD1B36"/>
    <w:rsid w:val="00CE409D"/>
    <w:rsid w:val="00CE4E54"/>
    <w:rsid w:val="00CF00DF"/>
    <w:rsid w:val="00D02940"/>
    <w:rsid w:val="00D03ED3"/>
    <w:rsid w:val="00D055EC"/>
    <w:rsid w:val="00D12F29"/>
    <w:rsid w:val="00D15FB0"/>
    <w:rsid w:val="00D315C9"/>
    <w:rsid w:val="00D51261"/>
    <w:rsid w:val="00D62D8F"/>
    <w:rsid w:val="00D73212"/>
    <w:rsid w:val="00D95046"/>
    <w:rsid w:val="00D96512"/>
    <w:rsid w:val="00D96CDF"/>
    <w:rsid w:val="00DA3B1B"/>
    <w:rsid w:val="00DA5B43"/>
    <w:rsid w:val="00DA5DC8"/>
    <w:rsid w:val="00DB09F6"/>
    <w:rsid w:val="00DB5D16"/>
    <w:rsid w:val="00DE35F6"/>
    <w:rsid w:val="00DE6760"/>
    <w:rsid w:val="00E112A3"/>
    <w:rsid w:val="00E24E05"/>
    <w:rsid w:val="00E32708"/>
    <w:rsid w:val="00E36B95"/>
    <w:rsid w:val="00E40591"/>
    <w:rsid w:val="00E72029"/>
    <w:rsid w:val="00EA5418"/>
    <w:rsid w:val="00EC4E88"/>
    <w:rsid w:val="00EC6507"/>
    <w:rsid w:val="00EC7521"/>
    <w:rsid w:val="00EC77F5"/>
    <w:rsid w:val="00ED2CB0"/>
    <w:rsid w:val="00ED5BA8"/>
    <w:rsid w:val="00EE38B0"/>
    <w:rsid w:val="00EE3E93"/>
    <w:rsid w:val="00EE7C58"/>
    <w:rsid w:val="00EF1463"/>
    <w:rsid w:val="00EF2389"/>
    <w:rsid w:val="00F0127B"/>
    <w:rsid w:val="00F13E47"/>
    <w:rsid w:val="00F2186B"/>
    <w:rsid w:val="00F31D1B"/>
    <w:rsid w:val="00F4633F"/>
    <w:rsid w:val="00F463D1"/>
    <w:rsid w:val="00F54018"/>
    <w:rsid w:val="00F718E5"/>
    <w:rsid w:val="00F80EB1"/>
    <w:rsid w:val="00F905E8"/>
    <w:rsid w:val="00F90930"/>
    <w:rsid w:val="00F96944"/>
    <w:rsid w:val="00F96AC6"/>
    <w:rsid w:val="00FA0C5B"/>
    <w:rsid w:val="00FA10B7"/>
    <w:rsid w:val="00FA7DF3"/>
    <w:rsid w:val="00FC3E46"/>
    <w:rsid w:val="00FD7D7C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A9B38FF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2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FD09-2D29-458D-82CF-93740AA3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1946</Words>
  <Characters>10705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KG442</cp:lastModifiedBy>
  <cp:revision>52</cp:revision>
  <cp:lastPrinted>2023-07-12T18:51:00Z</cp:lastPrinted>
  <dcterms:created xsi:type="dcterms:W3CDTF">2022-10-13T18:58:00Z</dcterms:created>
  <dcterms:modified xsi:type="dcterms:W3CDTF">2023-10-12T19:11:00Z</dcterms:modified>
</cp:coreProperties>
</file>