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C906" w14:textId="4209CE03" w:rsidR="00B844F0" w:rsidRDefault="00075F11" w:rsidP="000A2A48">
      <w:pPr>
        <w:jc w:val="center"/>
        <w:rPr>
          <w:rFonts w:ascii="Arial" w:hAnsi="Arial" w:cs="Arial"/>
          <w:b/>
          <w:sz w:val="18"/>
          <w:szCs w:val="18"/>
        </w:rPr>
      </w:pPr>
      <w:r w:rsidRPr="00B372A2">
        <w:rPr>
          <w:rFonts w:ascii="Arial" w:hAnsi="Arial" w:cs="Arial"/>
          <w:b/>
          <w:sz w:val="18"/>
          <w:szCs w:val="18"/>
        </w:rPr>
        <w:t>Introducción</w:t>
      </w:r>
    </w:p>
    <w:p w14:paraId="336A1AC2" w14:textId="77777777" w:rsidR="0075717E" w:rsidRDefault="0075717E" w:rsidP="0075717E">
      <w:pPr>
        <w:jc w:val="both"/>
        <w:rPr>
          <w:rFonts w:ascii="Arial" w:hAnsi="Arial" w:cs="Arial"/>
          <w:sz w:val="18"/>
          <w:szCs w:val="18"/>
        </w:rPr>
      </w:pPr>
      <w:r>
        <w:rPr>
          <w:rFonts w:ascii="Arial" w:hAnsi="Arial" w:cs="Arial"/>
          <w:sz w:val="18"/>
          <w:szCs w:val="18"/>
        </w:rPr>
        <w:t>El Gobierno del Estado a través del</w:t>
      </w:r>
      <w:r w:rsidRPr="002D3FE8">
        <w:rPr>
          <w:rFonts w:ascii="Arial" w:hAnsi="Arial" w:cs="Arial"/>
          <w:sz w:val="18"/>
          <w:szCs w:val="18"/>
        </w:rPr>
        <w:t xml:space="preserve"> Fondo Macro para el Desarrollo Integral de Tlaxcala</w:t>
      </w:r>
      <w:r>
        <w:rPr>
          <w:rFonts w:ascii="Arial" w:hAnsi="Arial" w:cs="Arial"/>
          <w:sz w:val="18"/>
          <w:szCs w:val="18"/>
        </w:rPr>
        <w:t xml:space="preserve"> “FOMTLAX”, contribuye al desarrollo económico del Estado con el otorgamiento de créditos para</w:t>
      </w:r>
      <w:r w:rsidRPr="002D3FE8">
        <w:rPr>
          <w:rFonts w:ascii="Arial" w:hAnsi="Arial" w:cs="Arial"/>
          <w:sz w:val="18"/>
          <w:szCs w:val="18"/>
        </w:rPr>
        <w:t xml:space="preserve"> las micro y pequeñas empresas </w:t>
      </w:r>
      <w:r>
        <w:rPr>
          <w:rFonts w:ascii="Arial" w:hAnsi="Arial" w:cs="Arial"/>
          <w:sz w:val="18"/>
          <w:szCs w:val="18"/>
        </w:rPr>
        <w:t xml:space="preserve">de los diversos sectores económicos, fomentando el empleo, a </w:t>
      </w:r>
      <w:proofErr w:type="spellStart"/>
      <w:r>
        <w:rPr>
          <w:rFonts w:ascii="Arial" w:hAnsi="Arial" w:cs="Arial"/>
          <w:sz w:val="18"/>
          <w:szCs w:val="18"/>
        </w:rPr>
        <w:t>fín</w:t>
      </w:r>
      <w:proofErr w:type="spellEnd"/>
      <w:r>
        <w:rPr>
          <w:rFonts w:ascii="Arial" w:hAnsi="Arial" w:cs="Arial"/>
          <w:sz w:val="18"/>
          <w:szCs w:val="18"/>
        </w:rPr>
        <w:t xml:space="preserve"> de mejorar el ingreso de las familias tlaxcaltecas.</w:t>
      </w:r>
    </w:p>
    <w:p w14:paraId="0891455E" w14:textId="77777777" w:rsidR="0075717E" w:rsidRDefault="0075717E" w:rsidP="0075717E">
      <w:pPr>
        <w:jc w:val="both"/>
        <w:rPr>
          <w:rFonts w:ascii="Arial" w:hAnsi="Arial" w:cs="Arial"/>
          <w:sz w:val="18"/>
          <w:szCs w:val="18"/>
        </w:rPr>
      </w:pPr>
      <w:r>
        <w:rPr>
          <w:rFonts w:ascii="Arial" w:hAnsi="Arial" w:cs="Arial"/>
          <w:sz w:val="18"/>
          <w:szCs w:val="18"/>
        </w:rPr>
        <w:t xml:space="preserve">Del mes de enero al mes de septiembre, se brindó orientación a 1,799 personas interesadas en obtener un crédito, recibiéndose 1,415 solicitudes, otorgándose 1,308 créditos, con una inversión de 38.9 MDP, </w:t>
      </w:r>
      <w:r w:rsidRPr="00E339ED">
        <w:rPr>
          <w:rFonts w:ascii="Arial" w:hAnsi="Arial" w:cs="Arial"/>
          <w:sz w:val="18"/>
          <w:szCs w:val="18"/>
        </w:rPr>
        <w:t xml:space="preserve">que beneficiaron </w:t>
      </w:r>
      <w:r>
        <w:rPr>
          <w:rFonts w:ascii="Arial" w:hAnsi="Arial" w:cs="Arial"/>
          <w:sz w:val="18"/>
          <w:szCs w:val="18"/>
        </w:rPr>
        <w:t xml:space="preserve">a 2,093 familias. Lo anterior aprobado en 34 sesiones ordinarias del Comité de Crédito Interno de este Organismo. </w:t>
      </w:r>
    </w:p>
    <w:p w14:paraId="481EE62A" w14:textId="77777777" w:rsidR="0075717E" w:rsidRDefault="0075717E" w:rsidP="0075717E">
      <w:pPr>
        <w:jc w:val="both"/>
        <w:rPr>
          <w:rFonts w:ascii="Arial" w:hAnsi="Arial" w:cs="Arial"/>
          <w:sz w:val="18"/>
          <w:szCs w:val="18"/>
        </w:rPr>
      </w:pPr>
      <w:r>
        <w:rPr>
          <w:rFonts w:ascii="Arial" w:hAnsi="Arial" w:cs="Arial"/>
          <w:sz w:val="18"/>
          <w:szCs w:val="18"/>
        </w:rPr>
        <w:t xml:space="preserve">Del total de créditos, 499 corresponden al Programa “Mujer </w:t>
      </w:r>
      <w:proofErr w:type="spellStart"/>
      <w:r>
        <w:rPr>
          <w:rFonts w:ascii="Arial" w:hAnsi="Arial" w:cs="Arial"/>
          <w:sz w:val="18"/>
          <w:szCs w:val="18"/>
        </w:rPr>
        <w:t>Fomtlax</w:t>
      </w:r>
      <w:proofErr w:type="spellEnd"/>
      <w:r>
        <w:rPr>
          <w:rFonts w:ascii="Arial" w:hAnsi="Arial" w:cs="Arial"/>
          <w:sz w:val="18"/>
          <w:szCs w:val="18"/>
        </w:rPr>
        <w:t>”, en beneficio de igual número de mujeres, por un monto total de 5.8</w:t>
      </w:r>
      <w:r w:rsidRPr="0036328C">
        <w:rPr>
          <w:rFonts w:ascii="Arial" w:hAnsi="Arial" w:cs="Arial"/>
          <w:sz w:val="18"/>
          <w:szCs w:val="18"/>
        </w:rPr>
        <w:t xml:space="preserve"> MDP</w:t>
      </w:r>
      <w:r>
        <w:rPr>
          <w:rFonts w:ascii="Arial" w:hAnsi="Arial" w:cs="Arial"/>
          <w:sz w:val="18"/>
          <w:szCs w:val="18"/>
        </w:rPr>
        <w:t>.</w:t>
      </w:r>
    </w:p>
    <w:p w14:paraId="6470A9E1" w14:textId="77777777" w:rsidR="0075717E" w:rsidRDefault="0075717E" w:rsidP="0075717E">
      <w:pPr>
        <w:jc w:val="both"/>
        <w:rPr>
          <w:rFonts w:ascii="Arial" w:hAnsi="Arial" w:cs="Arial"/>
          <w:sz w:val="18"/>
          <w:szCs w:val="18"/>
        </w:rPr>
      </w:pPr>
      <w:r>
        <w:rPr>
          <w:rFonts w:ascii="Arial" w:hAnsi="Arial" w:cs="Arial"/>
          <w:sz w:val="18"/>
          <w:szCs w:val="18"/>
        </w:rPr>
        <w:t xml:space="preserve">En el mes de enero se puso en operación el Programa </w:t>
      </w:r>
      <w:proofErr w:type="spellStart"/>
      <w:r>
        <w:rPr>
          <w:rFonts w:ascii="Arial" w:hAnsi="Arial" w:cs="Arial"/>
          <w:sz w:val="18"/>
          <w:szCs w:val="18"/>
        </w:rPr>
        <w:t>Microtandas</w:t>
      </w:r>
      <w:proofErr w:type="spellEnd"/>
      <w:r>
        <w:rPr>
          <w:rFonts w:ascii="Arial" w:hAnsi="Arial" w:cs="Arial"/>
          <w:sz w:val="18"/>
          <w:szCs w:val="18"/>
        </w:rPr>
        <w:t xml:space="preserve"> “FOMTLAX”, que tiene como objetivo el otorgamiento de microcréditos a pequeños negocios o actividades productivas de los sectores comercial, industrial y de servicios, con una tasa de interés anual del 6%, con un crédito inicial de 5 mil, segundo ciclo 10 mil y tercer ciclo 15 mil pesos.  </w:t>
      </w:r>
    </w:p>
    <w:p w14:paraId="513207A9" w14:textId="77777777" w:rsidR="0075717E" w:rsidRDefault="0075717E" w:rsidP="0075717E">
      <w:pPr>
        <w:suppressAutoHyphens/>
        <w:autoSpaceDE w:val="0"/>
        <w:autoSpaceDN w:val="0"/>
        <w:adjustRightInd w:val="0"/>
        <w:spacing w:after="0" w:line="240" w:lineRule="auto"/>
        <w:jc w:val="both"/>
        <w:rPr>
          <w:rFonts w:ascii="Arial" w:hAnsi="Arial" w:cs="Arial"/>
          <w:sz w:val="18"/>
          <w:szCs w:val="18"/>
        </w:rPr>
      </w:pPr>
      <w:r w:rsidRPr="001E36AD">
        <w:rPr>
          <w:rFonts w:ascii="Arial" w:hAnsi="Arial" w:cs="Arial"/>
          <w:sz w:val="18"/>
          <w:szCs w:val="18"/>
        </w:rPr>
        <w:t xml:space="preserve">Se llevaron a cabo pláticas de promoción </w:t>
      </w:r>
      <w:r>
        <w:rPr>
          <w:rFonts w:ascii="Arial" w:hAnsi="Arial" w:cs="Arial"/>
          <w:sz w:val="18"/>
          <w:szCs w:val="18"/>
        </w:rPr>
        <w:t>de</w:t>
      </w:r>
      <w:r w:rsidRPr="001E36AD">
        <w:rPr>
          <w:rFonts w:ascii="Arial" w:hAnsi="Arial" w:cs="Arial"/>
          <w:sz w:val="18"/>
          <w:szCs w:val="18"/>
        </w:rPr>
        <w:t>l “Programa</w:t>
      </w:r>
      <w:r>
        <w:rPr>
          <w:rFonts w:ascii="Arial" w:hAnsi="Arial" w:cs="Arial"/>
          <w:sz w:val="18"/>
          <w:szCs w:val="18"/>
        </w:rPr>
        <w:t xml:space="preserve"> de Créditos para Unidades</w:t>
      </w:r>
      <w:r w:rsidRPr="001E36AD">
        <w:rPr>
          <w:rFonts w:ascii="Arial" w:hAnsi="Arial" w:cs="Arial"/>
          <w:sz w:val="18"/>
          <w:szCs w:val="18"/>
        </w:rPr>
        <w:t xml:space="preserve"> Productiv</w:t>
      </w:r>
      <w:r>
        <w:rPr>
          <w:rFonts w:ascii="Arial" w:hAnsi="Arial" w:cs="Arial"/>
          <w:sz w:val="18"/>
          <w:szCs w:val="18"/>
        </w:rPr>
        <w:t>a</w:t>
      </w:r>
      <w:r w:rsidRPr="001E36AD">
        <w:rPr>
          <w:rFonts w:ascii="Arial" w:hAnsi="Arial" w:cs="Arial"/>
          <w:sz w:val="18"/>
          <w:szCs w:val="18"/>
        </w:rPr>
        <w:t>s” en los municipios de:</w:t>
      </w:r>
      <w:r>
        <w:rPr>
          <w:rFonts w:ascii="Arial" w:hAnsi="Arial" w:cs="Arial"/>
          <w:sz w:val="18"/>
          <w:szCs w:val="18"/>
        </w:rPr>
        <w:t xml:space="preserve"> Nanacamilpa de Mariano Arista, Xaloztoc, San José Teacalco, Tepeyanco, Xaltocan, San Pablo del Monte, </w:t>
      </w:r>
      <w:proofErr w:type="spellStart"/>
      <w:r>
        <w:rPr>
          <w:rFonts w:ascii="Arial" w:hAnsi="Arial" w:cs="Arial"/>
          <w:sz w:val="18"/>
          <w:szCs w:val="18"/>
        </w:rPr>
        <w:t>Acuamanala</w:t>
      </w:r>
      <w:proofErr w:type="spellEnd"/>
      <w:r>
        <w:rPr>
          <w:rFonts w:ascii="Arial" w:hAnsi="Arial" w:cs="Arial"/>
          <w:sz w:val="18"/>
          <w:szCs w:val="18"/>
        </w:rPr>
        <w:t xml:space="preserve"> de Miguel Hidalgo,</w:t>
      </w:r>
      <w:r w:rsidRPr="001E36AD">
        <w:rPr>
          <w:rFonts w:ascii="Arial" w:hAnsi="Arial" w:cs="Arial"/>
          <w:sz w:val="18"/>
          <w:szCs w:val="18"/>
        </w:rPr>
        <w:t xml:space="preserve"> </w:t>
      </w:r>
      <w:r>
        <w:rPr>
          <w:rFonts w:ascii="Arial" w:hAnsi="Arial" w:cs="Arial"/>
          <w:sz w:val="18"/>
          <w:szCs w:val="18"/>
        </w:rPr>
        <w:t xml:space="preserve">Ixtenco, Sanctórum de Lázaro Cárdenas, San Francisco Tetlanohcan, Calpulalpan, Apetatitlán de Antonio Carvajal, Zacatelco, Ixtacuixtla de Mariano Matamoros, La Magdalena Tlaltelulco, Apizaco, Tepetitla de Lardizábal, Tlaxcala, Chiautempan, El Carmen Tequexquitla, Amaxac de Guerrero, </w:t>
      </w:r>
      <w:proofErr w:type="spellStart"/>
      <w:r>
        <w:rPr>
          <w:rFonts w:ascii="Arial" w:hAnsi="Arial" w:cs="Arial"/>
          <w:sz w:val="18"/>
          <w:szCs w:val="18"/>
        </w:rPr>
        <w:t>Xicohtzinco</w:t>
      </w:r>
      <w:proofErr w:type="spellEnd"/>
      <w:r>
        <w:rPr>
          <w:rFonts w:ascii="Arial" w:hAnsi="Arial" w:cs="Arial"/>
          <w:sz w:val="18"/>
          <w:szCs w:val="18"/>
        </w:rPr>
        <w:t xml:space="preserve">, Huamantla, Tlaxco, Santa Cruz Tlaxcala, Contla de Juan Cuamatzi, Nativitas, Hueyotlipan, </w:t>
      </w:r>
      <w:proofErr w:type="spellStart"/>
      <w:r>
        <w:rPr>
          <w:rFonts w:ascii="Arial" w:hAnsi="Arial" w:cs="Arial"/>
          <w:sz w:val="18"/>
          <w:szCs w:val="18"/>
        </w:rPr>
        <w:t>Yauhquemehcan</w:t>
      </w:r>
      <w:proofErr w:type="spellEnd"/>
      <w:r>
        <w:rPr>
          <w:rFonts w:ascii="Arial" w:hAnsi="Arial" w:cs="Arial"/>
          <w:sz w:val="18"/>
          <w:szCs w:val="18"/>
        </w:rPr>
        <w:t xml:space="preserve">, Papalotla de Xicohténcatl, Benito Juárez y Teolocholco, </w:t>
      </w:r>
      <w:r w:rsidRPr="001E36AD">
        <w:rPr>
          <w:rFonts w:ascii="Arial" w:hAnsi="Arial" w:cs="Arial"/>
          <w:sz w:val="18"/>
          <w:szCs w:val="18"/>
        </w:rPr>
        <w:t xml:space="preserve">brindando atención a </w:t>
      </w:r>
      <w:r>
        <w:rPr>
          <w:rFonts w:ascii="Arial" w:hAnsi="Arial" w:cs="Arial"/>
          <w:sz w:val="18"/>
          <w:szCs w:val="18"/>
        </w:rPr>
        <w:t xml:space="preserve">1,158 </w:t>
      </w:r>
      <w:r w:rsidRPr="001E36AD">
        <w:rPr>
          <w:rFonts w:ascii="Arial" w:hAnsi="Arial" w:cs="Arial"/>
          <w:sz w:val="18"/>
          <w:szCs w:val="18"/>
        </w:rPr>
        <w:t>personas.</w:t>
      </w:r>
    </w:p>
    <w:p w14:paraId="075CBFF4" w14:textId="77777777" w:rsidR="0075717E" w:rsidRDefault="0075717E" w:rsidP="0075717E">
      <w:pPr>
        <w:pStyle w:val="Prrafodelista"/>
        <w:suppressAutoHyphens/>
        <w:autoSpaceDE w:val="0"/>
        <w:autoSpaceDN w:val="0"/>
        <w:adjustRightInd w:val="0"/>
        <w:spacing w:after="0" w:line="240" w:lineRule="auto"/>
        <w:ind w:left="0"/>
        <w:jc w:val="both"/>
        <w:rPr>
          <w:rFonts w:ascii="Arial" w:hAnsi="Arial" w:cs="Arial"/>
          <w:sz w:val="18"/>
          <w:szCs w:val="18"/>
        </w:rPr>
      </w:pPr>
    </w:p>
    <w:p w14:paraId="0C3CBA27" w14:textId="77777777" w:rsidR="0075717E" w:rsidRDefault="0075717E" w:rsidP="0075717E">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Cabe mencionar la participación del “FOMTLAX” en los siguientes eventos: “Jornadas de Información y Servicios en el marco para atender la alerta de violencia de género contra las mujeres para el Estado de Tlaxcala” (Secretaría de Gobierno-IEM), “Prevenir es más fácil” (IEM); “Jornadas juventudes Cercanas y Actividades”, “Mercado Joven” (ITJ), “Feria de Servicios y Salud” (Organización Fuerza Izquierda Progresista); Foro de Orientación y Emprendimiento para alumnos egresados (ICATLAX); “Semana Laboral (</w:t>
      </w:r>
      <w:proofErr w:type="spellStart"/>
      <w:r>
        <w:rPr>
          <w:rFonts w:ascii="Arial" w:hAnsi="Arial" w:cs="Arial"/>
          <w:sz w:val="18"/>
          <w:szCs w:val="18"/>
        </w:rPr>
        <w:t>STyC</w:t>
      </w:r>
      <w:proofErr w:type="spellEnd"/>
      <w:r>
        <w:rPr>
          <w:rFonts w:ascii="Arial" w:hAnsi="Arial" w:cs="Arial"/>
          <w:sz w:val="18"/>
          <w:szCs w:val="18"/>
        </w:rPr>
        <w:t>); Primera Feria de Financiamiento para el Sector Agropecuario (SIA); 1er. Foro Situación actual y perspectivas de la cadena de valor del amaranto en el Estado de Tlaxcala (SIA) y Foro de Proveeduría y Crédito 2023 (SEDECO), “</w:t>
      </w:r>
      <w:proofErr w:type="spellStart"/>
      <w:r>
        <w:rPr>
          <w:rFonts w:ascii="Arial" w:hAnsi="Arial" w:cs="Arial"/>
          <w:sz w:val="18"/>
          <w:szCs w:val="18"/>
        </w:rPr>
        <w:t>STyC</w:t>
      </w:r>
      <w:proofErr w:type="spellEnd"/>
      <w:r>
        <w:rPr>
          <w:rFonts w:ascii="Arial" w:hAnsi="Arial" w:cs="Arial"/>
          <w:sz w:val="18"/>
          <w:szCs w:val="18"/>
        </w:rPr>
        <w:t xml:space="preserve"> en tu Municipio” (</w:t>
      </w:r>
      <w:proofErr w:type="spellStart"/>
      <w:r>
        <w:rPr>
          <w:rFonts w:ascii="Arial" w:hAnsi="Arial" w:cs="Arial"/>
          <w:sz w:val="18"/>
          <w:szCs w:val="18"/>
        </w:rPr>
        <w:t>STyC</w:t>
      </w:r>
      <w:proofErr w:type="spellEnd"/>
      <w:r>
        <w:rPr>
          <w:rFonts w:ascii="Arial" w:hAnsi="Arial" w:cs="Arial"/>
          <w:sz w:val="18"/>
          <w:szCs w:val="18"/>
        </w:rPr>
        <w:t>).</w:t>
      </w:r>
    </w:p>
    <w:p w14:paraId="10BE1ABA" w14:textId="77777777" w:rsidR="0075717E" w:rsidRDefault="0075717E" w:rsidP="0075717E">
      <w:pPr>
        <w:pStyle w:val="Prrafodelista"/>
        <w:suppressAutoHyphens/>
        <w:autoSpaceDE w:val="0"/>
        <w:autoSpaceDN w:val="0"/>
        <w:adjustRightInd w:val="0"/>
        <w:spacing w:after="0" w:line="240" w:lineRule="auto"/>
        <w:ind w:left="0"/>
        <w:jc w:val="both"/>
        <w:rPr>
          <w:rFonts w:ascii="Arial" w:hAnsi="Arial" w:cs="Arial"/>
          <w:sz w:val="18"/>
          <w:szCs w:val="18"/>
        </w:rPr>
      </w:pPr>
    </w:p>
    <w:p w14:paraId="6813F9A8" w14:textId="77777777" w:rsidR="0075717E" w:rsidRPr="001E36AD" w:rsidRDefault="0075717E" w:rsidP="0075717E">
      <w:pPr>
        <w:pStyle w:val="Prrafodelista"/>
        <w:suppressAutoHyphens/>
        <w:autoSpaceDE w:val="0"/>
        <w:autoSpaceDN w:val="0"/>
        <w:adjustRightInd w:val="0"/>
        <w:spacing w:after="0" w:line="240" w:lineRule="auto"/>
        <w:ind w:left="0"/>
        <w:jc w:val="both"/>
        <w:rPr>
          <w:rFonts w:ascii="Arial" w:hAnsi="Arial" w:cs="Arial"/>
          <w:sz w:val="18"/>
          <w:szCs w:val="18"/>
        </w:rPr>
      </w:pPr>
      <w:r>
        <w:rPr>
          <w:rFonts w:ascii="Arial" w:hAnsi="Arial" w:cs="Arial"/>
          <w:sz w:val="18"/>
          <w:szCs w:val="18"/>
        </w:rPr>
        <w:t xml:space="preserve">Se llevó a cabo la Primera Sesión del Consejo de Administración, en la cual el </w:t>
      </w:r>
      <w:proofErr w:type="gramStart"/>
      <w:r>
        <w:rPr>
          <w:rFonts w:ascii="Arial" w:hAnsi="Arial" w:cs="Arial"/>
          <w:sz w:val="18"/>
          <w:szCs w:val="18"/>
        </w:rPr>
        <w:t>Director General</w:t>
      </w:r>
      <w:proofErr w:type="gramEnd"/>
      <w:r>
        <w:rPr>
          <w:rFonts w:ascii="Arial" w:hAnsi="Arial" w:cs="Arial"/>
          <w:sz w:val="18"/>
          <w:szCs w:val="18"/>
        </w:rPr>
        <w:t xml:space="preserve"> del “FOMTLAX”, presentó el Informe Anual de Actividades 2022, así como los estados financieros al cierre del ejercicio 2022 y el programa Operativo Anual 2023.</w:t>
      </w:r>
    </w:p>
    <w:p w14:paraId="615D82B0" w14:textId="77777777" w:rsidR="0075717E" w:rsidRDefault="0075717E" w:rsidP="0075717E">
      <w:pPr>
        <w:suppressAutoHyphens/>
        <w:autoSpaceDE w:val="0"/>
        <w:autoSpaceDN w:val="0"/>
        <w:adjustRightInd w:val="0"/>
        <w:spacing w:after="0" w:line="240" w:lineRule="auto"/>
        <w:jc w:val="both"/>
        <w:rPr>
          <w:rFonts w:ascii="Arial" w:hAnsi="Arial" w:cs="Arial"/>
          <w:sz w:val="18"/>
          <w:szCs w:val="18"/>
        </w:rPr>
      </w:pPr>
    </w:p>
    <w:p w14:paraId="5B6B7FEA" w14:textId="77777777" w:rsidR="0075717E" w:rsidRDefault="0075717E" w:rsidP="0075717E">
      <w:pPr>
        <w:pStyle w:val="Prrafodelista"/>
        <w:suppressAutoHyphens/>
        <w:autoSpaceDE w:val="0"/>
        <w:autoSpaceDN w:val="0"/>
        <w:adjustRightInd w:val="0"/>
        <w:spacing w:after="0" w:line="240" w:lineRule="auto"/>
        <w:ind w:left="0"/>
        <w:jc w:val="both"/>
        <w:rPr>
          <w:rFonts w:ascii="Arial" w:hAnsi="Arial" w:cs="Arial"/>
          <w:sz w:val="18"/>
          <w:szCs w:val="18"/>
        </w:rPr>
      </w:pPr>
      <w:r w:rsidRPr="00DF1D97">
        <w:rPr>
          <w:rFonts w:ascii="Arial" w:hAnsi="Arial" w:cs="Arial"/>
          <w:sz w:val="18"/>
          <w:szCs w:val="18"/>
        </w:rPr>
        <w:t xml:space="preserve">Se </w:t>
      </w:r>
      <w:r>
        <w:rPr>
          <w:rFonts w:ascii="Arial" w:hAnsi="Arial" w:cs="Arial"/>
          <w:sz w:val="18"/>
          <w:szCs w:val="18"/>
        </w:rPr>
        <w:t>llevaron a cabo tres sesiones ordinarias</w:t>
      </w:r>
      <w:r w:rsidRPr="00DF1D97">
        <w:rPr>
          <w:rFonts w:ascii="Arial" w:hAnsi="Arial" w:cs="Arial"/>
          <w:sz w:val="18"/>
          <w:szCs w:val="18"/>
        </w:rPr>
        <w:t xml:space="preserve"> del Comité de Control Interno del Fondo Macro para el Desarrollo Integral de Tlaxcala “FOMTLAX”, con el objetivo de analizar el estado que guarda la normatividad del “FOMTLAX”, </w:t>
      </w:r>
      <w:r>
        <w:rPr>
          <w:rFonts w:ascii="Arial" w:hAnsi="Arial" w:cs="Arial"/>
          <w:sz w:val="18"/>
          <w:szCs w:val="18"/>
        </w:rPr>
        <w:t xml:space="preserve">la conformación de los ocho comités internos (Administración de Riesgos, de Ética, de Igualdad de Género, de Auditorías, Grupo Interdisciplinario de Archivos, de Tecnologías de la Información y el de Salud), </w:t>
      </w:r>
      <w:r w:rsidRPr="00DF1D97">
        <w:rPr>
          <w:rFonts w:ascii="Arial" w:hAnsi="Arial" w:cs="Arial"/>
          <w:sz w:val="18"/>
          <w:szCs w:val="18"/>
        </w:rPr>
        <w:t>así como el seguimiento de las actividades programadas</w:t>
      </w:r>
      <w:r>
        <w:rPr>
          <w:rFonts w:ascii="Arial" w:hAnsi="Arial" w:cs="Arial"/>
          <w:sz w:val="18"/>
          <w:szCs w:val="18"/>
        </w:rPr>
        <w:t xml:space="preserve"> por cada uno de los comités</w:t>
      </w:r>
      <w:r w:rsidRPr="00DF1D97">
        <w:rPr>
          <w:rFonts w:ascii="Arial" w:hAnsi="Arial" w:cs="Arial"/>
          <w:sz w:val="18"/>
          <w:szCs w:val="18"/>
        </w:rPr>
        <w:t xml:space="preserve"> para el ejercicio fiscal 202</w:t>
      </w:r>
      <w:r>
        <w:rPr>
          <w:rFonts w:ascii="Arial" w:hAnsi="Arial" w:cs="Arial"/>
          <w:sz w:val="18"/>
          <w:szCs w:val="18"/>
        </w:rPr>
        <w:t>3</w:t>
      </w:r>
      <w:r w:rsidRPr="00DF1D97">
        <w:rPr>
          <w:rFonts w:ascii="Arial" w:hAnsi="Arial" w:cs="Arial"/>
          <w:sz w:val="18"/>
          <w:szCs w:val="18"/>
        </w:rPr>
        <w:t>.</w:t>
      </w:r>
      <w:r>
        <w:rPr>
          <w:rFonts w:ascii="Arial" w:hAnsi="Arial" w:cs="Arial"/>
          <w:sz w:val="18"/>
          <w:szCs w:val="18"/>
        </w:rPr>
        <w:t xml:space="preserve"> </w:t>
      </w:r>
    </w:p>
    <w:p w14:paraId="46171604" w14:textId="77777777" w:rsidR="0075717E" w:rsidRDefault="0075717E" w:rsidP="0075717E">
      <w:pPr>
        <w:pStyle w:val="Prrafodelista"/>
        <w:suppressAutoHyphens/>
        <w:autoSpaceDE w:val="0"/>
        <w:autoSpaceDN w:val="0"/>
        <w:adjustRightInd w:val="0"/>
        <w:spacing w:after="0" w:line="240" w:lineRule="auto"/>
        <w:ind w:left="0"/>
        <w:jc w:val="both"/>
        <w:rPr>
          <w:rFonts w:ascii="Arial" w:hAnsi="Arial" w:cs="Arial"/>
          <w:sz w:val="18"/>
          <w:szCs w:val="18"/>
        </w:rPr>
      </w:pPr>
    </w:p>
    <w:p w14:paraId="7EB46167" w14:textId="77777777" w:rsidR="0075717E" w:rsidRDefault="0075717E" w:rsidP="0075717E">
      <w:pPr>
        <w:suppressAutoHyphens/>
        <w:autoSpaceDE w:val="0"/>
        <w:autoSpaceDN w:val="0"/>
        <w:adjustRightInd w:val="0"/>
        <w:spacing w:after="0" w:line="240" w:lineRule="auto"/>
        <w:jc w:val="both"/>
        <w:rPr>
          <w:rFonts w:ascii="Arial" w:hAnsi="Arial" w:cs="Arial"/>
          <w:sz w:val="18"/>
          <w:szCs w:val="18"/>
        </w:rPr>
      </w:pPr>
      <w:r w:rsidRPr="007A641B">
        <w:rPr>
          <w:rFonts w:ascii="Arial" w:hAnsi="Arial" w:cs="Arial"/>
          <w:sz w:val="18"/>
          <w:szCs w:val="18"/>
        </w:rPr>
        <w:t xml:space="preserve">Personal del “FOMTLAX” recibió </w:t>
      </w:r>
      <w:r>
        <w:rPr>
          <w:rFonts w:ascii="Arial" w:hAnsi="Arial" w:cs="Arial"/>
          <w:sz w:val="18"/>
          <w:szCs w:val="18"/>
        </w:rPr>
        <w:t>capacitación sobre los siguientes temas:</w:t>
      </w:r>
    </w:p>
    <w:p w14:paraId="6909B755" w14:textId="77777777" w:rsidR="0075717E" w:rsidRDefault="0075717E" w:rsidP="0075717E">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“Sistema Integral de Gestión Único Estatal” (SIGUE),</w:t>
      </w:r>
      <w:r w:rsidRPr="00BF6501">
        <w:rPr>
          <w:rFonts w:ascii="Arial" w:hAnsi="Arial" w:cs="Arial"/>
          <w:color w:val="000000"/>
          <w:shd w:val="clear" w:color="auto" w:fill="FDFDFD"/>
        </w:rPr>
        <w:t xml:space="preserve"> </w:t>
      </w:r>
      <w:r w:rsidRPr="00034ECF">
        <w:rPr>
          <w:rFonts w:ascii="Arial" w:hAnsi="Arial" w:cs="Arial"/>
          <w:sz w:val="18"/>
          <w:szCs w:val="18"/>
        </w:rPr>
        <w:t>SEP/USE</w:t>
      </w:r>
      <w:r>
        <w:rPr>
          <w:rFonts w:ascii="Arial" w:hAnsi="Arial" w:cs="Arial"/>
          <w:sz w:val="18"/>
          <w:szCs w:val="18"/>
        </w:rPr>
        <w:t>P</w:t>
      </w:r>
      <w:r w:rsidRPr="00034ECF">
        <w:rPr>
          <w:rFonts w:ascii="Arial" w:hAnsi="Arial" w:cs="Arial"/>
          <w:sz w:val="18"/>
          <w:szCs w:val="18"/>
        </w:rPr>
        <w:t xml:space="preserve"> y Despacho de la Gobernadora</w:t>
      </w:r>
      <w:r>
        <w:rPr>
          <w:rFonts w:ascii="Arial" w:hAnsi="Arial" w:cs="Arial"/>
          <w:sz w:val="18"/>
          <w:szCs w:val="18"/>
        </w:rPr>
        <w:t>.</w:t>
      </w:r>
    </w:p>
    <w:p w14:paraId="34CB2F17" w14:textId="77777777" w:rsidR="0075717E" w:rsidRDefault="0075717E" w:rsidP="0075717E">
      <w:pPr>
        <w:suppressAutoHyphens/>
        <w:autoSpaceDE w:val="0"/>
        <w:autoSpaceDN w:val="0"/>
        <w:adjustRightInd w:val="0"/>
        <w:spacing w:after="0" w:line="240" w:lineRule="auto"/>
        <w:jc w:val="both"/>
        <w:rPr>
          <w:rFonts w:ascii="Arial" w:hAnsi="Arial" w:cs="Arial"/>
          <w:sz w:val="18"/>
          <w:szCs w:val="18"/>
        </w:rPr>
      </w:pPr>
      <w:r w:rsidRPr="007A641B">
        <w:rPr>
          <w:rFonts w:ascii="Arial" w:hAnsi="Arial" w:cs="Arial"/>
          <w:sz w:val="18"/>
          <w:szCs w:val="18"/>
        </w:rPr>
        <w:t>“Anticorrupción para los servidores públicos”, Secretaría Ejecutiva del Sistema Anticorrupción del Estado de Tlaxcala.</w:t>
      </w:r>
    </w:p>
    <w:p w14:paraId="71DA5ED1" w14:textId="77777777" w:rsidR="0075717E" w:rsidRDefault="0075717E" w:rsidP="0075717E">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“Protección de datos personales”, “Clasificación y desclasificación del a información y elaboración de versiones de privacidad”, Instituto de Acceso a la Información Pública y Protección de Datos Personales del Estado de Tlaxcala (</w:t>
      </w:r>
      <w:proofErr w:type="spellStart"/>
      <w:r>
        <w:rPr>
          <w:rFonts w:ascii="Arial" w:hAnsi="Arial" w:cs="Arial"/>
          <w:sz w:val="18"/>
          <w:szCs w:val="18"/>
        </w:rPr>
        <w:t>Iaip</w:t>
      </w:r>
      <w:proofErr w:type="spellEnd"/>
      <w:r>
        <w:rPr>
          <w:rFonts w:ascii="Arial" w:hAnsi="Arial" w:cs="Arial"/>
          <w:sz w:val="18"/>
          <w:szCs w:val="18"/>
        </w:rPr>
        <w:t>).</w:t>
      </w:r>
    </w:p>
    <w:p w14:paraId="6174737B" w14:textId="77777777" w:rsidR="0075717E" w:rsidRDefault="0075717E" w:rsidP="0075717E">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“Archivonomía Gubernamental, Centro de Vinculación de Desarrollo Regional, Unidad Tlaxcala (IPN).   </w:t>
      </w:r>
    </w:p>
    <w:p w14:paraId="4B7F23C1" w14:textId="77777777" w:rsidR="0075717E" w:rsidRDefault="0075717E" w:rsidP="0075717E">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“Desarrollo de Habilidades Directivas”, </w:t>
      </w:r>
      <w:bookmarkStart w:id="0" w:name="_Hlk147150705"/>
      <w:r>
        <w:rPr>
          <w:rFonts w:ascii="Arial" w:hAnsi="Arial" w:cs="Arial"/>
          <w:sz w:val="18"/>
          <w:szCs w:val="18"/>
        </w:rPr>
        <w:t>Centro de Vinculación y Desarrollo Regional, Unidad Tlaxcala (IPN).</w:t>
      </w:r>
      <w:bookmarkEnd w:id="0"/>
    </w:p>
    <w:p w14:paraId="678B766E" w14:textId="77777777" w:rsidR="0075717E" w:rsidRDefault="0075717E" w:rsidP="0075717E">
      <w:pPr>
        <w:suppressAutoHyphens/>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“Calidad y calidez en el servicio, centrado en el desarrollo humano del personal”, Centro de Vinculación y Desarrollo Regional, Unidad Tlaxcala (IPN).  </w:t>
      </w:r>
    </w:p>
    <w:p w14:paraId="6C4B5990" w14:textId="77777777" w:rsidR="0075717E" w:rsidRDefault="0075717E" w:rsidP="0075717E">
      <w:pPr>
        <w:rPr>
          <w:rFonts w:ascii="Arial" w:hAnsi="Arial" w:cs="Arial"/>
          <w:sz w:val="18"/>
          <w:szCs w:val="18"/>
        </w:rPr>
      </w:pPr>
      <w:r>
        <w:rPr>
          <w:rFonts w:ascii="Arial" w:hAnsi="Arial" w:cs="Arial"/>
          <w:sz w:val="18"/>
          <w:szCs w:val="18"/>
        </w:rPr>
        <w:lastRenderedPageBreak/>
        <w:t xml:space="preserve"> </w:t>
      </w:r>
      <w:r>
        <w:rPr>
          <w:rFonts w:ascii="Arial" w:hAnsi="Arial" w:cs="Arial"/>
          <w:color w:val="000000"/>
        </w:rPr>
        <w:t>“</w:t>
      </w:r>
      <w:r w:rsidRPr="00CF4B3F">
        <w:rPr>
          <w:rFonts w:ascii="Arial" w:hAnsi="Arial" w:cs="Arial"/>
          <w:sz w:val="18"/>
          <w:szCs w:val="18"/>
        </w:rPr>
        <w:t>Comunicación Afectiva y Asertiva</w:t>
      </w:r>
      <w:r>
        <w:rPr>
          <w:rFonts w:ascii="Arial" w:hAnsi="Arial" w:cs="Arial"/>
          <w:sz w:val="18"/>
          <w:szCs w:val="18"/>
        </w:rPr>
        <w:t>”,</w:t>
      </w:r>
      <w:r w:rsidRPr="00CF4B3F">
        <w:rPr>
          <w:rFonts w:ascii="Arial" w:hAnsi="Arial" w:cs="Arial"/>
          <w:sz w:val="18"/>
          <w:szCs w:val="18"/>
        </w:rPr>
        <w:t xml:space="preserve"> </w:t>
      </w:r>
      <w:r>
        <w:rPr>
          <w:rFonts w:ascii="Arial" w:hAnsi="Arial" w:cs="Arial"/>
          <w:sz w:val="18"/>
          <w:szCs w:val="18"/>
        </w:rPr>
        <w:t>Centro de Vinculación y Desarrollo Regional, Unidad Tlaxcala (IPN).</w:t>
      </w:r>
      <w:r w:rsidRPr="00CF4B3F">
        <w:rPr>
          <w:rFonts w:ascii="Arial" w:hAnsi="Arial" w:cs="Arial"/>
          <w:sz w:val="18"/>
          <w:szCs w:val="18"/>
        </w:rPr>
        <w:br/>
      </w:r>
      <w:r>
        <w:rPr>
          <w:rFonts w:ascii="Arial" w:hAnsi="Arial" w:cs="Arial"/>
          <w:sz w:val="18"/>
          <w:szCs w:val="18"/>
        </w:rPr>
        <w:t>“</w:t>
      </w:r>
      <w:r w:rsidRPr="00CF4B3F">
        <w:rPr>
          <w:rFonts w:ascii="Arial" w:hAnsi="Arial" w:cs="Arial"/>
          <w:sz w:val="18"/>
          <w:szCs w:val="18"/>
        </w:rPr>
        <w:t>Brigadas de Protección Civil</w:t>
      </w:r>
      <w:r>
        <w:rPr>
          <w:rFonts w:ascii="Arial" w:hAnsi="Arial" w:cs="Arial"/>
          <w:sz w:val="18"/>
          <w:szCs w:val="18"/>
        </w:rPr>
        <w:t>”, Centro de Vinculación y Desarrollo Regional, Unidad Tlaxcala (IPN).</w:t>
      </w:r>
      <w:r w:rsidRPr="00CF4B3F">
        <w:rPr>
          <w:rFonts w:ascii="Arial" w:hAnsi="Arial" w:cs="Arial"/>
          <w:sz w:val="18"/>
          <w:szCs w:val="18"/>
        </w:rPr>
        <w:br/>
      </w:r>
      <w:r>
        <w:rPr>
          <w:rFonts w:ascii="Arial" w:hAnsi="Arial" w:cs="Arial"/>
          <w:sz w:val="18"/>
          <w:szCs w:val="18"/>
        </w:rPr>
        <w:t>“</w:t>
      </w:r>
      <w:r w:rsidRPr="00CF4B3F">
        <w:rPr>
          <w:rFonts w:ascii="Arial" w:hAnsi="Arial" w:cs="Arial"/>
          <w:sz w:val="18"/>
          <w:szCs w:val="18"/>
        </w:rPr>
        <w:t>Primeros Auxilios</w:t>
      </w:r>
      <w:r>
        <w:rPr>
          <w:rFonts w:ascii="Arial" w:hAnsi="Arial" w:cs="Arial"/>
          <w:sz w:val="18"/>
          <w:szCs w:val="18"/>
        </w:rPr>
        <w:t>”, Centro de Vinculación y Desarrollo Regional, Unidad Tlaxcala (IPN).</w:t>
      </w:r>
      <w:r w:rsidRPr="00CF4B3F">
        <w:rPr>
          <w:rFonts w:ascii="Arial" w:hAnsi="Arial" w:cs="Arial"/>
          <w:sz w:val="18"/>
          <w:szCs w:val="18"/>
        </w:rPr>
        <w:br/>
      </w:r>
      <w:r>
        <w:rPr>
          <w:rFonts w:ascii="Arial" w:hAnsi="Arial" w:cs="Arial"/>
          <w:sz w:val="18"/>
          <w:szCs w:val="18"/>
        </w:rPr>
        <w:t>“</w:t>
      </w:r>
      <w:r w:rsidRPr="00CF4B3F">
        <w:rPr>
          <w:rFonts w:ascii="Arial" w:hAnsi="Arial" w:cs="Arial"/>
          <w:sz w:val="18"/>
          <w:szCs w:val="18"/>
        </w:rPr>
        <w:t>Desarrollo de Habilidades Cognitivas</w:t>
      </w:r>
      <w:r>
        <w:rPr>
          <w:rFonts w:ascii="Arial" w:hAnsi="Arial" w:cs="Arial"/>
          <w:sz w:val="18"/>
          <w:szCs w:val="18"/>
        </w:rPr>
        <w:t>”, Centro de Vinculación y Desarrollo Regional, Unidad Tlaxcala (IPN).</w:t>
      </w:r>
      <w:r w:rsidRPr="00CF4B3F">
        <w:rPr>
          <w:rFonts w:ascii="Arial" w:hAnsi="Arial" w:cs="Arial"/>
          <w:sz w:val="18"/>
          <w:szCs w:val="18"/>
        </w:rPr>
        <w:br/>
      </w:r>
      <w:r>
        <w:rPr>
          <w:rFonts w:ascii="Arial" w:hAnsi="Arial" w:cs="Arial"/>
          <w:sz w:val="18"/>
          <w:szCs w:val="18"/>
        </w:rPr>
        <w:t>“</w:t>
      </w:r>
      <w:r w:rsidRPr="00CF4B3F">
        <w:rPr>
          <w:rFonts w:ascii="Arial" w:hAnsi="Arial" w:cs="Arial"/>
          <w:sz w:val="18"/>
          <w:szCs w:val="18"/>
        </w:rPr>
        <w:t>Primeros Auxilios Psicológicos</w:t>
      </w:r>
      <w:r>
        <w:rPr>
          <w:rFonts w:ascii="Arial" w:hAnsi="Arial" w:cs="Arial"/>
          <w:sz w:val="18"/>
          <w:szCs w:val="18"/>
        </w:rPr>
        <w:t>”, Centro de Vinculación y Desarrollo Regional, Unidad Tlaxcala (IPN).</w:t>
      </w:r>
      <w:r w:rsidRPr="00CF4B3F">
        <w:rPr>
          <w:rFonts w:ascii="Arial" w:hAnsi="Arial" w:cs="Arial"/>
          <w:sz w:val="18"/>
          <w:szCs w:val="18"/>
        </w:rPr>
        <w:br/>
      </w:r>
      <w:r>
        <w:rPr>
          <w:rFonts w:ascii="Arial" w:hAnsi="Arial" w:cs="Arial"/>
          <w:sz w:val="18"/>
          <w:szCs w:val="18"/>
        </w:rPr>
        <w:t>“</w:t>
      </w:r>
      <w:r w:rsidRPr="00CF4B3F">
        <w:rPr>
          <w:rFonts w:ascii="Arial" w:hAnsi="Arial" w:cs="Arial"/>
          <w:sz w:val="18"/>
          <w:szCs w:val="18"/>
        </w:rPr>
        <w:t>Elaboración de Actas Administrativas</w:t>
      </w:r>
      <w:r>
        <w:rPr>
          <w:rFonts w:ascii="Arial" w:hAnsi="Arial" w:cs="Arial"/>
          <w:sz w:val="18"/>
          <w:szCs w:val="18"/>
        </w:rPr>
        <w:t>”, Centro de Vinculación y Desarrollo Regional, Unidad Tlaxcala (IPN).</w:t>
      </w:r>
      <w:r w:rsidRPr="00CF4B3F">
        <w:rPr>
          <w:rFonts w:ascii="Arial" w:hAnsi="Arial" w:cs="Arial"/>
          <w:sz w:val="18"/>
          <w:szCs w:val="18"/>
        </w:rPr>
        <w:br/>
      </w:r>
      <w:r>
        <w:rPr>
          <w:rFonts w:ascii="Arial" w:hAnsi="Arial" w:cs="Arial"/>
          <w:sz w:val="18"/>
          <w:szCs w:val="18"/>
        </w:rPr>
        <w:t>“</w:t>
      </w:r>
      <w:r w:rsidRPr="00CF4B3F">
        <w:rPr>
          <w:rFonts w:ascii="Arial" w:hAnsi="Arial" w:cs="Arial"/>
          <w:sz w:val="18"/>
          <w:szCs w:val="18"/>
        </w:rPr>
        <w:t>Liderazgo</w:t>
      </w:r>
      <w:r>
        <w:rPr>
          <w:rFonts w:ascii="Arial" w:hAnsi="Arial" w:cs="Arial"/>
          <w:sz w:val="18"/>
          <w:szCs w:val="18"/>
        </w:rPr>
        <w:t>”, Centro de Vinculación y Desarrollo Regional, Unidad Tlaxcala (IPN).</w:t>
      </w:r>
    </w:p>
    <w:p w14:paraId="21B7CFF7" w14:textId="77777777" w:rsidR="0075717E" w:rsidRDefault="0075717E" w:rsidP="0075717E">
      <w:pPr>
        <w:shd w:val="clear" w:color="auto" w:fill="FFFFFF" w:themeFill="background1"/>
        <w:autoSpaceDE w:val="0"/>
        <w:autoSpaceDN w:val="0"/>
        <w:adjustRightInd w:val="0"/>
        <w:spacing w:after="0" w:line="240" w:lineRule="auto"/>
        <w:jc w:val="both"/>
        <w:rPr>
          <w:rFonts w:ascii="Arial" w:hAnsi="Arial" w:cs="Arial"/>
          <w:sz w:val="18"/>
          <w:szCs w:val="18"/>
        </w:rPr>
      </w:pPr>
      <w:r w:rsidRPr="00F47DAE">
        <w:rPr>
          <w:rFonts w:ascii="Arial" w:hAnsi="Arial" w:cs="Arial"/>
          <w:sz w:val="18"/>
          <w:szCs w:val="18"/>
        </w:rPr>
        <w:t>Por lo que refiere a la recuperación de la cartera, se continuó con las diversas acciones de tratamientos de cartera a solicitud de acreditados, se llevaron a cabo 3,</w:t>
      </w:r>
      <w:r>
        <w:rPr>
          <w:rFonts w:ascii="Arial" w:hAnsi="Arial" w:cs="Arial"/>
          <w:sz w:val="18"/>
          <w:szCs w:val="18"/>
        </w:rPr>
        <w:t>886</w:t>
      </w:r>
      <w:r w:rsidRPr="00F47DAE">
        <w:rPr>
          <w:rFonts w:ascii="Arial" w:hAnsi="Arial" w:cs="Arial"/>
          <w:sz w:val="18"/>
          <w:szCs w:val="18"/>
        </w:rPr>
        <w:t xml:space="preserve"> visitas domiciliarias para entrega de requerimientos de pago, se efectuaron 1</w:t>
      </w:r>
      <w:r>
        <w:rPr>
          <w:rFonts w:ascii="Arial" w:hAnsi="Arial" w:cs="Arial"/>
          <w:sz w:val="18"/>
          <w:szCs w:val="18"/>
        </w:rPr>
        <w:t>4,356</w:t>
      </w:r>
      <w:r w:rsidRPr="00F47DAE">
        <w:rPr>
          <w:rFonts w:ascii="Arial" w:hAnsi="Arial" w:cs="Arial"/>
          <w:sz w:val="18"/>
          <w:szCs w:val="18"/>
        </w:rPr>
        <w:t xml:space="preserve"> llamadas telefónicas y se enviaron 13,216 mensajes a celulares de recordatorio de pago. Del mes de enero al mes de septiembre se logró un monto de recuperación 36.2 MDP.</w:t>
      </w:r>
    </w:p>
    <w:p w14:paraId="102C1970" w14:textId="77777777" w:rsidR="006E1FB7" w:rsidRDefault="006E1FB7" w:rsidP="00F474E9">
      <w:pPr>
        <w:jc w:val="both"/>
        <w:rPr>
          <w:rFonts w:ascii="Arial" w:eastAsia="Calibri" w:hAnsi="Arial" w:cs="Arial"/>
          <w:sz w:val="18"/>
          <w:szCs w:val="18"/>
        </w:rPr>
      </w:pPr>
    </w:p>
    <w:p w14:paraId="5B115403" w14:textId="11D414BC" w:rsidR="00F474E9" w:rsidRDefault="00ED65D7" w:rsidP="00F474E9">
      <w:pPr>
        <w:jc w:val="both"/>
        <w:rPr>
          <w:rFonts w:ascii="Arial" w:hAnsi="Arial" w:cs="Arial"/>
          <w:sz w:val="18"/>
          <w:szCs w:val="18"/>
        </w:rPr>
      </w:pPr>
      <w:r w:rsidRPr="00B372A2">
        <w:rPr>
          <w:rFonts w:ascii="Arial" w:eastAsia="Calibri" w:hAnsi="Arial" w:cs="Arial"/>
          <w:sz w:val="18"/>
          <w:szCs w:val="18"/>
        </w:rPr>
        <w:t xml:space="preserve">En cumplimiento a la </w:t>
      </w:r>
      <w:r w:rsidRPr="00B372A2">
        <w:rPr>
          <w:rFonts w:ascii="Arial" w:eastAsia="Calibri" w:hAnsi="Arial" w:cs="Arial"/>
          <w:b/>
          <w:sz w:val="18"/>
          <w:szCs w:val="18"/>
        </w:rPr>
        <w:t>Ley General de Contabilidad Gubernamental</w:t>
      </w:r>
      <w:r w:rsidR="000454EA">
        <w:rPr>
          <w:rFonts w:ascii="Arial" w:eastAsia="Calibri" w:hAnsi="Arial" w:cs="Arial"/>
          <w:b/>
          <w:sz w:val="18"/>
          <w:szCs w:val="18"/>
        </w:rPr>
        <w:t>,</w:t>
      </w:r>
      <w:r w:rsidRPr="00B372A2">
        <w:rPr>
          <w:rFonts w:ascii="Arial" w:eastAsia="Calibri" w:hAnsi="Arial" w:cs="Arial"/>
          <w:sz w:val="18"/>
          <w:szCs w:val="18"/>
        </w:rPr>
        <w:t xml:space="preserve"> artículo 52 </w:t>
      </w:r>
      <w:r w:rsidR="000454EA">
        <w:rPr>
          <w:rFonts w:ascii="Arial" w:eastAsia="Calibri" w:hAnsi="Arial" w:cs="Arial"/>
          <w:sz w:val="18"/>
          <w:szCs w:val="18"/>
        </w:rPr>
        <w:t xml:space="preserve">que </w:t>
      </w:r>
      <w:r w:rsidRPr="00B372A2">
        <w:rPr>
          <w:rFonts w:ascii="Arial" w:eastAsia="Calibri" w:hAnsi="Arial" w:cs="Arial"/>
          <w:sz w:val="18"/>
          <w:szCs w:val="18"/>
        </w:rPr>
        <w:t>establece “</w:t>
      </w:r>
      <w:r w:rsidR="000454EA">
        <w:rPr>
          <w:rFonts w:ascii="Arial" w:eastAsia="Calibri" w:hAnsi="Arial" w:cs="Arial"/>
          <w:sz w:val="18"/>
          <w:szCs w:val="18"/>
        </w:rPr>
        <w:t>L</w:t>
      </w:r>
      <w:r w:rsidRPr="00B372A2">
        <w:rPr>
          <w:rFonts w:ascii="Arial" w:eastAsia="Calibri" w:hAnsi="Arial" w:cs="Arial"/>
          <w:sz w:val="18"/>
          <w:szCs w:val="18"/>
        </w:rPr>
        <w:t>os estados financieros y demás información presupuestaria, programática y contable que emanen de los registros de los entes públicos, serán la base para la emisión de informes periódicos y para la formulación de la cuenta pública anual</w:t>
      </w:r>
      <w:r w:rsidR="00B372A2" w:rsidRPr="00B372A2">
        <w:rPr>
          <w:rFonts w:ascii="Arial" w:eastAsia="Calibri" w:hAnsi="Arial" w:cs="Arial"/>
          <w:sz w:val="18"/>
          <w:szCs w:val="18"/>
        </w:rPr>
        <w:t xml:space="preserve">. </w:t>
      </w:r>
      <w:r w:rsidR="00B372A2" w:rsidRPr="00B372A2">
        <w:rPr>
          <w:rFonts w:ascii="Arial" w:hAnsi="Arial" w:cs="Arial"/>
          <w:sz w:val="18"/>
          <w:szCs w:val="18"/>
        </w:rPr>
        <w:t>Los entes públicos deberán elaborar los estados de conformidad con las disposiciones normativas y técnicas que emanen de esta Ley o que emita el consejo</w:t>
      </w:r>
      <w:r w:rsidR="00B372A2">
        <w:rPr>
          <w:rFonts w:ascii="Arial" w:hAnsi="Arial" w:cs="Arial"/>
          <w:sz w:val="18"/>
          <w:szCs w:val="18"/>
        </w:rPr>
        <w:t>…</w:t>
      </w:r>
      <w:r w:rsidRPr="00B372A2">
        <w:rPr>
          <w:rFonts w:ascii="Arial" w:eastAsia="Calibri" w:hAnsi="Arial" w:cs="Arial"/>
          <w:sz w:val="18"/>
          <w:szCs w:val="18"/>
        </w:rPr>
        <w:t xml:space="preserve">”, </w:t>
      </w:r>
      <w:r w:rsidR="00F474E9" w:rsidRPr="00B372A2">
        <w:rPr>
          <w:rFonts w:ascii="Arial" w:eastAsia="Calibri" w:hAnsi="Arial" w:cs="Arial"/>
          <w:sz w:val="18"/>
          <w:szCs w:val="18"/>
        </w:rPr>
        <w:t xml:space="preserve"> al </w:t>
      </w:r>
      <w:r w:rsidRPr="00B372A2">
        <w:rPr>
          <w:rFonts w:ascii="Arial" w:hAnsi="Arial" w:cs="Arial"/>
          <w:b/>
          <w:sz w:val="18"/>
          <w:szCs w:val="18"/>
        </w:rPr>
        <w:t xml:space="preserve">Acuerdo </w:t>
      </w:r>
      <w:r w:rsidR="00F474E9" w:rsidRPr="00B372A2">
        <w:rPr>
          <w:rFonts w:ascii="Arial" w:hAnsi="Arial" w:cs="Arial"/>
          <w:b/>
          <w:sz w:val="18"/>
          <w:szCs w:val="18"/>
        </w:rPr>
        <w:t>emitido por el Consejo Nacional de Armonización Contable</w:t>
      </w:r>
      <w:r w:rsidR="00F474E9" w:rsidRPr="00B372A2">
        <w:rPr>
          <w:rFonts w:ascii="Arial" w:hAnsi="Arial" w:cs="Arial"/>
          <w:sz w:val="18"/>
          <w:szCs w:val="18"/>
        </w:rPr>
        <w:t xml:space="preserve"> (CONAC) con fecha 30 de diciembre de 2013,  a través del cual</w:t>
      </w:r>
      <w:r w:rsidRPr="00B372A2">
        <w:rPr>
          <w:rFonts w:ascii="Arial" w:hAnsi="Arial" w:cs="Arial"/>
          <w:sz w:val="18"/>
          <w:szCs w:val="18"/>
        </w:rPr>
        <w:t xml:space="preserve"> se armoniza la estructura de las cuentas públicas, cuyo objeto es armonizar la estructura de la Cuenta Pública del Gobierno Federal, de las Entidades Federativas, de los Ayuntamientos de los Municipios y de los órganos político-administrativos de las demarcaciones territoriales por conducto del Gobierno del Distrito Federal, a que se refieren los artículos 53 y 55 de la Ley General de Contabilidad Gubernamental (LGCG)</w:t>
      </w:r>
      <w:r w:rsidR="00F474E9" w:rsidRPr="00B372A2">
        <w:rPr>
          <w:rFonts w:ascii="Arial" w:hAnsi="Arial" w:cs="Arial"/>
          <w:sz w:val="18"/>
          <w:szCs w:val="18"/>
        </w:rPr>
        <w:t xml:space="preserve">, </w:t>
      </w:r>
      <w:r w:rsidR="009E16FC" w:rsidRPr="00B372A2">
        <w:rPr>
          <w:rFonts w:ascii="Arial" w:hAnsi="Arial" w:cs="Arial"/>
          <w:sz w:val="18"/>
          <w:szCs w:val="18"/>
        </w:rPr>
        <w:t xml:space="preserve">y a la </w:t>
      </w:r>
      <w:r w:rsidR="009E16FC" w:rsidRPr="00B372A2">
        <w:rPr>
          <w:rFonts w:ascii="Arial" w:hAnsi="Arial" w:cs="Arial"/>
          <w:b/>
          <w:sz w:val="18"/>
          <w:szCs w:val="18"/>
        </w:rPr>
        <w:t>Ley de Disciplina Financiera</w:t>
      </w:r>
      <w:r w:rsidR="000454EA">
        <w:rPr>
          <w:rFonts w:ascii="Arial" w:hAnsi="Arial" w:cs="Arial"/>
          <w:b/>
          <w:sz w:val="18"/>
          <w:szCs w:val="18"/>
        </w:rPr>
        <w:t>,</w:t>
      </w:r>
      <w:r w:rsidR="009E16FC" w:rsidRPr="00B372A2">
        <w:rPr>
          <w:rFonts w:ascii="Arial" w:hAnsi="Arial" w:cs="Arial"/>
          <w:sz w:val="18"/>
          <w:szCs w:val="18"/>
        </w:rPr>
        <w:t xml:space="preserve"> artículo 58 </w:t>
      </w:r>
      <w:r w:rsidR="000454EA">
        <w:rPr>
          <w:rFonts w:ascii="Arial" w:hAnsi="Arial" w:cs="Arial"/>
          <w:sz w:val="18"/>
          <w:szCs w:val="18"/>
        </w:rPr>
        <w:t xml:space="preserve">que </w:t>
      </w:r>
      <w:r w:rsidR="009E16FC" w:rsidRPr="00B372A2">
        <w:rPr>
          <w:rFonts w:ascii="Arial" w:hAnsi="Arial" w:cs="Arial"/>
          <w:sz w:val="18"/>
          <w:szCs w:val="18"/>
        </w:rPr>
        <w:t>establece “Los Entes Públicos se sujetarán a la Ley General de Contabilidad Gubernamental para presentar la información financiera en los informes periódicos correspondientes y en su respectiva Cuenta Pública…” s</w:t>
      </w:r>
      <w:r w:rsidR="00F474E9" w:rsidRPr="00B372A2">
        <w:rPr>
          <w:rFonts w:ascii="Arial" w:hAnsi="Arial" w:cs="Arial"/>
          <w:sz w:val="18"/>
          <w:szCs w:val="18"/>
        </w:rPr>
        <w:t xml:space="preserve">e </w:t>
      </w:r>
      <w:r w:rsidR="000454EA">
        <w:rPr>
          <w:rFonts w:ascii="Arial" w:hAnsi="Arial" w:cs="Arial"/>
          <w:sz w:val="18"/>
          <w:szCs w:val="18"/>
        </w:rPr>
        <w:t>presenta</w:t>
      </w:r>
      <w:r w:rsidR="00F474E9" w:rsidRPr="00B372A2">
        <w:rPr>
          <w:rFonts w:ascii="Arial" w:hAnsi="Arial" w:cs="Arial"/>
          <w:sz w:val="18"/>
          <w:szCs w:val="18"/>
        </w:rPr>
        <w:t xml:space="preserve"> la </w:t>
      </w:r>
      <w:r w:rsidR="00F474E9" w:rsidRPr="00B372A2">
        <w:rPr>
          <w:rFonts w:ascii="Arial" w:hAnsi="Arial" w:cs="Arial"/>
          <w:b/>
          <w:sz w:val="18"/>
          <w:szCs w:val="18"/>
        </w:rPr>
        <w:t>Cuenta Pública</w:t>
      </w:r>
      <w:r w:rsidR="00F474E9" w:rsidRPr="00B372A2">
        <w:rPr>
          <w:rFonts w:ascii="Arial" w:hAnsi="Arial" w:cs="Arial"/>
          <w:sz w:val="18"/>
          <w:szCs w:val="18"/>
        </w:rPr>
        <w:t xml:space="preserve"> </w:t>
      </w:r>
      <w:r w:rsidR="000454EA">
        <w:rPr>
          <w:rFonts w:ascii="Arial" w:hAnsi="Arial" w:cs="Arial"/>
          <w:sz w:val="18"/>
          <w:szCs w:val="18"/>
        </w:rPr>
        <w:t xml:space="preserve">de este </w:t>
      </w:r>
      <w:r w:rsidR="000454EA" w:rsidRPr="000454EA">
        <w:rPr>
          <w:rFonts w:ascii="Arial" w:hAnsi="Arial" w:cs="Arial"/>
          <w:b/>
          <w:sz w:val="18"/>
          <w:szCs w:val="18"/>
        </w:rPr>
        <w:t>Fondo</w:t>
      </w:r>
      <w:r w:rsidR="000454EA">
        <w:rPr>
          <w:rFonts w:ascii="Arial" w:hAnsi="Arial" w:cs="Arial"/>
          <w:sz w:val="18"/>
          <w:szCs w:val="18"/>
        </w:rPr>
        <w:t xml:space="preserve">, </w:t>
      </w:r>
      <w:r w:rsidR="00F474E9" w:rsidRPr="00B372A2">
        <w:rPr>
          <w:rFonts w:ascii="Arial" w:hAnsi="Arial" w:cs="Arial"/>
          <w:sz w:val="18"/>
          <w:szCs w:val="18"/>
        </w:rPr>
        <w:t>conforme a lo</w:t>
      </w:r>
      <w:r w:rsidR="000454EA">
        <w:rPr>
          <w:rFonts w:ascii="Arial" w:hAnsi="Arial" w:cs="Arial"/>
          <w:sz w:val="18"/>
          <w:szCs w:val="18"/>
        </w:rPr>
        <w:t>s</w:t>
      </w:r>
      <w:r w:rsidR="00F474E9" w:rsidRPr="00B372A2">
        <w:rPr>
          <w:rFonts w:ascii="Arial" w:hAnsi="Arial" w:cs="Arial"/>
          <w:sz w:val="18"/>
          <w:szCs w:val="18"/>
        </w:rPr>
        <w:t xml:space="preserve"> siguiente</w:t>
      </w:r>
      <w:r w:rsidR="000454EA">
        <w:rPr>
          <w:rFonts w:ascii="Arial" w:hAnsi="Arial" w:cs="Arial"/>
          <w:sz w:val="18"/>
          <w:szCs w:val="18"/>
        </w:rPr>
        <w:t>s apartados</w:t>
      </w:r>
      <w:r w:rsidR="00F474E9" w:rsidRPr="00B372A2">
        <w:rPr>
          <w:rFonts w:ascii="Arial" w:hAnsi="Arial" w:cs="Arial"/>
          <w:sz w:val="18"/>
          <w:szCs w:val="18"/>
        </w:rPr>
        <w:t>:</w:t>
      </w:r>
    </w:p>
    <w:p w14:paraId="6C070C25" w14:textId="77777777" w:rsidR="00A71207" w:rsidRDefault="00A71207" w:rsidP="00F474E9">
      <w:pPr>
        <w:jc w:val="both"/>
        <w:rPr>
          <w:rFonts w:ascii="Arial" w:hAnsi="Arial" w:cs="Arial"/>
          <w:sz w:val="18"/>
          <w:szCs w:val="18"/>
        </w:rPr>
      </w:pPr>
    </w:p>
    <w:p w14:paraId="42D0DFEA" w14:textId="33DC8413"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Introducción</w:t>
      </w:r>
    </w:p>
    <w:p w14:paraId="622AF244" w14:textId="63477179" w:rsidR="00AD791F" w:rsidRPr="00A71207" w:rsidRDefault="00AD791F" w:rsidP="00AD791F">
      <w:pPr>
        <w:pStyle w:val="Prrafodelista"/>
        <w:spacing w:line="360" w:lineRule="auto"/>
        <w:jc w:val="both"/>
        <w:rPr>
          <w:rFonts w:ascii="Arial" w:hAnsi="Arial" w:cs="Arial"/>
          <w:b/>
          <w:sz w:val="17"/>
          <w:szCs w:val="17"/>
        </w:rPr>
      </w:pPr>
    </w:p>
    <w:p w14:paraId="249D07E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Contable</w:t>
      </w:r>
    </w:p>
    <w:p w14:paraId="3743E8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Actividades</w:t>
      </w:r>
    </w:p>
    <w:p w14:paraId="4346E4CD"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Situación Financiera</w:t>
      </w:r>
    </w:p>
    <w:p w14:paraId="11C46EA2"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Cambios en la Situación Financiera</w:t>
      </w:r>
    </w:p>
    <w:p w14:paraId="37D4EE61"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del Activo</w:t>
      </w:r>
    </w:p>
    <w:p w14:paraId="7EC9DB8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Analítico de la Deuda y Otros Pasivos</w:t>
      </w:r>
    </w:p>
    <w:p w14:paraId="20F881AC"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Variación de la Hacienda Pública</w:t>
      </w:r>
    </w:p>
    <w:p w14:paraId="7893680A" w14:textId="77777777" w:rsidR="00AD791F" w:rsidRPr="00A71207" w:rsidRDefault="00AD791F" w:rsidP="00AD791F">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Estado de Flujos de Efectivo</w:t>
      </w:r>
    </w:p>
    <w:p w14:paraId="4A0B4F8D"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Informe de Pasivos Contingentes</w:t>
      </w:r>
    </w:p>
    <w:p w14:paraId="2EF7C13F"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a los Estados Financieros</w:t>
      </w:r>
    </w:p>
    <w:p w14:paraId="71BD4C60"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lastRenderedPageBreak/>
        <w:t>Notas de Desglose</w:t>
      </w:r>
    </w:p>
    <w:p w14:paraId="0627EB73"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Memoria (cuentas de orden)</w:t>
      </w:r>
    </w:p>
    <w:p w14:paraId="448055E5" w14:textId="77777777" w:rsidR="00AD791F" w:rsidRPr="00A71207" w:rsidRDefault="00AD791F" w:rsidP="00042519">
      <w:pPr>
        <w:pStyle w:val="Prrafodelista"/>
        <w:numPr>
          <w:ilvl w:val="0"/>
          <w:numId w:val="6"/>
        </w:numPr>
        <w:spacing w:line="360" w:lineRule="auto"/>
        <w:jc w:val="both"/>
        <w:rPr>
          <w:rFonts w:ascii="Arial" w:hAnsi="Arial" w:cs="Arial"/>
          <w:b/>
          <w:sz w:val="17"/>
          <w:szCs w:val="17"/>
        </w:rPr>
      </w:pPr>
      <w:r w:rsidRPr="00A71207">
        <w:rPr>
          <w:rFonts w:ascii="Arial" w:hAnsi="Arial" w:cs="Arial"/>
          <w:sz w:val="17"/>
          <w:szCs w:val="17"/>
        </w:rPr>
        <w:t>Notas de Gestión Administrativa</w:t>
      </w:r>
    </w:p>
    <w:p w14:paraId="1FBE73DA" w14:textId="77777777" w:rsidR="006E1FB7" w:rsidRDefault="006E1FB7" w:rsidP="00AD791F">
      <w:pPr>
        <w:pStyle w:val="Prrafodelista"/>
        <w:spacing w:line="360" w:lineRule="auto"/>
        <w:ind w:left="1440"/>
        <w:jc w:val="both"/>
        <w:rPr>
          <w:rFonts w:ascii="Arial" w:hAnsi="Arial" w:cs="Arial"/>
          <w:b/>
          <w:sz w:val="17"/>
          <w:szCs w:val="17"/>
        </w:rPr>
      </w:pPr>
    </w:p>
    <w:p w14:paraId="6FE52BC1"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Presupuestaria</w:t>
      </w:r>
    </w:p>
    <w:p w14:paraId="45CC7F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 Ingresos (por rubro y por fuente de financiamiento)</w:t>
      </w:r>
    </w:p>
    <w:p w14:paraId="5146288D"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Presupuesto de Egresos Clasificación Administrativa</w:t>
      </w:r>
    </w:p>
    <w:p w14:paraId="0B8E8B62"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por Objeto del Gasto (capitulo y concepto)</w:t>
      </w:r>
    </w:p>
    <w:p w14:paraId="7685E020"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Económica (por tipo de gasto)</w:t>
      </w:r>
    </w:p>
    <w:p w14:paraId="08F42E4E"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Estado Analítico del Ejercicio del Presupuesto de Egresos Clasificación Funcional (Finalidad y Función)</w:t>
      </w:r>
    </w:p>
    <w:p w14:paraId="1AA1116C"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Endeudamiento Neto</w:t>
      </w:r>
    </w:p>
    <w:p w14:paraId="302620B8" w14:textId="77777777" w:rsidR="00AD791F" w:rsidRPr="00A71207" w:rsidRDefault="00AD791F" w:rsidP="00AD791F">
      <w:pPr>
        <w:pStyle w:val="Prrafodelista"/>
        <w:numPr>
          <w:ilvl w:val="0"/>
          <w:numId w:val="8"/>
        </w:numPr>
        <w:spacing w:line="360" w:lineRule="auto"/>
        <w:jc w:val="both"/>
        <w:rPr>
          <w:rFonts w:ascii="Arial" w:hAnsi="Arial" w:cs="Arial"/>
          <w:b/>
          <w:sz w:val="17"/>
          <w:szCs w:val="17"/>
        </w:rPr>
      </w:pPr>
      <w:r w:rsidRPr="00A71207">
        <w:rPr>
          <w:rFonts w:ascii="Arial" w:hAnsi="Arial" w:cs="Arial"/>
          <w:sz w:val="17"/>
          <w:szCs w:val="17"/>
        </w:rPr>
        <w:t>Intereses de Deuda</w:t>
      </w:r>
    </w:p>
    <w:p w14:paraId="41C20D6F" w14:textId="77777777" w:rsidR="00AD791F" w:rsidRPr="00A71207" w:rsidRDefault="00AD791F" w:rsidP="00AD791F">
      <w:pPr>
        <w:pStyle w:val="Prrafodelista"/>
        <w:numPr>
          <w:ilvl w:val="0"/>
          <w:numId w:val="8"/>
        </w:numPr>
        <w:spacing w:line="360" w:lineRule="auto"/>
        <w:jc w:val="both"/>
        <w:rPr>
          <w:rFonts w:ascii="Arial" w:hAnsi="Arial" w:cs="Arial"/>
          <w:sz w:val="17"/>
          <w:szCs w:val="17"/>
        </w:rPr>
      </w:pPr>
      <w:r w:rsidRPr="00A71207">
        <w:rPr>
          <w:rFonts w:ascii="Arial" w:hAnsi="Arial" w:cs="Arial"/>
          <w:sz w:val="17"/>
          <w:szCs w:val="17"/>
        </w:rPr>
        <w:t>Indicadores de Postura Fiscal</w:t>
      </w:r>
    </w:p>
    <w:p w14:paraId="3A7197E0" w14:textId="32DC37FB" w:rsidR="00A71207" w:rsidRDefault="00A71207" w:rsidP="00AD791F">
      <w:pPr>
        <w:pStyle w:val="Prrafodelista"/>
        <w:spacing w:line="360" w:lineRule="auto"/>
        <w:ind w:left="1080"/>
        <w:jc w:val="both"/>
        <w:rPr>
          <w:rFonts w:ascii="Arial" w:hAnsi="Arial" w:cs="Arial"/>
          <w:sz w:val="17"/>
          <w:szCs w:val="17"/>
        </w:rPr>
      </w:pPr>
    </w:p>
    <w:p w14:paraId="6ADED82E" w14:textId="77777777" w:rsidR="00AD791F" w:rsidRPr="00A71207" w:rsidRDefault="00AD791F" w:rsidP="00067787">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Información Programática</w:t>
      </w:r>
    </w:p>
    <w:p w14:paraId="0218550D"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Gastos por Categoría Programática</w:t>
      </w:r>
    </w:p>
    <w:p w14:paraId="7A837C68" w14:textId="77777777"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Programas y Proyectos de Inversión</w:t>
      </w:r>
    </w:p>
    <w:p w14:paraId="214893D4" w14:textId="75D49CF2" w:rsidR="00AD791F" w:rsidRPr="00A71207" w:rsidRDefault="00AD791F" w:rsidP="00042519">
      <w:pPr>
        <w:pStyle w:val="Prrafodelista"/>
        <w:numPr>
          <w:ilvl w:val="0"/>
          <w:numId w:val="9"/>
        </w:numPr>
        <w:tabs>
          <w:tab w:val="left" w:pos="1134"/>
        </w:tabs>
        <w:spacing w:line="360" w:lineRule="auto"/>
        <w:ind w:hanging="11"/>
        <w:jc w:val="both"/>
        <w:rPr>
          <w:rFonts w:ascii="Arial" w:hAnsi="Arial" w:cs="Arial"/>
          <w:b/>
          <w:sz w:val="17"/>
          <w:szCs w:val="17"/>
        </w:rPr>
      </w:pPr>
      <w:r w:rsidRPr="00A71207">
        <w:rPr>
          <w:rFonts w:ascii="Arial" w:hAnsi="Arial" w:cs="Arial"/>
          <w:sz w:val="17"/>
          <w:szCs w:val="17"/>
        </w:rPr>
        <w:t>Indicadores de Resultados</w:t>
      </w:r>
    </w:p>
    <w:p w14:paraId="7895E5A0" w14:textId="77777777" w:rsidR="00FF41A1" w:rsidRPr="00A71207" w:rsidRDefault="00FF41A1" w:rsidP="00FF41A1">
      <w:pPr>
        <w:pStyle w:val="Prrafodelista"/>
        <w:tabs>
          <w:tab w:val="left" w:pos="1134"/>
        </w:tabs>
        <w:spacing w:line="360" w:lineRule="auto"/>
        <w:jc w:val="both"/>
        <w:rPr>
          <w:rFonts w:ascii="Arial" w:hAnsi="Arial" w:cs="Arial"/>
          <w:b/>
          <w:sz w:val="17"/>
          <w:szCs w:val="17"/>
        </w:rPr>
      </w:pPr>
    </w:p>
    <w:p w14:paraId="77EFF290"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Anexos</w:t>
      </w:r>
    </w:p>
    <w:p w14:paraId="4B397586"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b/>
          <w:sz w:val="17"/>
          <w:szCs w:val="17"/>
        </w:rPr>
      </w:pPr>
      <w:r w:rsidRPr="00A71207">
        <w:rPr>
          <w:rFonts w:ascii="Arial" w:hAnsi="Arial" w:cs="Arial"/>
          <w:sz w:val="17"/>
          <w:szCs w:val="17"/>
        </w:rPr>
        <w:t>Relación de Bienes Muebles que Componen el Patrimonio</w:t>
      </w:r>
    </w:p>
    <w:p w14:paraId="765E6F37"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Bienes Inmuebles que Componen el Patrimonio</w:t>
      </w:r>
    </w:p>
    <w:p w14:paraId="1FDD9382" w14:textId="77777777" w:rsidR="00AD791F" w:rsidRPr="00A71207" w:rsidRDefault="00AD791F" w:rsidP="00B43C7F">
      <w:pPr>
        <w:pStyle w:val="Prrafodelista"/>
        <w:numPr>
          <w:ilvl w:val="0"/>
          <w:numId w:val="16"/>
        </w:numPr>
        <w:tabs>
          <w:tab w:val="left" w:pos="1134"/>
        </w:tabs>
        <w:spacing w:line="360" w:lineRule="auto"/>
        <w:jc w:val="both"/>
        <w:rPr>
          <w:rFonts w:ascii="Arial" w:hAnsi="Arial" w:cs="Arial"/>
          <w:sz w:val="17"/>
          <w:szCs w:val="17"/>
        </w:rPr>
      </w:pPr>
      <w:r w:rsidRPr="00A71207">
        <w:rPr>
          <w:rFonts w:ascii="Arial" w:hAnsi="Arial" w:cs="Arial"/>
          <w:sz w:val="17"/>
          <w:szCs w:val="17"/>
        </w:rPr>
        <w:t>Relación de Cuentas Bancarias Productivas Especificas</w:t>
      </w:r>
    </w:p>
    <w:p w14:paraId="246FD94D" w14:textId="77777777" w:rsidR="004137E3" w:rsidRPr="00A71207" w:rsidRDefault="00AD791F"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hAnsi="Arial" w:cs="Arial"/>
          <w:sz w:val="17"/>
          <w:szCs w:val="17"/>
        </w:rPr>
        <w:t>Relación de Esquemas Bursátiles y de Coberturas Financieras</w:t>
      </w:r>
    </w:p>
    <w:p w14:paraId="0698D022" w14:textId="3599756C" w:rsidR="00B43C7F" w:rsidRPr="00A71207" w:rsidRDefault="00067787"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Balanza de Comprobación. </w:t>
      </w:r>
    </w:p>
    <w:p w14:paraId="037CD7E4" w14:textId="09F55A1F" w:rsidR="004137E3" w:rsidRPr="00A71207" w:rsidRDefault="004137E3" w:rsidP="00A359E2">
      <w:pPr>
        <w:pStyle w:val="Prrafodelista"/>
        <w:numPr>
          <w:ilvl w:val="0"/>
          <w:numId w:val="16"/>
        </w:numPr>
        <w:tabs>
          <w:tab w:val="left" w:pos="1134"/>
        </w:tabs>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Auxiliares Contables</w:t>
      </w:r>
    </w:p>
    <w:p w14:paraId="2F755396" w14:textId="69AD801D"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Bancos</w:t>
      </w:r>
    </w:p>
    <w:p w14:paraId="431473EA" w14:textId="6BA77CDC"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Conciliaciones Bancarias</w:t>
      </w:r>
      <w:r w:rsidR="004137E3" w:rsidRPr="00A71207">
        <w:rPr>
          <w:rFonts w:ascii="Arial" w:eastAsia="Times New Roman" w:hAnsi="Arial" w:cs="Arial"/>
          <w:sz w:val="17"/>
          <w:szCs w:val="17"/>
        </w:rPr>
        <w:t xml:space="preserve"> y Estados de cuenta Bancaria</w:t>
      </w:r>
    </w:p>
    <w:p w14:paraId="6E6546FC" w14:textId="5616142A" w:rsidR="004137E3" w:rsidRPr="00A71207" w:rsidRDefault="004137E3" w:rsidP="004137E3">
      <w:pPr>
        <w:numPr>
          <w:ilvl w:val="0"/>
          <w:numId w:val="16"/>
        </w:numPr>
        <w:spacing w:after="0" w:line="360" w:lineRule="auto"/>
        <w:rPr>
          <w:rFonts w:ascii="Arial" w:eastAsia="Times New Roman" w:hAnsi="Arial" w:cs="Arial"/>
          <w:sz w:val="17"/>
          <w:szCs w:val="17"/>
        </w:rPr>
      </w:pPr>
      <w:bookmarkStart w:id="1" w:name="_Hlk36026404"/>
      <w:bookmarkStart w:id="2" w:name="_Hlk36027996"/>
      <w:r w:rsidRPr="00A71207">
        <w:rPr>
          <w:rFonts w:ascii="Arial" w:eastAsia="Times New Roman" w:hAnsi="Arial" w:cs="Arial"/>
          <w:sz w:val="17"/>
          <w:szCs w:val="17"/>
        </w:rPr>
        <w:t>Estado Presupuestario de Ingresos desagregado por concepto</w:t>
      </w:r>
      <w:bookmarkStart w:id="3" w:name="_Hlk107994875"/>
      <w:r w:rsidR="00380130">
        <w:rPr>
          <w:rFonts w:ascii="Arial" w:eastAsia="Times New Roman" w:hAnsi="Arial" w:cs="Arial"/>
          <w:sz w:val="17"/>
          <w:szCs w:val="17"/>
        </w:rPr>
        <w:t>. (Trimestral y acumulado)</w:t>
      </w:r>
    </w:p>
    <w:bookmarkEnd w:id="1"/>
    <w:bookmarkEnd w:id="3"/>
    <w:p w14:paraId="40BCBD37" w14:textId="1E5849BF" w:rsidR="004137E3" w:rsidRPr="00A71207" w:rsidRDefault="004137E3"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Estado Presupuestario de Egresos desagregado por partida, del periodo y acumulado</w:t>
      </w:r>
      <w:r w:rsidR="00380130">
        <w:rPr>
          <w:rFonts w:ascii="Arial" w:eastAsia="Times New Roman" w:hAnsi="Arial" w:cs="Arial"/>
          <w:sz w:val="17"/>
          <w:szCs w:val="17"/>
        </w:rPr>
        <w:t>. (Trimestral y acumulado)</w:t>
      </w:r>
    </w:p>
    <w:p w14:paraId="05E3266E" w14:textId="456C7D4F"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Avance del Programa Operativo Anual</w:t>
      </w:r>
    </w:p>
    <w:p w14:paraId="6E1007DA" w14:textId="566745EA" w:rsidR="004137E3" w:rsidRPr="00A71207" w:rsidRDefault="004137E3"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Inventario de Bienes Muebles, Inmuebles e Intangibles, clasificado y cuantificado</w:t>
      </w:r>
    </w:p>
    <w:p w14:paraId="3AE65CA4" w14:textId="75B27792" w:rsidR="00067787" w:rsidRPr="00A71207" w:rsidRDefault="00067787" w:rsidP="004137E3">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lastRenderedPageBreak/>
        <w:t>Relación de Ingresos Trimestral</w:t>
      </w:r>
      <w:r w:rsidR="00380130">
        <w:rPr>
          <w:rFonts w:ascii="Arial" w:eastAsia="Times New Roman" w:hAnsi="Arial" w:cs="Arial"/>
          <w:sz w:val="17"/>
          <w:szCs w:val="17"/>
        </w:rPr>
        <w:t xml:space="preserve"> y Acumulado</w:t>
      </w:r>
    </w:p>
    <w:p w14:paraId="327CD9CB" w14:textId="58E25057"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Relación de Egresos Trimestral</w:t>
      </w:r>
      <w:r w:rsidR="00380130">
        <w:rPr>
          <w:rFonts w:ascii="Arial" w:eastAsia="Times New Roman" w:hAnsi="Arial" w:cs="Arial"/>
          <w:sz w:val="17"/>
          <w:szCs w:val="17"/>
        </w:rPr>
        <w:t xml:space="preserve"> y Acumulado</w:t>
      </w:r>
    </w:p>
    <w:p w14:paraId="1BD1E286" w14:textId="7D410FD6" w:rsidR="00067787" w:rsidRPr="00A71207" w:rsidRDefault="00067787" w:rsidP="00B43C7F">
      <w:pPr>
        <w:numPr>
          <w:ilvl w:val="0"/>
          <w:numId w:val="16"/>
        </w:numPr>
        <w:spacing w:after="0" w:line="360" w:lineRule="auto"/>
        <w:rPr>
          <w:rFonts w:ascii="Arial" w:eastAsia="Times New Roman" w:hAnsi="Arial" w:cs="Arial"/>
          <w:sz w:val="17"/>
          <w:szCs w:val="17"/>
        </w:rPr>
      </w:pPr>
      <w:r w:rsidRPr="00A71207">
        <w:rPr>
          <w:rFonts w:ascii="Arial" w:eastAsia="Times New Roman" w:hAnsi="Arial" w:cs="Arial"/>
          <w:sz w:val="17"/>
          <w:szCs w:val="17"/>
        </w:rPr>
        <w:t>Plantilla de Personal</w:t>
      </w:r>
      <w:r w:rsidR="004137E3" w:rsidRPr="00A71207">
        <w:rPr>
          <w:rFonts w:ascii="Arial" w:eastAsia="Times New Roman" w:hAnsi="Arial" w:cs="Arial"/>
          <w:sz w:val="17"/>
          <w:szCs w:val="17"/>
        </w:rPr>
        <w:t xml:space="preserve"> Trimestral</w:t>
      </w:r>
    </w:p>
    <w:p w14:paraId="54DBBEC5" w14:textId="299712C1" w:rsidR="00067787" w:rsidRPr="00A71207" w:rsidRDefault="004137E3" w:rsidP="00B43C7F">
      <w:pPr>
        <w:numPr>
          <w:ilvl w:val="0"/>
          <w:numId w:val="16"/>
        </w:numPr>
        <w:spacing w:after="0" w:line="360" w:lineRule="auto"/>
        <w:jc w:val="both"/>
        <w:rPr>
          <w:rFonts w:ascii="Arial" w:eastAsia="Times New Roman" w:hAnsi="Arial" w:cs="Arial"/>
          <w:sz w:val="17"/>
          <w:szCs w:val="17"/>
        </w:rPr>
      </w:pPr>
      <w:r w:rsidRPr="00A71207">
        <w:rPr>
          <w:rFonts w:ascii="Arial" w:eastAsia="Times New Roman" w:hAnsi="Arial" w:cs="Arial"/>
          <w:sz w:val="17"/>
          <w:szCs w:val="17"/>
        </w:rPr>
        <w:t xml:space="preserve">Libro </w:t>
      </w:r>
      <w:r w:rsidR="00067787" w:rsidRPr="00A71207">
        <w:rPr>
          <w:rFonts w:ascii="Arial" w:eastAsia="Times New Roman" w:hAnsi="Arial" w:cs="Arial"/>
          <w:sz w:val="17"/>
          <w:szCs w:val="17"/>
        </w:rPr>
        <w:t>Diario.</w:t>
      </w:r>
    </w:p>
    <w:p w14:paraId="23B731AF" w14:textId="77777777" w:rsidR="00FF41A1" w:rsidRPr="00A71207" w:rsidRDefault="00FF41A1" w:rsidP="00FF41A1">
      <w:pPr>
        <w:spacing w:after="0" w:line="360" w:lineRule="auto"/>
        <w:ind w:left="1068"/>
        <w:jc w:val="both"/>
        <w:rPr>
          <w:rFonts w:ascii="Arial" w:eastAsia="Times New Roman" w:hAnsi="Arial" w:cs="Arial"/>
          <w:sz w:val="17"/>
          <w:szCs w:val="17"/>
        </w:rPr>
      </w:pPr>
    </w:p>
    <w:bookmarkEnd w:id="2"/>
    <w:p w14:paraId="609D01A2" w14:textId="77777777" w:rsidR="00AD791F" w:rsidRPr="00A71207" w:rsidRDefault="00AD791F" w:rsidP="00AD791F">
      <w:pPr>
        <w:pStyle w:val="Prrafodelista"/>
        <w:numPr>
          <w:ilvl w:val="0"/>
          <w:numId w:val="5"/>
        </w:numPr>
        <w:spacing w:line="360" w:lineRule="auto"/>
        <w:jc w:val="both"/>
        <w:rPr>
          <w:rFonts w:ascii="Arial" w:hAnsi="Arial" w:cs="Arial"/>
          <w:b/>
          <w:sz w:val="17"/>
          <w:szCs w:val="17"/>
        </w:rPr>
      </w:pPr>
      <w:r w:rsidRPr="00A71207">
        <w:rPr>
          <w:rFonts w:ascii="Arial" w:hAnsi="Arial" w:cs="Arial"/>
          <w:b/>
          <w:sz w:val="17"/>
          <w:szCs w:val="17"/>
        </w:rPr>
        <w:t>Formatos de Disciplina Financiera</w:t>
      </w:r>
    </w:p>
    <w:p w14:paraId="0254954C" w14:textId="77777777"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1   </w:t>
      </w:r>
      <w:r w:rsidRPr="00A71207">
        <w:rPr>
          <w:sz w:val="17"/>
          <w:szCs w:val="17"/>
        </w:rPr>
        <w:t>Estado de Situación Financiera Detallado - LDF</w:t>
      </w:r>
    </w:p>
    <w:p w14:paraId="77AA3568" w14:textId="77777777" w:rsidR="00042519" w:rsidRPr="00A71207" w:rsidRDefault="00042519" w:rsidP="00C762B8">
      <w:pPr>
        <w:pStyle w:val="Prrafodelista"/>
        <w:numPr>
          <w:ilvl w:val="0"/>
          <w:numId w:val="13"/>
        </w:numPr>
        <w:spacing w:after="0" w:line="240" w:lineRule="auto"/>
        <w:ind w:left="1077" w:hanging="357"/>
        <w:rPr>
          <w:rFonts w:ascii="Arial" w:eastAsia="Times New Roman" w:hAnsi="Arial" w:cs="Arial"/>
          <w:b/>
          <w:sz w:val="17"/>
          <w:szCs w:val="17"/>
        </w:rPr>
      </w:pPr>
      <w:r w:rsidRPr="00A71207">
        <w:rPr>
          <w:rFonts w:ascii="Arial" w:eastAsia="Times New Roman" w:hAnsi="Arial" w:cs="Arial"/>
          <w:b/>
          <w:sz w:val="17"/>
          <w:szCs w:val="17"/>
        </w:rPr>
        <w:t xml:space="preserve">Formato 2   </w:t>
      </w:r>
      <w:r w:rsidRPr="00A71207">
        <w:rPr>
          <w:rFonts w:ascii="Arial" w:eastAsia="Times New Roman" w:hAnsi="Arial" w:cs="Arial"/>
          <w:sz w:val="17"/>
          <w:szCs w:val="17"/>
        </w:rPr>
        <w:t>Informe Analítico de la Deuda Pública y Otros Pasivos – LDF</w:t>
      </w:r>
    </w:p>
    <w:p w14:paraId="57DC6EE0" w14:textId="77777777"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 xml:space="preserve">Formato 3  </w:t>
      </w:r>
      <w:r w:rsidRPr="00A71207">
        <w:rPr>
          <w:rFonts w:ascii="Arial" w:eastAsia="Times New Roman" w:hAnsi="Arial" w:cs="Arial"/>
          <w:sz w:val="17"/>
          <w:szCs w:val="17"/>
        </w:rPr>
        <w:t xml:space="preserve"> Informe Analítico de Obligaciones Diferentes de Financiamientos – LDF</w:t>
      </w:r>
    </w:p>
    <w:p w14:paraId="2BDF985A" w14:textId="1CAE99C8"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4</w:t>
      </w:r>
      <w:r w:rsidR="00C762B8" w:rsidRPr="00A71207">
        <w:rPr>
          <w:rFonts w:ascii="Arial" w:eastAsia="Times New Roman" w:hAnsi="Arial" w:cs="Arial"/>
          <w:b/>
          <w:sz w:val="17"/>
          <w:szCs w:val="17"/>
        </w:rPr>
        <w:t xml:space="preserve">  </w:t>
      </w:r>
      <w:r w:rsidRPr="00A71207">
        <w:rPr>
          <w:rFonts w:ascii="Arial" w:eastAsia="Times New Roman" w:hAnsi="Arial" w:cs="Arial"/>
          <w:sz w:val="17"/>
          <w:szCs w:val="17"/>
        </w:rPr>
        <w:t xml:space="preserve"> Balance Presupuestario – LDF</w:t>
      </w:r>
    </w:p>
    <w:p w14:paraId="45324982" w14:textId="66D9F0D5" w:rsidR="00042519" w:rsidRPr="00A71207" w:rsidRDefault="00042519" w:rsidP="00C762B8">
      <w:pPr>
        <w:pStyle w:val="Prrafodelista"/>
        <w:numPr>
          <w:ilvl w:val="0"/>
          <w:numId w:val="13"/>
        </w:numPr>
        <w:suppressAutoHyphens/>
        <w:spacing w:after="0" w:line="240" w:lineRule="auto"/>
        <w:ind w:left="1077" w:hanging="357"/>
        <w:jc w:val="both"/>
        <w:rPr>
          <w:rFonts w:ascii="Arial" w:eastAsia="Times New Roman" w:hAnsi="Arial" w:cs="Arial"/>
          <w:sz w:val="17"/>
          <w:szCs w:val="17"/>
        </w:rPr>
      </w:pPr>
      <w:r w:rsidRPr="00A71207">
        <w:rPr>
          <w:rFonts w:ascii="Arial" w:eastAsia="Times New Roman" w:hAnsi="Arial" w:cs="Arial"/>
          <w:b/>
          <w:sz w:val="17"/>
          <w:szCs w:val="17"/>
        </w:rPr>
        <w:t>Formato 5</w:t>
      </w:r>
      <w:r w:rsidRPr="00A71207">
        <w:rPr>
          <w:rFonts w:ascii="Arial" w:eastAsia="Times New Roman" w:hAnsi="Arial" w:cs="Arial"/>
          <w:sz w:val="17"/>
          <w:szCs w:val="17"/>
        </w:rPr>
        <w:t xml:space="preserve"> </w:t>
      </w:r>
      <w:r w:rsidR="00C762B8" w:rsidRPr="00A71207">
        <w:rPr>
          <w:rFonts w:ascii="Arial" w:eastAsia="Times New Roman" w:hAnsi="Arial" w:cs="Arial"/>
          <w:sz w:val="17"/>
          <w:szCs w:val="17"/>
        </w:rPr>
        <w:t xml:space="preserve">  </w:t>
      </w:r>
      <w:r w:rsidRPr="00A71207">
        <w:rPr>
          <w:rFonts w:ascii="Arial" w:eastAsia="Times New Roman" w:hAnsi="Arial" w:cs="Arial"/>
          <w:sz w:val="17"/>
          <w:szCs w:val="17"/>
        </w:rPr>
        <w:t>Estado Analítico de Ingresos Detallado – LDF</w:t>
      </w:r>
    </w:p>
    <w:p w14:paraId="2F11613C" w14:textId="76D20C64" w:rsidR="00042519" w:rsidRPr="00A71207" w:rsidRDefault="00042519" w:rsidP="00C762B8">
      <w:pPr>
        <w:pStyle w:val="Texto"/>
        <w:numPr>
          <w:ilvl w:val="0"/>
          <w:numId w:val="13"/>
        </w:numPr>
        <w:spacing w:after="0" w:line="240" w:lineRule="auto"/>
        <w:ind w:left="1077" w:hanging="357"/>
        <w:rPr>
          <w:b/>
          <w:sz w:val="17"/>
          <w:szCs w:val="17"/>
        </w:rPr>
      </w:pPr>
      <w:r w:rsidRPr="00A71207">
        <w:rPr>
          <w:b/>
          <w:sz w:val="17"/>
          <w:szCs w:val="17"/>
        </w:rPr>
        <w:t xml:space="preserve">Formato 6a </w:t>
      </w:r>
      <w:r w:rsidRPr="00A71207">
        <w:rPr>
          <w:sz w:val="17"/>
          <w:szCs w:val="17"/>
        </w:rPr>
        <w:t>Estado Analítico del Ejercicio del Presupuesto de Egresos Detallado – LDF (Clasificación por Objeto del Gasto)</w:t>
      </w:r>
    </w:p>
    <w:p w14:paraId="57632CD8" w14:textId="6D784B5B" w:rsidR="00042519" w:rsidRPr="00A71207" w:rsidRDefault="00042519" w:rsidP="00C762B8">
      <w:pPr>
        <w:pStyle w:val="Texto"/>
        <w:numPr>
          <w:ilvl w:val="0"/>
          <w:numId w:val="13"/>
        </w:numPr>
        <w:tabs>
          <w:tab w:val="left" w:pos="1620"/>
        </w:tabs>
        <w:spacing w:line="240" w:lineRule="auto"/>
        <w:ind w:left="1077" w:hanging="357"/>
        <w:rPr>
          <w:sz w:val="17"/>
          <w:szCs w:val="17"/>
        </w:rPr>
      </w:pPr>
      <w:r w:rsidRPr="00A71207">
        <w:rPr>
          <w:b/>
          <w:sz w:val="17"/>
          <w:szCs w:val="17"/>
        </w:rPr>
        <w:t xml:space="preserve">Formato 6b </w:t>
      </w:r>
      <w:r w:rsidRPr="00A71207">
        <w:rPr>
          <w:sz w:val="17"/>
          <w:szCs w:val="17"/>
        </w:rPr>
        <w:t>Estado Analítico del Ejercicio del Presupuesto de Egresos Detallado – LDF (Clasificación Administrativa)</w:t>
      </w:r>
    </w:p>
    <w:p w14:paraId="5AADDB2B" w14:textId="4BC4FAFD" w:rsidR="00042519" w:rsidRPr="00A71207" w:rsidRDefault="00042519" w:rsidP="00C762B8">
      <w:pPr>
        <w:pStyle w:val="Texto"/>
        <w:numPr>
          <w:ilvl w:val="0"/>
          <w:numId w:val="13"/>
        </w:numPr>
        <w:spacing w:line="240" w:lineRule="auto"/>
        <w:ind w:left="1077" w:hanging="357"/>
        <w:rPr>
          <w:b/>
          <w:sz w:val="17"/>
          <w:szCs w:val="17"/>
        </w:rPr>
      </w:pPr>
      <w:r w:rsidRPr="00A71207">
        <w:rPr>
          <w:b/>
          <w:sz w:val="17"/>
          <w:szCs w:val="17"/>
        </w:rPr>
        <w:t xml:space="preserve">Formato 6c </w:t>
      </w:r>
      <w:r w:rsidRPr="00A71207">
        <w:rPr>
          <w:sz w:val="17"/>
          <w:szCs w:val="17"/>
        </w:rPr>
        <w:t>Estado Analítico del Ejercicio del Presupuesto de Egresos Detallado – LDF (Clasificación Funcional)</w:t>
      </w:r>
    </w:p>
    <w:p w14:paraId="30F8B191" w14:textId="7E37D8A5" w:rsidR="00C762B8" w:rsidRPr="00A71207" w:rsidRDefault="00042519" w:rsidP="00C762B8">
      <w:pPr>
        <w:pStyle w:val="Texto"/>
        <w:numPr>
          <w:ilvl w:val="0"/>
          <w:numId w:val="13"/>
        </w:numPr>
        <w:tabs>
          <w:tab w:val="left" w:pos="1530"/>
        </w:tabs>
        <w:spacing w:line="288" w:lineRule="auto"/>
        <w:ind w:left="1077" w:hanging="357"/>
        <w:rPr>
          <w:rFonts w:cs="Times New Roman"/>
          <w:sz w:val="17"/>
          <w:szCs w:val="17"/>
          <w:lang w:eastAsia="hi-IN"/>
        </w:rPr>
      </w:pPr>
      <w:r w:rsidRPr="00A71207">
        <w:rPr>
          <w:b/>
          <w:sz w:val="17"/>
          <w:szCs w:val="17"/>
        </w:rPr>
        <w:t xml:space="preserve">Formato 6d </w:t>
      </w:r>
      <w:r w:rsidRPr="00A71207">
        <w:rPr>
          <w:sz w:val="17"/>
          <w:szCs w:val="17"/>
        </w:rPr>
        <w:t>Estado Analítico del Ejercicio del Presupuesto de Egresos Detallado – LDF (Clasificación de Servicios Personales por Categoría)</w:t>
      </w:r>
      <w:r w:rsidR="00C762B8" w:rsidRPr="00A71207">
        <w:rPr>
          <w:rFonts w:cs="Times New Roman"/>
          <w:sz w:val="17"/>
          <w:szCs w:val="17"/>
          <w:lang w:eastAsia="hi-IN"/>
        </w:rPr>
        <w:t xml:space="preserve">  </w:t>
      </w:r>
    </w:p>
    <w:sectPr w:rsidR="00C762B8" w:rsidRPr="00A71207" w:rsidSect="008B6826">
      <w:headerReference w:type="even" r:id="rId8"/>
      <w:headerReference w:type="default" r:id="rId9"/>
      <w:footerReference w:type="even" r:id="rId10"/>
      <w:footerReference w:type="default" r:id="rId11"/>
      <w:pgSz w:w="15840" w:h="12240"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52B4" w14:textId="77777777" w:rsidR="00AE59F4" w:rsidRDefault="00AE59F4" w:rsidP="00EA5418">
      <w:pPr>
        <w:spacing w:after="0" w:line="240" w:lineRule="auto"/>
      </w:pPr>
      <w:r>
        <w:separator/>
      </w:r>
    </w:p>
  </w:endnote>
  <w:endnote w:type="continuationSeparator" w:id="0">
    <w:p w14:paraId="24E50F73" w14:textId="77777777" w:rsidR="00AE59F4" w:rsidRDefault="00AE59F4"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F44E" w14:textId="5724075D" w:rsidR="0013011C" w:rsidRPr="0013011C" w:rsidRDefault="00000000" w:rsidP="0013011C">
    <w:pPr>
      <w:pStyle w:val="Piedepgina"/>
      <w:jc w:val="center"/>
      <w:rPr>
        <w:rFonts w:ascii="Soberana Sans Light" w:hAnsi="Soberana Sans Light"/>
      </w:rPr>
    </w:pPr>
    <w:r>
      <w:rPr>
        <w:rFonts w:ascii="Soberana Sans Light" w:hAnsi="Soberana Sans Light"/>
        <w:noProof/>
        <w:lang w:eastAsia="es-MX"/>
      </w:rPr>
      <w:pict w14:anchorId="20EE057A">
        <v:line id="12 Conector recto" o:spid="_x0000_s1026" style="position:absolute;left:0;text-align:left;flip:y;z-index:251667456;visibility:visible;mso-width-relative:margin" from="-51.55pt,-2.8pt" to="742.45pt,-1.5pt" strokecolor="#7d3c4a [3209]" strokeweight="1.5pt"/>
      </w:pic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00A516D8" w:rsidRPr="0013011C">
          <w:rPr>
            <w:rFonts w:ascii="Soberana Sans Light" w:hAnsi="Soberana Sans Light"/>
          </w:rPr>
          <w:fldChar w:fldCharType="begin"/>
        </w:r>
        <w:r w:rsidR="0013011C" w:rsidRPr="0013011C">
          <w:rPr>
            <w:rFonts w:ascii="Soberana Sans Light" w:hAnsi="Soberana Sans Light"/>
          </w:rPr>
          <w:instrText>PAGE   \* MERGEFORMAT</w:instrText>
        </w:r>
        <w:r w:rsidR="00A516D8" w:rsidRPr="0013011C">
          <w:rPr>
            <w:rFonts w:ascii="Soberana Sans Light" w:hAnsi="Soberana Sans Light"/>
          </w:rPr>
          <w:fldChar w:fldCharType="separate"/>
        </w:r>
        <w:r w:rsidR="006A4F83" w:rsidRPr="006A4F83">
          <w:rPr>
            <w:rFonts w:ascii="Soberana Sans Light" w:hAnsi="Soberana Sans Light"/>
            <w:noProof/>
            <w:lang w:val="es-ES"/>
          </w:rPr>
          <w:t>4</w:t>
        </w:r>
        <w:r w:rsidR="00A516D8" w:rsidRPr="0013011C">
          <w:rPr>
            <w:rFonts w:ascii="Soberana Sans Light" w:hAnsi="Soberana Sans Light"/>
          </w:rPr>
          <w:fldChar w:fldCharType="end"/>
        </w:r>
      </w:sdtContent>
    </w:sdt>
  </w:p>
  <w:p w14:paraId="27332855"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C3BD" w14:textId="211E9BEB" w:rsidR="008E3652" w:rsidRPr="008E3652" w:rsidRDefault="00000000" w:rsidP="008E3652">
    <w:pPr>
      <w:pStyle w:val="Piedepgina"/>
      <w:jc w:val="center"/>
      <w:rPr>
        <w:rFonts w:ascii="Soberana Sans Light" w:hAnsi="Soberana Sans Light"/>
      </w:rPr>
    </w:pPr>
    <w:r>
      <w:rPr>
        <w:rFonts w:ascii="Soberana Sans Light" w:hAnsi="Soberana Sans Light"/>
        <w:noProof/>
        <w:lang w:eastAsia="es-MX"/>
      </w:rPr>
      <w:pict w14:anchorId="6654EB97">
        <v:line id="3 Conector recto" o:spid="_x0000_s1025" style="position:absolute;left:0;text-align:left;flip:y;z-index:251661312;visibility:visible;mso-width-relative:margin" from="-56.25pt,-.7pt" to="737.8pt,.6pt" strokecolor="#6c0f13 [1605]" strokeweight="1.5pt"/>
      </w:pict>
    </w:r>
    <w:sdt>
      <w:sdtPr>
        <w:rPr>
          <w:rFonts w:ascii="Soberana Sans Light" w:hAnsi="Soberana Sans Light"/>
        </w:rPr>
        <w:id w:val="1247304906"/>
        <w:docPartObj>
          <w:docPartGallery w:val="Page Numbers (Bottom of Page)"/>
          <w:docPartUnique/>
        </w:docPartObj>
      </w:sdtPr>
      <w:sdtContent>
        <w:r w:rsidR="00056042">
          <w:rPr>
            <w:rFonts w:ascii="Soberana Sans Light" w:hAnsi="Soberana Sans Light"/>
          </w:rPr>
          <w:t>Introducción</w:t>
        </w:r>
        <w:r w:rsidR="008E3652" w:rsidRPr="008E3652">
          <w:rPr>
            <w:rFonts w:ascii="Soberana Sans Light" w:hAnsi="Soberana Sans Light"/>
          </w:rPr>
          <w:t xml:space="preserve"> / </w:t>
        </w:r>
        <w:r w:rsidR="00A516D8" w:rsidRPr="008E3652">
          <w:rPr>
            <w:rFonts w:ascii="Soberana Sans Light" w:hAnsi="Soberana Sans Light"/>
          </w:rPr>
          <w:fldChar w:fldCharType="begin"/>
        </w:r>
        <w:r w:rsidR="008E3652" w:rsidRPr="008E3652">
          <w:rPr>
            <w:rFonts w:ascii="Soberana Sans Light" w:hAnsi="Soberana Sans Light"/>
          </w:rPr>
          <w:instrText>PAGE   \* MERGEFORMAT</w:instrText>
        </w:r>
        <w:r w:rsidR="00A516D8" w:rsidRPr="008E3652">
          <w:rPr>
            <w:rFonts w:ascii="Soberana Sans Light" w:hAnsi="Soberana Sans Light"/>
          </w:rPr>
          <w:fldChar w:fldCharType="separate"/>
        </w:r>
        <w:r w:rsidR="006A4F83" w:rsidRPr="006A4F83">
          <w:rPr>
            <w:rFonts w:ascii="Soberana Sans Light" w:hAnsi="Soberana Sans Light"/>
            <w:noProof/>
            <w:lang w:val="es-ES"/>
          </w:rPr>
          <w:t>3</w:t>
        </w:r>
        <w:r w:rsidR="00A516D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A8487" w14:textId="77777777" w:rsidR="00AE59F4" w:rsidRDefault="00AE59F4" w:rsidP="00EA5418">
      <w:pPr>
        <w:spacing w:after="0" w:line="240" w:lineRule="auto"/>
      </w:pPr>
      <w:r>
        <w:separator/>
      </w:r>
    </w:p>
  </w:footnote>
  <w:footnote w:type="continuationSeparator" w:id="0">
    <w:p w14:paraId="51FFAF92" w14:textId="77777777" w:rsidR="00AE59F4" w:rsidRDefault="00AE59F4"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D436" w14:textId="77777777" w:rsidR="0013011C" w:rsidRDefault="00000000">
    <w:pPr>
      <w:pStyle w:val="Encabezado"/>
    </w:pPr>
    <w:r>
      <w:rPr>
        <w:noProof/>
        <w:lang w:eastAsia="es-MX"/>
      </w:rPr>
      <w:pict w14:anchorId="6C5AC7DA">
        <v:group id="6 Grupo" o:spid="_x0000_s1029"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33"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14:paraId="62DEEAA0"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1CDBF61C" w14:textId="77777777"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3D7D5EEC"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3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103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1B18C86A" w14:textId="6AACF344"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081D79">
                      <w:rPr>
                        <w:rFonts w:ascii="Soberana Titular" w:hAnsi="Soberana Titular" w:cs="Arial"/>
                        <w:color w:val="808080" w:themeColor="background1" w:themeShade="80"/>
                        <w:sz w:val="42"/>
                        <w:szCs w:val="42"/>
                      </w:rPr>
                      <w:t>2</w:t>
                    </w:r>
                    <w:r w:rsidR="00C43968">
                      <w:rPr>
                        <w:rFonts w:ascii="Soberana Titular" w:hAnsi="Soberana Titular" w:cs="Arial"/>
                        <w:color w:val="808080" w:themeColor="background1" w:themeShade="80"/>
                        <w:sz w:val="42"/>
                        <w:szCs w:val="42"/>
                      </w:rPr>
                      <w:t>3</w:t>
                    </w:r>
                  </w:p>
                  <w:p w14:paraId="20CD47A7"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E428D88"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w14:anchorId="71B1DECB">
        <v:line id="4 Conector recto" o:spid="_x0000_s1028" style="position:absolute;flip:y;z-index:251663360;visibility:visible;mso-width-relative:margin" from="-57.75pt,25.2pt" to="736.25pt,26.5pt" strokecolor="#7d3c4a [3209]" strokeweight="1.5p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5D78E" w14:textId="77777777" w:rsidR="008E3652" w:rsidRPr="0013011C" w:rsidRDefault="00000000" w:rsidP="0013011C">
    <w:pPr>
      <w:pStyle w:val="Encabezado"/>
      <w:jc w:val="center"/>
      <w:rPr>
        <w:rFonts w:ascii="Soberana Sans Light" w:hAnsi="Soberana Sans Light"/>
      </w:rPr>
    </w:pPr>
    <w:r>
      <w:rPr>
        <w:rFonts w:ascii="Soberana Sans Light" w:hAnsi="Soberana Sans Light"/>
        <w:noProof/>
        <w:lang w:eastAsia="es-MX"/>
      </w:rPr>
      <w:pict w14:anchorId="4FBD0177">
        <v:line id="1 Conector recto" o:spid="_x0000_s1027" style="position:absolute;left:0;text-align:left;flip:y;z-index:251659264;visibility:visible;mso-width-relative:margin" from="-56.05pt,14.2pt" to="738pt,15.5pt" strokecolor="#6c0f13 [1605]" strokeweight="1.5pt"/>
      </w:pic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797"/>
    <w:multiLevelType w:val="hybridMultilevel"/>
    <w:tmpl w:val="59965ED4"/>
    <w:lvl w:ilvl="0" w:tplc="FC307EE6">
      <w:start w:val="1"/>
      <w:numFmt w:val="lowerLetter"/>
      <w:lvlText w:val="%1)"/>
      <w:lvlJc w:val="left"/>
      <w:pPr>
        <w:ind w:left="644"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79C1244"/>
    <w:multiLevelType w:val="hybridMultilevel"/>
    <w:tmpl w:val="CB18D2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51039F8"/>
    <w:multiLevelType w:val="hybridMultilevel"/>
    <w:tmpl w:val="F86E23B4"/>
    <w:lvl w:ilvl="0" w:tplc="A43C0EA4">
      <w:start w:val="1"/>
      <w:numFmt w:val="upperRoman"/>
      <w:lvlText w:val="%1)"/>
      <w:lvlJc w:val="left"/>
      <w:pPr>
        <w:ind w:left="2160" w:hanging="720"/>
      </w:pPr>
      <w:rPr>
        <w:rFonts w:hint="default"/>
        <w:b w:val="0"/>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5" w15:restartNumberingAfterBreak="0">
    <w:nsid w:val="1F4432A1"/>
    <w:multiLevelType w:val="hybridMultilevel"/>
    <w:tmpl w:val="744283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5F63DF"/>
    <w:multiLevelType w:val="hybridMultilevel"/>
    <w:tmpl w:val="D090B5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037755"/>
    <w:multiLevelType w:val="hybridMultilevel"/>
    <w:tmpl w:val="365E03B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307A736E"/>
    <w:multiLevelType w:val="hybridMultilevel"/>
    <w:tmpl w:val="332A2ED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316C3A9A"/>
    <w:multiLevelType w:val="hybridMultilevel"/>
    <w:tmpl w:val="B24E07E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54250FA"/>
    <w:multiLevelType w:val="hybridMultilevel"/>
    <w:tmpl w:val="BA0850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3CBC2749"/>
    <w:multiLevelType w:val="hybridMultilevel"/>
    <w:tmpl w:val="ADE840C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2DB140A"/>
    <w:multiLevelType w:val="hybridMultilevel"/>
    <w:tmpl w:val="A950E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3A5961"/>
    <w:multiLevelType w:val="hybridMultilevel"/>
    <w:tmpl w:val="A45E42F8"/>
    <w:lvl w:ilvl="0" w:tplc="B98E028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44D969E5"/>
    <w:multiLevelType w:val="hybridMultilevel"/>
    <w:tmpl w:val="476683BC"/>
    <w:lvl w:ilvl="0" w:tplc="1090D708">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D977253"/>
    <w:multiLevelType w:val="hybridMultilevel"/>
    <w:tmpl w:val="0136DE9E"/>
    <w:lvl w:ilvl="0" w:tplc="3F76ED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23178CA"/>
    <w:multiLevelType w:val="hybridMultilevel"/>
    <w:tmpl w:val="2D0A66CA"/>
    <w:lvl w:ilvl="0" w:tplc="A9581064">
      <w:start w:val="1"/>
      <w:numFmt w:val="upperRoman"/>
      <w:lvlText w:val="%1)"/>
      <w:lvlJc w:val="left"/>
      <w:pPr>
        <w:ind w:left="1440" w:hanging="72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59D91D32"/>
    <w:multiLevelType w:val="hybridMultilevel"/>
    <w:tmpl w:val="C428B450"/>
    <w:lvl w:ilvl="0" w:tplc="1090D708">
      <w:start w:val="1"/>
      <w:numFmt w:val="lowerLetter"/>
      <w:lvlText w:val="%1)"/>
      <w:lvlJc w:val="left"/>
      <w:pPr>
        <w:ind w:left="107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BE70458"/>
    <w:multiLevelType w:val="hybridMultilevel"/>
    <w:tmpl w:val="CAD87ED8"/>
    <w:lvl w:ilvl="0" w:tplc="1090D708">
      <w:start w:val="1"/>
      <w:numFmt w:val="lowerLetter"/>
      <w:lvlText w:val="%1)"/>
      <w:lvlJc w:val="left"/>
      <w:pPr>
        <w:ind w:left="1440" w:hanging="360"/>
      </w:pPr>
      <w:rPr>
        <w:rFonts w:hint="default"/>
        <w:b/>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1" w15:restartNumberingAfterBreak="0">
    <w:nsid w:val="61F52FB6"/>
    <w:multiLevelType w:val="hybridMultilevel"/>
    <w:tmpl w:val="40B243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C5E24FE"/>
    <w:multiLevelType w:val="hybridMultilevel"/>
    <w:tmpl w:val="6EFEA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1116FB0"/>
    <w:multiLevelType w:val="hybridMultilevel"/>
    <w:tmpl w:val="B336B5E6"/>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74924FCC"/>
    <w:multiLevelType w:val="hybridMultilevel"/>
    <w:tmpl w:val="345E46F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78397A51"/>
    <w:multiLevelType w:val="hybridMultilevel"/>
    <w:tmpl w:val="AB9C07E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6" w15:restartNumberingAfterBreak="0">
    <w:nsid w:val="79BA26F3"/>
    <w:multiLevelType w:val="hybridMultilevel"/>
    <w:tmpl w:val="A9048B96"/>
    <w:lvl w:ilvl="0" w:tplc="1696012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179193386">
    <w:abstractNumId w:val="1"/>
  </w:num>
  <w:num w:numId="2" w16cid:durableId="1590656596">
    <w:abstractNumId w:val="3"/>
  </w:num>
  <w:num w:numId="3" w16cid:durableId="884561451">
    <w:abstractNumId w:val="12"/>
  </w:num>
  <w:num w:numId="4" w16cid:durableId="1008675594">
    <w:abstractNumId w:val="7"/>
  </w:num>
  <w:num w:numId="5" w16cid:durableId="2091417277">
    <w:abstractNumId w:val="6"/>
  </w:num>
  <w:num w:numId="6" w16cid:durableId="2080667515">
    <w:abstractNumId w:val="17"/>
  </w:num>
  <w:num w:numId="7" w16cid:durableId="164440127">
    <w:abstractNumId w:val="26"/>
  </w:num>
  <w:num w:numId="8" w16cid:durableId="1598096655">
    <w:abstractNumId w:val="19"/>
  </w:num>
  <w:num w:numId="9" w16cid:durableId="203295090">
    <w:abstractNumId w:val="14"/>
  </w:num>
  <w:num w:numId="10" w16cid:durableId="759764931">
    <w:abstractNumId w:val="0"/>
  </w:num>
  <w:num w:numId="11" w16cid:durableId="1858077671">
    <w:abstractNumId w:val="9"/>
  </w:num>
  <w:num w:numId="12" w16cid:durableId="1238831989">
    <w:abstractNumId w:val="4"/>
  </w:num>
  <w:num w:numId="13" w16cid:durableId="1253710068">
    <w:abstractNumId w:val="15"/>
  </w:num>
  <w:num w:numId="14" w16cid:durableId="4481251">
    <w:abstractNumId w:val="18"/>
  </w:num>
  <w:num w:numId="15" w16cid:durableId="505708519">
    <w:abstractNumId w:val="21"/>
  </w:num>
  <w:num w:numId="16" w16cid:durableId="647902461">
    <w:abstractNumId w:val="16"/>
  </w:num>
  <w:num w:numId="17" w16cid:durableId="35551150">
    <w:abstractNumId w:val="25"/>
  </w:num>
  <w:num w:numId="18" w16cid:durableId="1142311819">
    <w:abstractNumId w:val="20"/>
  </w:num>
  <w:num w:numId="19" w16cid:durableId="1231189231">
    <w:abstractNumId w:val="11"/>
  </w:num>
  <w:num w:numId="20" w16cid:durableId="1810393480">
    <w:abstractNumId w:val="22"/>
  </w:num>
  <w:num w:numId="21" w16cid:durableId="340352203">
    <w:abstractNumId w:val="2"/>
  </w:num>
  <w:num w:numId="22" w16cid:durableId="42415472">
    <w:abstractNumId w:val="23"/>
  </w:num>
  <w:num w:numId="23" w16cid:durableId="912816434">
    <w:abstractNumId w:val="10"/>
  </w:num>
  <w:num w:numId="24" w16cid:durableId="2144148937">
    <w:abstractNumId w:val="5"/>
  </w:num>
  <w:num w:numId="25" w16cid:durableId="1123616206">
    <w:abstractNumId w:val="13"/>
  </w:num>
  <w:num w:numId="26" w16cid:durableId="361634891">
    <w:abstractNumId w:val="8"/>
  </w:num>
  <w:num w:numId="27" w16cid:durableId="19531278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5418"/>
    <w:rsid w:val="00040466"/>
    <w:rsid w:val="00042519"/>
    <w:rsid w:val="000454EA"/>
    <w:rsid w:val="00055300"/>
    <w:rsid w:val="00056042"/>
    <w:rsid w:val="00067787"/>
    <w:rsid w:val="00075F11"/>
    <w:rsid w:val="00076A56"/>
    <w:rsid w:val="00081D79"/>
    <w:rsid w:val="000A2A48"/>
    <w:rsid w:val="000A65B1"/>
    <w:rsid w:val="000B3FD4"/>
    <w:rsid w:val="000F6D16"/>
    <w:rsid w:val="00101C5D"/>
    <w:rsid w:val="001137E3"/>
    <w:rsid w:val="0013011C"/>
    <w:rsid w:val="00146E12"/>
    <w:rsid w:val="001646D9"/>
    <w:rsid w:val="00174F20"/>
    <w:rsid w:val="00183FBE"/>
    <w:rsid w:val="00196D0F"/>
    <w:rsid w:val="001A2431"/>
    <w:rsid w:val="001B1B72"/>
    <w:rsid w:val="001F7AA6"/>
    <w:rsid w:val="0020797E"/>
    <w:rsid w:val="002549E7"/>
    <w:rsid w:val="002865A7"/>
    <w:rsid w:val="0029674A"/>
    <w:rsid w:val="002A6835"/>
    <w:rsid w:val="002A70B3"/>
    <w:rsid w:val="002D4C8A"/>
    <w:rsid w:val="002E06B4"/>
    <w:rsid w:val="002E5897"/>
    <w:rsid w:val="002F2773"/>
    <w:rsid w:val="00307635"/>
    <w:rsid w:val="0032095C"/>
    <w:rsid w:val="00322A09"/>
    <w:rsid w:val="00343791"/>
    <w:rsid w:val="00355821"/>
    <w:rsid w:val="003575A4"/>
    <w:rsid w:val="003610E0"/>
    <w:rsid w:val="00372F40"/>
    <w:rsid w:val="00380130"/>
    <w:rsid w:val="00387A2B"/>
    <w:rsid w:val="003A6522"/>
    <w:rsid w:val="003D0D78"/>
    <w:rsid w:val="003D5DBF"/>
    <w:rsid w:val="003E7FD0"/>
    <w:rsid w:val="003F05C2"/>
    <w:rsid w:val="004137E3"/>
    <w:rsid w:val="0044253C"/>
    <w:rsid w:val="00443075"/>
    <w:rsid w:val="00486AE1"/>
    <w:rsid w:val="00497D8B"/>
    <w:rsid w:val="004D0129"/>
    <w:rsid w:val="004D41B8"/>
    <w:rsid w:val="00502D8E"/>
    <w:rsid w:val="005117F4"/>
    <w:rsid w:val="00522632"/>
    <w:rsid w:val="00531310"/>
    <w:rsid w:val="00534982"/>
    <w:rsid w:val="00537B1A"/>
    <w:rsid w:val="00540418"/>
    <w:rsid w:val="00582405"/>
    <w:rsid w:val="005840B5"/>
    <w:rsid w:val="005852BC"/>
    <w:rsid w:val="005859FA"/>
    <w:rsid w:val="00597742"/>
    <w:rsid w:val="005E2EB5"/>
    <w:rsid w:val="005F103E"/>
    <w:rsid w:val="005F7589"/>
    <w:rsid w:val="006048D2"/>
    <w:rsid w:val="00611E39"/>
    <w:rsid w:val="00623300"/>
    <w:rsid w:val="006458E9"/>
    <w:rsid w:val="006A4F83"/>
    <w:rsid w:val="006B729B"/>
    <w:rsid w:val="006D291A"/>
    <w:rsid w:val="006E1FB7"/>
    <w:rsid w:val="006E6B8E"/>
    <w:rsid w:val="006E77DD"/>
    <w:rsid w:val="00731430"/>
    <w:rsid w:val="00742E35"/>
    <w:rsid w:val="00746D9B"/>
    <w:rsid w:val="0075717E"/>
    <w:rsid w:val="0079582C"/>
    <w:rsid w:val="007D1E43"/>
    <w:rsid w:val="007D6E9A"/>
    <w:rsid w:val="0082753C"/>
    <w:rsid w:val="0082761D"/>
    <w:rsid w:val="0082781F"/>
    <w:rsid w:val="00850E90"/>
    <w:rsid w:val="00897D42"/>
    <w:rsid w:val="00897F46"/>
    <w:rsid w:val="008A6E4D"/>
    <w:rsid w:val="008B0017"/>
    <w:rsid w:val="008B6826"/>
    <w:rsid w:val="008C5A3B"/>
    <w:rsid w:val="008D4272"/>
    <w:rsid w:val="008E3652"/>
    <w:rsid w:val="008F204E"/>
    <w:rsid w:val="00911EF6"/>
    <w:rsid w:val="00965EFE"/>
    <w:rsid w:val="009E16FC"/>
    <w:rsid w:val="009E5258"/>
    <w:rsid w:val="009F62E7"/>
    <w:rsid w:val="00A14B74"/>
    <w:rsid w:val="00A516D8"/>
    <w:rsid w:val="00A71207"/>
    <w:rsid w:val="00A8165C"/>
    <w:rsid w:val="00AB13B7"/>
    <w:rsid w:val="00AC1FDF"/>
    <w:rsid w:val="00AC7243"/>
    <w:rsid w:val="00AD70F5"/>
    <w:rsid w:val="00AD791F"/>
    <w:rsid w:val="00AE59F4"/>
    <w:rsid w:val="00AE642C"/>
    <w:rsid w:val="00B166A9"/>
    <w:rsid w:val="00B17423"/>
    <w:rsid w:val="00B372A2"/>
    <w:rsid w:val="00B42A02"/>
    <w:rsid w:val="00B43C7F"/>
    <w:rsid w:val="00B56B2B"/>
    <w:rsid w:val="00B716BE"/>
    <w:rsid w:val="00B844F0"/>
    <w:rsid w:val="00B849EE"/>
    <w:rsid w:val="00B96907"/>
    <w:rsid w:val="00BD6A5B"/>
    <w:rsid w:val="00BF28A4"/>
    <w:rsid w:val="00C13551"/>
    <w:rsid w:val="00C33401"/>
    <w:rsid w:val="00C419B3"/>
    <w:rsid w:val="00C43968"/>
    <w:rsid w:val="00C44F01"/>
    <w:rsid w:val="00C762B8"/>
    <w:rsid w:val="00C85A3B"/>
    <w:rsid w:val="00CA2D37"/>
    <w:rsid w:val="00CB42AC"/>
    <w:rsid w:val="00CC5CB6"/>
    <w:rsid w:val="00D02A82"/>
    <w:rsid w:val="00D055EC"/>
    <w:rsid w:val="00D404ED"/>
    <w:rsid w:val="00D51261"/>
    <w:rsid w:val="00D5675C"/>
    <w:rsid w:val="00D748D3"/>
    <w:rsid w:val="00D75A56"/>
    <w:rsid w:val="00D848D7"/>
    <w:rsid w:val="00DD230F"/>
    <w:rsid w:val="00DE728C"/>
    <w:rsid w:val="00E32708"/>
    <w:rsid w:val="00E45FD0"/>
    <w:rsid w:val="00E81959"/>
    <w:rsid w:val="00EA5418"/>
    <w:rsid w:val="00EB215E"/>
    <w:rsid w:val="00EC28F3"/>
    <w:rsid w:val="00ED65D7"/>
    <w:rsid w:val="00F474E9"/>
    <w:rsid w:val="00F745E7"/>
    <w:rsid w:val="00F96944"/>
    <w:rsid w:val="00FA3FB9"/>
    <w:rsid w:val="00FA5247"/>
    <w:rsid w:val="00FB24F8"/>
    <w:rsid w:val="00FF41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FF203"/>
  <w15:docId w15:val="{4035D058-9DAD-4E6C-BE51-25B63B811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FB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Default">
    <w:name w:val="Default"/>
    <w:rsid w:val="00196D0F"/>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196D0F"/>
    <w:pPr>
      <w:spacing w:after="0" w:line="240" w:lineRule="auto"/>
    </w:pPr>
    <w:rPr>
      <w:rFonts w:eastAsia="Batang"/>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FF41A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35169">
      <w:bodyDiv w:val="1"/>
      <w:marLeft w:val="0"/>
      <w:marRight w:val="0"/>
      <w:marTop w:val="0"/>
      <w:marBottom w:val="0"/>
      <w:divBdr>
        <w:top w:val="none" w:sz="0" w:space="0" w:color="auto"/>
        <w:left w:val="none" w:sz="0" w:space="0" w:color="auto"/>
        <w:bottom w:val="none" w:sz="0" w:space="0" w:color="auto"/>
        <w:right w:val="none" w:sz="0" w:space="0" w:color="auto"/>
      </w:divBdr>
    </w:div>
    <w:div w:id="208686187">
      <w:bodyDiv w:val="1"/>
      <w:marLeft w:val="0"/>
      <w:marRight w:val="0"/>
      <w:marTop w:val="0"/>
      <w:marBottom w:val="0"/>
      <w:divBdr>
        <w:top w:val="none" w:sz="0" w:space="0" w:color="auto"/>
        <w:left w:val="none" w:sz="0" w:space="0" w:color="auto"/>
        <w:bottom w:val="none" w:sz="0" w:space="0" w:color="auto"/>
        <w:right w:val="none" w:sz="0" w:space="0" w:color="auto"/>
      </w:divBdr>
    </w:div>
    <w:div w:id="429934142">
      <w:bodyDiv w:val="1"/>
      <w:marLeft w:val="0"/>
      <w:marRight w:val="0"/>
      <w:marTop w:val="0"/>
      <w:marBottom w:val="0"/>
      <w:divBdr>
        <w:top w:val="none" w:sz="0" w:space="0" w:color="auto"/>
        <w:left w:val="none" w:sz="0" w:space="0" w:color="auto"/>
        <w:bottom w:val="none" w:sz="0" w:space="0" w:color="auto"/>
        <w:right w:val="none" w:sz="0" w:space="0" w:color="auto"/>
      </w:divBdr>
    </w:div>
    <w:div w:id="536939048">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354188826">
      <w:bodyDiv w:val="1"/>
      <w:marLeft w:val="0"/>
      <w:marRight w:val="0"/>
      <w:marTop w:val="0"/>
      <w:marBottom w:val="0"/>
      <w:divBdr>
        <w:top w:val="none" w:sz="0" w:space="0" w:color="auto"/>
        <w:left w:val="none" w:sz="0" w:space="0" w:color="auto"/>
        <w:bottom w:val="none" w:sz="0" w:space="0" w:color="auto"/>
        <w:right w:val="none" w:sz="0" w:space="0" w:color="auto"/>
      </w:divBdr>
    </w:div>
    <w:div w:id="1702244150">
      <w:bodyDiv w:val="1"/>
      <w:marLeft w:val="0"/>
      <w:marRight w:val="0"/>
      <w:marTop w:val="0"/>
      <w:marBottom w:val="0"/>
      <w:divBdr>
        <w:top w:val="none" w:sz="0" w:space="0" w:color="auto"/>
        <w:left w:val="none" w:sz="0" w:space="0" w:color="auto"/>
        <w:bottom w:val="none" w:sz="0" w:space="0" w:color="auto"/>
        <w:right w:val="none" w:sz="0" w:space="0" w:color="auto"/>
      </w:divBdr>
    </w:div>
    <w:div w:id="1860704902">
      <w:bodyDiv w:val="1"/>
      <w:marLeft w:val="0"/>
      <w:marRight w:val="0"/>
      <w:marTop w:val="0"/>
      <w:marBottom w:val="0"/>
      <w:divBdr>
        <w:top w:val="none" w:sz="0" w:space="0" w:color="auto"/>
        <w:left w:val="none" w:sz="0" w:space="0" w:color="auto"/>
        <w:bottom w:val="none" w:sz="0" w:space="0" w:color="auto"/>
        <w:right w:val="none" w:sz="0" w:space="0" w:color="auto"/>
      </w:divBdr>
    </w:div>
    <w:div w:id="1944989955">
      <w:bodyDiv w:val="1"/>
      <w:marLeft w:val="0"/>
      <w:marRight w:val="0"/>
      <w:marTop w:val="0"/>
      <w:marBottom w:val="0"/>
      <w:divBdr>
        <w:top w:val="none" w:sz="0" w:space="0" w:color="auto"/>
        <w:left w:val="none" w:sz="0" w:space="0" w:color="auto"/>
        <w:bottom w:val="none" w:sz="0" w:space="0" w:color="auto"/>
        <w:right w:val="none" w:sz="0" w:space="0" w:color="auto"/>
      </w:divBdr>
    </w:div>
    <w:div w:id="19500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Concurrencia">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A7579-6C28-463C-BB6C-28748AAA1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1481</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Fomtlax-Cont01</cp:lastModifiedBy>
  <cp:revision>58</cp:revision>
  <cp:lastPrinted>2021-10-06T19:07:00Z</cp:lastPrinted>
  <dcterms:created xsi:type="dcterms:W3CDTF">2014-09-01T14:30:00Z</dcterms:created>
  <dcterms:modified xsi:type="dcterms:W3CDTF">2023-10-04T20:44:00Z</dcterms:modified>
</cp:coreProperties>
</file>