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7E" w:rsidRDefault="00730055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46.5pt;margin-top:21.65pt;width:586.35pt;height:379.7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:rsidR="00147C7E" w:rsidRDefault="00147C7E" w:rsidP="00386C8E"/>
    <w:p w:rsidR="00147C7E" w:rsidRDefault="00147C7E" w:rsidP="00386C8E"/>
    <w:p w:rsidR="00F3042C" w:rsidRDefault="00F3042C" w:rsidP="00386C8E"/>
    <w:p w:rsidR="00CD424F" w:rsidRDefault="00CD424F" w:rsidP="00386C8E"/>
    <w:p w:rsidR="00F3042C" w:rsidRDefault="00F3042C" w:rsidP="00386C8E"/>
    <w:p w:rsidR="00647161" w:rsidRDefault="00647161" w:rsidP="00386C8E"/>
    <w:p w:rsidR="00F3042C" w:rsidRDefault="00F3042C" w:rsidP="00386C8E"/>
    <w:p w:rsidR="00CD424F" w:rsidRDefault="00CD424F" w:rsidP="00386C8E"/>
    <w:p w:rsidR="00CD424F" w:rsidRDefault="00CD424F" w:rsidP="00386C8E"/>
    <w:p w:rsidR="00F3042C" w:rsidRDefault="00F3042C" w:rsidP="00386C8E"/>
    <w:p w:rsidR="00F3042C" w:rsidRDefault="00F3042C" w:rsidP="00386C8E"/>
    <w:p w:rsidR="00372F40" w:rsidRDefault="00386C8E" w:rsidP="007769DF">
      <w:r>
        <w:lastRenderedPageBreak/>
        <w:br w:type="textWrapping" w:clear="all"/>
      </w:r>
      <w:r w:rsidR="00730055">
        <w:rPr>
          <w:noProof/>
        </w:rPr>
        <w:object w:dxaOrig="1440" w:dyaOrig="1440">
          <v:shape id="_x0000_s1078" type="#_x0000_t75" style="position:absolute;margin-left:6.6pt;margin-top:23.4pt;width:444.65pt;height:378.4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:rsidR="00F3042C" w:rsidRDefault="00F3042C" w:rsidP="007769DF"/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CD424F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2023\\CUENTA PUBLICA ENE-MAR 23\\01. Contable\\FORMATO ECSF.xlsx" "" \a \p \f 0 </w:instrText>
      </w:r>
      <w:r>
        <w:fldChar w:fldCharType="separate"/>
      </w:r>
      <w:r>
        <w:object w:dxaOrig="13639" w:dyaOrig="17443">
          <v:shape id="_x0000_i1027" type="#_x0000_t75" style="width:430.5pt;height:588.7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CD424F" w:rsidRDefault="00CD424F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3754F5" w:rsidP="00DD47AF">
      <w:pPr>
        <w:tabs>
          <w:tab w:val="left" w:pos="2430"/>
        </w:tabs>
        <w:jc w:val="center"/>
      </w:pPr>
    </w:p>
    <w:p w:rsidR="00217C35" w:rsidRDefault="0073005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1" type="#_x0000_t75" style="position:absolute;margin-left:-36.3pt;margin-top:32.1pt;width:551.3pt;height:171.75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73005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-53.25pt;margin-top:28.55pt;width:607.55pt;height:263.55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647161" w:rsidP="00647161">
      <w:pPr>
        <w:tabs>
          <w:tab w:val="left" w:pos="8625"/>
        </w:tabs>
      </w:pPr>
      <w:r>
        <w:tab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730055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3" type="#_x0000_t75" style="position:absolute;margin-left:-56.7pt;margin-top:9.7pt;width:632.15pt;height:278.9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477131" w:rsidRDefault="00477131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19744C" w:rsidRDefault="0019744C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730055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5" type="#_x0000_t75" style="position:absolute;left:0;text-align:left;margin-left:-31.65pt;margin-top:26.9pt;width:547.4pt;height:385.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8C688A" w:rsidRDefault="008C688A" w:rsidP="00667D50"/>
    <w:p w:rsidR="008C688A" w:rsidRDefault="008C688A" w:rsidP="00667D50"/>
    <w:p w:rsidR="008C688A" w:rsidRDefault="008C688A" w:rsidP="00667D50"/>
    <w:p w:rsidR="008C688A" w:rsidRDefault="008C688A" w:rsidP="00667D50"/>
    <w:p w:rsidR="008C688A" w:rsidRDefault="008C688A" w:rsidP="00667D50"/>
    <w:p w:rsidR="008C688A" w:rsidRDefault="008C688A" w:rsidP="00667D50"/>
    <w:p w:rsidR="008C688A" w:rsidRDefault="008C688A" w:rsidP="008C688A">
      <w:pPr>
        <w:tabs>
          <w:tab w:val="left" w:pos="2430"/>
        </w:tabs>
        <w:jc w:val="center"/>
      </w:pPr>
    </w:p>
    <w:p w:rsidR="008C688A" w:rsidRDefault="008C688A" w:rsidP="008C688A"/>
    <w:p w:rsidR="008C688A" w:rsidRDefault="008C688A" w:rsidP="008C68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Pasivos Contingentes</w:t>
      </w:r>
    </w:p>
    <w:p w:rsidR="008C688A" w:rsidRDefault="008C688A" w:rsidP="008C688A">
      <w:pPr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jc w:val="center"/>
        <w:rPr>
          <w:rFonts w:ascii="Soberana Sans Light" w:hAnsi="Soberana Sans Light"/>
        </w:rPr>
      </w:pPr>
    </w:p>
    <w:p w:rsidR="008C688A" w:rsidRDefault="008C688A" w:rsidP="008C688A">
      <w:pPr>
        <w:rPr>
          <w:rFonts w:ascii="Soberana Sans Light" w:hAnsi="Soberana Sans Light"/>
        </w:rPr>
      </w:pPr>
    </w:p>
    <w:p w:rsidR="008C688A" w:rsidRDefault="008C688A" w:rsidP="008C688A">
      <w:pPr>
        <w:pStyle w:val="Prrafodelista"/>
        <w:rPr>
          <w:rFonts w:ascii="Soberana Sans Light" w:hAnsi="Soberana Sans Light"/>
        </w:rPr>
      </w:pPr>
    </w:p>
    <w:p w:rsidR="008C688A" w:rsidRDefault="008C688A" w:rsidP="008C68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8C688A" w:rsidRDefault="008C688A" w:rsidP="008C688A">
      <w:pPr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8C688A" w:rsidRDefault="008C688A" w:rsidP="008C688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:rsidR="008C688A" w:rsidRDefault="008C688A" w:rsidP="008C688A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:rsidR="008C688A" w:rsidRDefault="008C688A" w:rsidP="008C688A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lastRenderedPageBreak/>
        <w:t>NOTAS A LOS ESTADOS FINANCIEROS</w:t>
      </w:r>
    </w:p>
    <w:p w:rsidR="008C688A" w:rsidRDefault="008C688A" w:rsidP="008C688A">
      <w:pPr>
        <w:pStyle w:val="Texto"/>
        <w:spacing w:after="0" w:line="240" w:lineRule="exact"/>
        <w:jc w:val="center"/>
        <w:rPr>
          <w:b/>
          <w:szCs w:val="18"/>
        </w:rPr>
      </w:pPr>
    </w:p>
    <w:p w:rsidR="008C688A" w:rsidRDefault="008C688A" w:rsidP="008C688A">
      <w:pPr>
        <w:pStyle w:val="Texto"/>
        <w:spacing w:after="0" w:line="240" w:lineRule="exact"/>
        <w:jc w:val="center"/>
        <w:rPr>
          <w:b/>
          <w:szCs w:val="18"/>
        </w:rPr>
      </w:pPr>
    </w:p>
    <w:p w:rsidR="008C688A" w:rsidRDefault="008C688A" w:rsidP="008C688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8C688A" w:rsidRDefault="008C688A" w:rsidP="008C688A">
      <w:pPr>
        <w:pStyle w:val="Texto"/>
        <w:spacing w:after="0" w:line="240" w:lineRule="exact"/>
        <w:rPr>
          <w:szCs w:val="18"/>
          <w:lang w:val="es-MX"/>
        </w:rPr>
      </w:pPr>
    </w:p>
    <w:p w:rsidR="008C688A" w:rsidRDefault="008C688A" w:rsidP="008C688A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8C688A" w:rsidRDefault="008C688A" w:rsidP="008C688A">
      <w:pPr>
        <w:pStyle w:val="Texto"/>
        <w:spacing w:after="0" w:line="240" w:lineRule="exact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8C688A" w:rsidRDefault="008C688A" w:rsidP="008C688A">
      <w:pPr>
        <w:pStyle w:val="Texto"/>
        <w:spacing w:after="0" w:line="240" w:lineRule="exact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40" w:lineRule="exact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1.     No hay fondos con afectación específica ni inversiones financieras.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2.     Los importes de derechos se refieren a: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Gastos a comprobar                                                            573,432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3.     Todas las cuentas por cobrar tienen un plazo menor a 90 días. 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4.  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5.     En lo que se refiere a almacenes solo se refieren a publicaciones (libros) por lo cual no se tiene establecido un método de valuación ya que conservan su valor original.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6.  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7.  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8.</w:t>
      </w:r>
      <w:r>
        <w:rPr>
          <w:b/>
          <w:lang w:val="es-MX"/>
        </w:rPr>
        <w:t xml:space="preserve">      </w:t>
      </w:r>
      <w:r>
        <w:rPr>
          <w:lang w:val="es-MX"/>
        </w:rPr>
        <w:t>Se consideran los siguientes importes: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 Muebles: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 Mobiliario y equipo de administración                   $ 44,917,492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 Equipo de Transporte                                                4,629,726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 Colecciones, Obras de arte y Objetos Valiosos       76,311,358     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Inmuebles: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Edificios no Habitacionales                                        14,094,167          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Aún no se realizan actualmente depreciaciones y se aclara que ya se tiene sistema de contabilidad establecido de manera armonizada.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9.  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10.</w:t>
      </w:r>
      <w:r>
        <w:rPr>
          <w:b/>
          <w:lang w:val="es-MX"/>
        </w:rPr>
        <w:t xml:space="preserve">   </w:t>
      </w:r>
      <w:r>
        <w:rPr>
          <w:lang w:val="es-MX"/>
        </w:rPr>
        <w:t>No aplica</w:t>
      </w: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11.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1.    El importe de las cuentas por pagar corresponde en su totalidad a un plazo menor a 90 días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2.    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3.    No aplica</w:t>
      </w:r>
    </w:p>
    <w:p w:rsidR="008C688A" w:rsidRDefault="008C688A" w:rsidP="008C688A">
      <w:pPr>
        <w:pStyle w:val="ROMANOS"/>
        <w:spacing w:after="0" w:line="276" w:lineRule="auto"/>
        <w:ind w:left="1008" w:firstLine="0"/>
        <w:rPr>
          <w:lang w:val="es-MX"/>
        </w:rPr>
      </w:pP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1.   Los Productos se refieren a:</w:t>
      </w: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  <w:r>
        <w:rPr>
          <w:lang w:val="es-MX"/>
        </w:rPr>
        <w:t>Otros productos que generan ingresos corrientes</w:t>
      </w: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  <w:r>
        <w:rPr>
          <w:lang w:val="es-MX"/>
        </w:rPr>
        <w:t>Las participaciones se refieren a:</w:t>
      </w: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  <w:r>
        <w:rPr>
          <w:lang w:val="es-MX"/>
        </w:rPr>
        <w:t>Convenios</w:t>
      </w: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  <w:r>
        <w:rPr>
          <w:lang w:val="es-MX"/>
        </w:rPr>
        <w:t>Las transferencias se refieren a:</w:t>
      </w: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  <w:r>
        <w:rPr>
          <w:lang w:val="es-MX"/>
        </w:rPr>
        <w:lastRenderedPageBreak/>
        <w:t xml:space="preserve">Transferencias internas y asignaciones al sector público </w:t>
      </w:r>
    </w:p>
    <w:p w:rsidR="008C688A" w:rsidRDefault="008C688A" w:rsidP="008C688A">
      <w:pPr>
        <w:pStyle w:val="ROMANOS"/>
        <w:tabs>
          <w:tab w:val="left" w:pos="284"/>
        </w:tabs>
        <w:spacing w:after="0" w:line="276" w:lineRule="auto"/>
        <w:ind w:left="648" w:hanging="364"/>
        <w:rPr>
          <w:lang w:val="es-MX"/>
        </w:rPr>
      </w:pPr>
      <w:r>
        <w:rPr>
          <w:lang w:val="es-MX"/>
        </w:rPr>
        <w:t>2.    No hay Otros Ingresos</w:t>
      </w: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</w:p>
    <w:p w:rsidR="008C688A" w:rsidRDefault="008C688A" w:rsidP="008C688A">
      <w:pPr>
        <w:pStyle w:val="ROMANOS"/>
        <w:numPr>
          <w:ilvl w:val="0"/>
          <w:numId w:val="32"/>
        </w:numPr>
        <w:spacing w:after="0" w:line="276" w:lineRule="auto"/>
        <w:ind w:left="1008" w:firstLine="0"/>
        <w:rPr>
          <w:lang w:val="es-MX"/>
        </w:rPr>
      </w:pPr>
      <w:r>
        <w:rPr>
          <w:lang w:val="es-MX"/>
        </w:rPr>
        <w:t>Las transferencias se refieren a las que se realizan a La libertad Centro Cultural de Apizaco y las aportaciones a convenios federales.</w:t>
      </w:r>
    </w:p>
    <w:p w:rsidR="008C688A" w:rsidRDefault="008C688A" w:rsidP="008C688A">
      <w:pPr>
        <w:pStyle w:val="ROMANOS"/>
        <w:spacing w:after="0" w:line="276" w:lineRule="auto"/>
        <w:ind w:left="1008" w:firstLine="0"/>
        <w:rPr>
          <w:lang w:val="es-MX"/>
        </w:rPr>
      </w:pP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No aplica.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No aplica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ind w:left="1008" w:firstLine="0"/>
        <w:rPr>
          <w:lang w:val="es-MX"/>
        </w:rPr>
      </w:pP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  <w:r>
        <w:rPr>
          <w:b/>
          <w:smallCaps/>
        </w:rPr>
        <w:t>IV)</w:t>
      </w:r>
      <w:r>
        <w:rPr>
          <w:b/>
          <w:smallCaps/>
        </w:rPr>
        <w:tab/>
        <w:t xml:space="preserve">Notas al Estado de Flujos de Efectivo </w:t>
      </w: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  <w:r>
        <w:rPr>
          <w:b/>
          <w:lang w:val="es-MX"/>
        </w:rPr>
        <w:t>Efectivo y equivalentes</w:t>
      </w:r>
    </w:p>
    <w:p w:rsidR="008C688A" w:rsidRDefault="008C688A" w:rsidP="008C688A">
      <w:pPr>
        <w:pStyle w:val="ROMANOS"/>
        <w:spacing w:after="0" w:line="276" w:lineRule="auto"/>
        <w:rPr>
          <w:b/>
          <w:lang w:val="es-MX"/>
        </w:rPr>
      </w:pPr>
    </w:p>
    <w:p w:rsidR="008C688A" w:rsidRDefault="008C688A" w:rsidP="008C688A">
      <w:pPr>
        <w:pStyle w:val="ROMANOS"/>
        <w:numPr>
          <w:ilvl w:val="0"/>
          <w:numId w:val="33"/>
        </w:numPr>
        <w:spacing w:after="0" w:line="276" w:lineRule="auto"/>
        <w:rPr>
          <w:lang w:val="es-MX"/>
        </w:rPr>
      </w:pPr>
      <w:r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p w:rsidR="008C688A" w:rsidRDefault="008C688A" w:rsidP="008C688A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50"/>
        <w:gridCol w:w="1393"/>
        <w:gridCol w:w="1708"/>
      </w:tblGrid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>
              <w:rPr>
                <w:szCs w:val="18"/>
                <w:lang w:val="es-MX"/>
              </w:rPr>
              <w:t>Total</w:t>
            </w:r>
            <w:proofErr w:type="gramEnd"/>
            <w:r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No aplica.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>
        <w:rPr>
          <w:lang w:val="es-MX"/>
        </w:rPr>
        <w:t>continuación</w:t>
      </w:r>
      <w:proofErr w:type="gramEnd"/>
      <w:r>
        <w:rPr>
          <w:lang w:val="es-MX"/>
        </w:rPr>
        <w:t xml:space="preserve"> se presenta un ejemplo de la elaboración de la conciliación.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7"/>
        <w:gridCol w:w="1453"/>
        <w:gridCol w:w="1428"/>
      </w:tblGrid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8C688A" w:rsidTr="008C688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88A" w:rsidRDefault="008C688A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</w:tbl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INCISO"/>
        <w:spacing w:after="0" w:line="276" w:lineRule="auto"/>
        <w:ind w:left="360"/>
        <w:rPr>
          <w:b/>
          <w:smallCaps/>
        </w:rPr>
      </w:pPr>
      <w:r>
        <w:rPr>
          <w:b/>
          <w:smallCaps/>
        </w:rPr>
        <w:t>V) Conciliación entre los ingresos presupuestarios y contables, así como entre los egresos presupuestarios y los gastos contables</w:t>
      </w:r>
    </w:p>
    <w:p w:rsidR="008C688A" w:rsidRDefault="008C688A" w:rsidP="008C688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8C688A" w:rsidRDefault="008C688A" w:rsidP="008C688A">
      <w:pPr>
        <w:rPr>
          <w:b/>
          <w:smallCaps/>
          <w:szCs w:val="18"/>
        </w:rPr>
      </w:pPr>
      <w:r>
        <w:lastRenderedPageBreak/>
        <w:object w:dxaOrig="225" w:dyaOrig="225">
          <v:shape id="_x0000_s1089" type="#_x0000_t75" style="position:absolute;margin-left:364.5pt;margin-top:3.75pt;width:373.5pt;height:248.25pt;z-index:251671552">
            <v:imagedata r:id="rId21" o:title=""/>
            <w10:wrap type="topAndBottom"/>
          </v:shape>
          <o:OLEObject Type="Embed" ProgID="Excel.Sheet.12" ShapeID="_x0000_s1089" DrawAspect="Content" ObjectID="_1791208785" r:id="rId22"/>
        </w:object>
      </w:r>
      <w:r>
        <w:object w:dxaOrig="225" w:dyaOrig="225">
          <v:shape id="_x0000_s1091" type="#_x0000_t75" style="position:absolute;margin-left:-26.25pt;margin-top:0;width:380.25pt;height:209.7pt;z-index:251673600">
            <v:imagedata r:id="rId23" o:title=""/>
            <w10:wrap type="topAndBottom"/>
          </v:shape>
          <o:OLEObject Type="Embed" ProgID="Excel.Sheet.12" ShapeID="_x0000_s1091" DrawAspect="Content" ObjectID="_1791208786" r:id="rId24"/>
        </w:object>
      </w:r>
    </w:p>
    <w:p w:rsidR="008C688A" w:rsidRDefault="008C688A" w:rsidP="008C688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>
        <w:rPr>
          <w:szCs w:val="18"/>
        </w:rPr>
        <w:t xml:space="preserve"> </w:t>
      </w:r>
      <w:r>
        <w:rPr>
          <w:b/>
          <w:szCs w:val="18"/>
        </w:rPr>
        <w:t>b)</w:t>
      </w:r>
      <w:r>
        <w:rPr>
          <w:szCs w:val="18"/>
        </w:rPr>
        <w:t xml:space="preserve"> </w:t>
      </w:r>
      <w:r>
        <w:rPr>
          <w:b/>
          <w:szCs w:val="18"/>
          <w:lang w:val="es-MX"/>
        </w:rPr>
        <w:t>NOTAS DE MEMORIA (CUENTAS DE ORDEN)</w:t>
      </w:r>
    </w:p>
    <w:p w:rsidR="008C688A" w:rsidRDefault="008C688A" w:rsidP="008C688A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Las cuentas que se manejan para efectos de este documento son las siguientes:</w:t>
      </w:r>
    </w:p>
    <w:p w:rsidR="008C688A" w:rsidRDefault="008C688A" w:rsidP="008C688A">
      <w:pPr>
        <w:pStyle w:val="Texto"/>
        <w:spacing w:after="0" w:line="276" w:lineRule="auto"/>
        <w:rPr>
          <w:b/>
          <w:szCs w:val="18"/>
        </w:rPr>
      </w:pPr>
      <w:r>
        <w:rPr>
          <w:b/>
          <w:szCs w:val="18"/>
        </w:rPr>
        <w:t>Cuentas de Orden Contables y Presupuestarias:</w:t>
      </w:r>
    </w:p>
    <w:p w:rsidR="008C688A" w:rsidRDefault="008C688A" w:rsidP="008C688A">
      <w:pPr>
        <w:pStyle w:val="Texto"/>
        <w:spacing w:after="0" w:line="276" w:lineRule="auto"/>
        <w:rPr>
          <w:b/>
          <w:szCs w:val="18"/>
        </w:rPr>
      </w:pPr>
    </w:p>
    <w:p w:rsidR="008C688A" w:rsidRDefault="008C688A" w:rsidP="008C688A">
      <w:pPr>
        <w:pStyle w:val="Texto"/>
        <w:spacing w:after="0" w:line="276" w:lineRule="auto"/>
        <w:ind w:left="2160" w:hanging="540"/>
        <w:rPr>
          <w:i/>
          <w:szCs w:val="18"/>
        </w:rPr>
      </w:pPr>
      <w:r>
        <w:rPr>
          <w:i/>
          <w:szCs w:val="18"/>
        </w:rPr>
        <w:t>Contables: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Valores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Emisión de obligaciones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Avales y garantías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Juicios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Contratos para Inversión Mediante Proyectos para Prestación de Servicios (PPS) y Similares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Bienes concesionados o en comodato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ind w:left="2160" w:hanging="540"/>
        <w:rPr>
          <w:i/>
          <w:szCs w:val="18"/>
        </w:rPr>
      </w:pPr>
      <w:r>
        <w:rPr>
          <w:i/>
          <w:szCs w:val="18"/>
        </w:rPr>
        <w:t>Presupuestarias: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Cuentas de ingresos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  <w:r>
        <w:rPr>
          <w:szCs w:val="18"/>
        </w:rPr>
        <w:tab/>
        <w:t>Cuentas de egresos</w:t>
      </w:r>
    </w:p>
    <w:p w:rsidR="008C688A" w:rsidRDefault="008C688A" w:rsidP="008C688A">
      <w:pPr>
        <w:pStyle w:val="Texto"/>
        <w:spacing w:after="0" w:line="276" w:lineRule="auto"/>
        <w:ind w:left="2160" w:hanging="540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Cuentas de orden contables y cuentas de orden presupuestario:</w:t>
      </w: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1. No aplica.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2. No aplica.</w:t>
      </w:r>
    </w:p>
    <w:p w:rsidR="008C688A" w:rsidRDefault="008C688A" w:rsidP="008C688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>3. No aplica.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c) NOTAS DE GESTIÓN ADMINISTRATIVA</w:t>
      </w:r>
    </w:p>
    <w:p w:rsidR="008C688A" w:rsidRDefault="008C688A" w:rsidP="008C688A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</w:rPr>
      </w:pPr>
      <w:r>
        <w:rPr>
          <w:b/>
          <w:szCs w:val="18"/>
          <w:lang w:val="es-MX"/>
        </w:rPr>
        <w:t>1.</w:t>
      </w:r>
      <w:r>
        <w:rPr>
          <w:b/>
          <w:szCs w:val="18"/>
          <w:lang w:val="es-MX"/>
        </w:rPr>
        <w:tab/>
        <w:t>Introducción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ab/>
        <w:t>Panorama Económico y Financiero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  <w:lang w:val="es-MX"/>
        </w:rPr>
        <w:t xml:space="preserve">Las condiciones </w:t>
      </w:r>
      <w:r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3.</w:t>
      </w:r>
      <w:r>
        <w:rPr>
          <w:b/>
          <w:szCs w:val="18"/>
          <w:lang w:val="es-MX"/>
        </w:rPr>
        <w:tab/>
        <w:t>Autorización e Historia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Fecha de creación del Instituto: 12 de abril de 1983.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Las jefaturas de departamento que actualmente operan en sus inicios se denominaban coordinaciones y en el caso de Administración y Finanzas era denominada Unidad.</w:t>
      </w:r>
    </w:p>
    <w:p w:rsidR="008C688A" w:rsidRDefault="008C688A" w:rsidP="008C688A">
      <w:pPr>
        <w:pStyle w:val="INCISO"/>
        <w:spacing w:after="0" w:line="276" w:lineRule="auto"/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4.</w:t>
      </w:r>
      <w:r>
        <w:rPr>
          <w:b/>
          <w:szCs w:val="18"/>
          <w:lang w:val="es-MX"/>
        </w:rPr>
        <w:tab/>
        <w:t>Organización y Objeto Social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Objeto Social: Promover, Difundir, coordinar y desarrollar las manifestaciones de la cultura en general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Principal actividad; cultura</w:t>
      </w:r>
    </w:p>
    <w:p w:rsidR="008C688A" w:rsidRDefault="008C688A" w:rsidP="008C688A">
      <w:pPr>
        <w:pStyle w:val="INCISO"/>
        <w:spacing w:after="0" w:line="276" w:lineRule="auto"/>
      </w:pPr>
      <w:r>
        <w:t>c)</w:t>
      </w:r>
      <w:r>
        <w:tab/>
        <w:t>Ejercicio fiscal 2017</w:t>
      </w:r>
    </w:p>
    <w:p w:rsidR="008C688A" w:rsidRDefault="008C688A" w:rsidP="008C688A">
      <w:pPr>
        <w:pStyle w:val="INCISO"/>
        <w:spacing w:after="0" w:line="276" w:lineRule="auto"/>
      </w:pPr>
      <w:r>
        <w:t>d)</w:t>
      </w:r>
      <w:r>
        <w:tab/>
        <w:t>Régimen jurídico: Es un Organismo público descentralizado, y es una persona moral con fines no lucrativos</w:t>
      </w:r>
    </w:p>
    <w:p w:rsidR="008C688A" w:rsidRDefault="008C688A" w:rsidP="008C688A">
      <w:pPr>
        <w:pStyle w:val="INCISO"/>
        <w:spacing w:after="0" w:line="276" w:lineRule="auto"/>
      </w:pPr>
      <w:r>
        <w:t>e)</w:t>
      </w:r>
      <w:r>
        <w:tab/>
        <w:t>Consideraciones fiscales del ente: Es retenedor del Impuesto sobre la renta por honorarios asimilables a salarios y Honorarios por prestación de Servicios Profesionales Independientes.</w:t>
      </w:r>
    </w:p>
    <w:p w:rsidR="008C688A" w:rsidRDefault="008C688A" w:rsidP="008C688A">
      <w:pPr>
        <w:pStyle w:val="INCISO"/>
        <w:spacing w:after="0" w:line="276" w:lineRule="auto"/>
      </w:pPr>
      <w:r>
        <w:t>f)</w:t>
      </w:r>
      <w:r>
        <w:tab/>
        <w:t>Estructura organizacional básica: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CONSEJO DIRECTIVO.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DIRECTOR GENERAL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ADMINISTRACIÓN Y FINANZAS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LOGÍSTICA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VINCULACIÓN Y DIFUSIÓN CULTURAL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EXTENSIÓN CULTURAL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JURÍDICO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RED DE MUSEOS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CASA DE MÚSICA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DEL MUSEO DE ARTE DE TLAXCALA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DEL MUSEO NACIONAL DEL TÍTERE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ESCUELA DE MÚSICA DE TLAXCALA  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CONTROL Y GESTIÓN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 PATRIMONIO CULTURAL Y PROGRAMAS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         JEFE DEL DEPARTAMENTO DEL MUSEO MIGUEL N. LIRA</w:t>
      </w:r>
    </w:p>
    <w:p w:rsidR="008C688A" w:rsidRDefault="008C688A" w:rsidP="008C688A">
      <w:pPr>
        <w:pStyle w:val="INCISO"/>
        <w:spacing w:after="0" w:line="276" w:lineRule="auto"/>
      </w:pPr>
      <w:r>
        <w:t>g)   No existen Fideicomisos, mandatos y análogos de los cuales es fideicomitente o fiduciario</w:t>
      </w: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5.</w:t>
      </w:r>
      <w:r>
        <w:rPr>
          <w:b/>
          <w:szCs w:val="18"/>
          <w:lang w:val="es-MX"/>
        </w:rPr>
        <w:tab/>
        <w:t>Bases de Preparación de los Estados Financieros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Se ha observado la normatividad emitida por el CONAC y las disposiciones legales aplicables.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8C688A" w:rsidRDefault="008C688A" w:rsidP="008C688A">
      <w:pPr>
        <w:pStyle w:val="INCISO"/>
        <w:spacing w:after="0" w:line="276" w:lineRule="auto"/>
      </w:pPr>
      <w:r>
        <w:t>c)</w:t>
      </w:r>
      <w:r>
        <w:tab/>
        <w:t>Se ha observado los Postulados básicos.</w:t>
      </w:r>
    </w:p>
    <w:p w:rsidR="008C688A" w:rsidRDefault="008C688A" w:rsidP="008C688A">
      <w:pPr>
        <w:pStyle w:val="INCISO"/>
        <w:spacing w:after="0" w:line="276" w:lineRule="auto"/>
      </w:pPr>
      <w:r>
        <w:t>d)</w:t>
      </w:r>
      <w:r>
        <w:tab/>
        <w:t xml:space="preserve">No se empleó ninguna Normatividad supletoria. </w:t>
      </w:r>
    </w:p>
    <w:p w:rsidR="008C688A" w:rsidRDefault="008C688A" w:rsidP="008C688A">
      <w:pPr>
        <w:pStyle w:val="INCISO"/>
        <w:spacing w:after="0" w:line="276" w:lineRule="auto"/>
      </w:pPr>
      <w:r>
        <w:t>e)</w:t>
      </w:r>
      <w:r>
        <w:tab/>
        <w:t>Se aclara que el Instituto aún no aplica el nuevo sistema de armonización contable, solo se armonizaron los formatos oficiales.</w:t>
      </w:r>
    </w:p>
    <w:p w:rsidR="008C688A" w:rsidRDefault="008C688A" w:rsidP="008C688A">
      <w:pPr>
        <w:pStyle w:val="Texto"/>
        <w:spacing w:after="0" w:line="276" w:lineRule="auto"/>
        <w:ind w:left="1440" w:hanging="360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6.</w:t>
      </w:r>
      <w:r>
        <w:rPr>
          <w:b/>
          <w:szCs w:val="18"/>
          <w:lang w:val="es-MX"/>
        </w:rPr>
        <w:tab/>
        <w:t>Políticas de Contabilidad Significativas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No se ha realizado la Actualización del valor de los activos, pasivos y Hacienda Pública y/o patrimonio.</w:t>
      </w:r>
    </w:p>
    <w:p w:rsidR="008C688A" w:rsidRDefault="008C688A" w:rsidP="008C688A">
      <w:pPr>
        <w:pStyle w:val="INCISO"/>
        <w:spacing w:after="0" w:line="276" w:lineRule="auto"/>
      </w:pPr>
      <w:r>
        <w:lastRenderedPageBreak/>
        <w:t>b)</w:t>
      </w:r>
      <w:r>
        <w:tab/>
        <w:t>No se realizaron operaciones en el extranjero.</w:t>
      </w:r>
    </w:p>
    <w:p w:rsidR="008C688A" w:rsidRDefault="008C688A" w:rsidP="008C688A">
      <w:pPr>
        <w:pStyle w:val="INCISO"/>
        <w:spacing w:after="0" w:line="276" w:lineRule="auto"/>
      </w:pPr>
      <w:r>
        <w:t>c)</w:t>
      </w:r>
      <w:r>
        <w:tab/>
        <w:t>No hay inversión en acciones en el Sector Paraestatal.</w:t>
      </w:r>
    </w:p>
    <w:p w:rsidR="008C688A" w:rsidRDefault="008C688A" w:rsidP="008C688A">
      <w:pPr>
        <w:pStyle w:val="INCISO"/>
        <w:spacing w:after="0" w:line="276" w:lineRule="auto"/>
      </w:pPr>
      <w:r>
        <w:t>d)</w:t>
      </w:r>
      <w:r>
        <w:tab/>
        <w:t>No hay un Sistema de valuación de inventarios.</w:t>
      </w:r>
    </w:p>
    <w:p w:rsidR="008C688A" w:rsidRDefault="008C688A" w:rsidP="008C688A">
      <w:pPr>
        <w:pStyle w:val="INCISO"/>
        <w:spacing w:after="0" w:line="276" w:lineRule="auto"/>
      </w:pPr>
      <w:r>
        <w:t>e)</w:t>
      </w:r>
      <w:r>
        <w:tab/>
        <w:t>No aplica.</w:t>
      </w:r>
    </w:p>
    <w:p w:rsidR="008C688A" w:rsidRDefault="008C688A" w:rsidP="008C688A">
      <w:pPr>
        <w:pStyle w:val="INCISO"/>
        <w:spacing w:after="0" w:line="276" w:lineRule="auto"/>
      </w:pPr>
      <w:r>
        <w:t>f)</w:t>
      </w:r>
      <w:r>
        <w:tab/>
        <w:t>No hay Provisiones.</w:t>
      </w:r>
    </w:p>
    <w:p w:rsidR="008C688A" w:rsidRDefault="008C688A" w:rsidP="008C688A">
      <w:pPr>
        <w:pStyle w:val="INCISO"/>
        <w:spacing w:after="0" w:line="276" w:lineRule="auto"/>
      </w:pPr>
      <w:r>
        <w:t>g)</w:t>
      </w:r>
      <w:r>
        <w:tab/>
        <w:t>No hay Reservas</w:t>
      </w:r>
    </w:p>
    <w:p w:rsidR="008C688A" w:rsidRDefault="008C688A" w:rsidP="008C688A">
      <w:pPr>
        <w:pStyle w:val="INCISO"/>
        <w:spacing w:after="0" w:line="276" w:lineRule="auto"/>
      </w:pPr>
      <w:r>
        <w:t>h)</w:t>
      </w:r>
      <w:r>
        <w:tab/>
        <w:t>No hubo Cambios en políticas contables y corrección de errores.</w:t>
      </w:r>
    </w:p>
    <w:p w:rsidR="008C688A" w:rsidRDefault="008C688A" w:rsidP="008C688A">
      <w:pPr>
        <w:pStyle w:val="INCISO"/>
        <w:spacing w:after="0" w:line="276" w:lineRule="auto"/>
      </w:pPr>
      <w:r>
        <w:t>i)</w:t>
      </w:r>
      <w:r>
        <w:tab/>
        <w:t>Reclasificaciones: Se deben revelar todos aquellos movimientos entre cuentas por efectos de cambios en los tipos de operaciones.</w:t>
      </w:r>
    </w:p>
    <w:p w:rsidR="008C688A" w:rsidRDefault="008C688A" w:rsidP="008C688A">
      <w:pPr>
        <w:pStyle w:val="INCISO"/>
        <w:spacing w:after="0" w:line="276" w:lineRule="auto"/>
      </w:pPr>
      <w:r>
        <w:t>j)</w:t>
      </w:r>
      <w:r>
        <w:tab/>
        <w:t>No se realizaron Depuraciones ni cancelaciones de saldos.</w:t>
      </w:r>
    </w:p>
    <w:p w:rsidR="008C688A" w:rsidRDefault="008C688A" w:rsidP="008C688A">
      <w:pPr>
        <w:pStyle w:val="INCISO"/>
        <w:spacing w:after="0" w:line="276" w:lineRule="auto"/>
        <w:ind w:left="0" w:firstLine="0"/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7.</w:t>
      </w:r>
      <w:r>
        <w:rPr>
          <w:b/>
          <w:szCs w:val="18"/>
          <w:lang w:val="es-MX"/>
        </w:rPr>
        <w:tab/>
        <w:t>Posición en Moneda Extranjera y Protección por Riesgo Cambiario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>Se informará sobre: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No existen Activos en moneda extranjera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No hay Pasivos en moneda extranjera</w:t>
      </w:r>
    </w:p>
    <w:p w:rsidR="008C688A" w:rsidRDefault="008C688A" w:rsidP="008C688A">
      <w:pPr>
        <w:pStyle w:val="INCISO"/>
        <w:spacing w:after="0" w:line="276" w:lineRule="auto"/>
      </w:pPr>
      <w:r>
        <w:t>c)</w:t>
      </w:r>
      <w:r>
        <w:tab/>
        <w:t>No hay Posición en moneda extranjera</w:t>
      </w:r>
    </w:p>
    <w:p w:rsidR="008C688A" w:rsidRDefault="008C688A" w:rsidP="008C688A">
      <w:pPr>
        <w:pStyle w:val="INCISO"/>
        <w:spacing w:after="0" w:line="276" w:lineRule="auto"/>
      </w:pPr>
      <w:r>
        <w:t>d)</w:t>
      </w:r>
      <w:r>
        <w:tab/>
        <w:t>Tipo de cambio (No aplica)</w:t>
      </w:r>
    </w:p>
    <w:p w:rsidR="008C688A" w:rsidRDefault="008C688A" w:rsidP="008C688A">
      <w:pPr>
        <w:pStyle w:val="INCISO"/>
        <w:spacing w:after="0" w:line="276" w:lineRule="auto"/>
      </w:pPr>
      <w:r>
        <w:t>e)</w:t>
      </w:r>
      <w:r>
        <w:tab/>
        <w:t>Equivalente en moneda nacional (No aplica)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8. Reporte Analítico del Activo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No se ha realizado la estimación de la vida útil del activo ni porcentajes de depreciación, deterioro o amortización utilizados en los diferentes tipos de activos.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No se ha hecho cambios en el porcentaje de depreciación o valor residual de los activos.</w:t>
      </w:r>
    </w:p>
    <w:p w:rsidR="008C688A" w:rsidRDefault="008C688A" w:rsidP="008C688A">
      <w:pPr>
        <w:pStyle w:val="INCISO"/>
        <w:spacing w:after="0" w:line="276" w:lineRule="auto"/>
      </w:pPr>
      <w:r>
        <w:t>c)</w:t>
      </w:r>
      <w:r>
        <w:tab/>
        <w:t>Importe de los gastos capitalizados en el ejercicio.</w:t>
      </w:r>
    </w:p>
    <w:p w:rsidR="008C688A" w:rsidRDefault="008C688A" w:rsidP="008C688A">
      <w:pPr>
        <w:pStyle w:val="INCISO"/>
        <w:spacing w:after="0" w:line="276" w:lineRule="auto"/>
      </w:pPr>
      <w:r>
        <w:t>d)</w:t>
      </w:r>
      <w:r>
        <w:tab/>
        <w:t>No existen riegos por tipo de cambio o tipo de interés de las inversiones financieras.</w:t>
      </w:r>
    </w:p>
    <w:p w:rsidR="008C688A" w:rsidRDefault="008C688A" w:rsidP="008C688A">
      <w:pPr>
        <w:pStyle w:val="INCISO"/>
        <w:spacing w:after="0" w:line="276" w:lineRule="auto"/>
      </w:pPr>
      <w:r>
        <w:t>e)</w:t>
      </w:r>
      <w:r>
        <w:tab/>
        <w:t>No existen bienes construidos por la entidad.</w:t>
      </w:r>
    </w:p>
    <w:p w:rsidR="008C688A" w:rsidRDefault="008C688A" w:rsidP="008C688A">
      <w:pPr>
        <w:pStyle w:val="INCISO"/>
        <w:spacing w:after="0" w:line="276" w:lineRule="auto"/>
      </w:pPr>
      <w:r>
        <w:t>f)</w:t>
      </w:r>
      <w:r>
        <w:tab/>
        <w:t>No existen: bienes en garantía, señalados en embargos, litigios, títulos de inversiones entregados en garantías, baja significativa del valor de inversiones financieras, etc.</w:t>
      </w:r>
    </w:p>
    <w:p w:rsidR="008C688A" w:rsidRDefault="008C688A" w:rsidP="008C688A">
      <w:pPr>
        <w:pStyle w:val="INCISO"/>
        <w:spacing w:after="0" w:line="276" w:lineRule="auto"/>
      </w:pPr>
      <w:r>
        <w:t>g)</w:t>
      </w:r>
      <w:r>
        <w:tab/>
        <w:t>No hubo desmantelamiento de Activos, procedimientos, implicaciones, efectos contables</w:t>
      </w:r>
    </w:p>
    <w:p w:rsidR="008C688A" w:rsidRDefault="008C688A" w:rsidP="008C688A">
      <w:pPr>
        <w:pStyle w:val="INCISO"/>
        <w:spacing w:after="0" w:line="276" w:lineRule="auto"/>
      </w:pPr>
      <w:r>
        <w:t>h)</w:t>
      </w:r>
      <w:r>
        <w:tab/>
        <w:t>La administración de activos: se asignaron los bienes en las áreas en las cuales tienen la utilización óptima para la cual fueron adquiridos.</w:t>
      </w:r>
    </w:p>
    <w:p w:rsidR="008C688A" w:rsidRDefault="008C688A" w:rsidP="008C688A">
      <w:pPr>
        <w:pStyle w:val="INCISO"/>
        <w:spacing w:after="0" w:line="276" w:lineRule="auto"/>
        <w:ind w:left="0" w:firstLine="0"/>
      </w:pP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 xml:space="preserve">        Variaciones en el activo: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El Instituto no tiene Inversiones en valores.</w:t>
      </w: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9.</w:t>
      </w:r>
      <w:r>
        <w:rPr>
          <w:b/>
          <w:szCs w:val="18"/>
          <w:lang w:val="es-MX"/>
        </w:rPr>
        <w:tab/>
        <w:t>Fideicomisos, Mandatos y Análogos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El Instituto no Tiene Fideicomisos, Mandatos y análogos.</w:t>
      </w:r>
    </w:p>
    <w:p w:rsidR="008C688A" w:rsidRDefault="008C688A" w:rsidP="008C688A">
      <w:pPr>
        <w:pStyle w:val="INCISO"/>
        <w:spacing w:after="0" w:line="276" w:lineRule="auto"/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10.</w:t>
      </w:r>
      <w:r>
        <w:rPr>
          <w:b/>
          <w:szCs w:val="18"/>
          <w:lang w:val="es-MX"/>
        </w:rPr>
        <w:tab/>
        <w:t>Reporte de la Recaudación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No se realizó la recaudación de ingresos propios.</w:t>
      </w: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11.</w:t>
      </w:r>
      <w:r>
        <w:rPr>
          <w:b/>
          <w:szCs w:val="18"/>
          <w:lang w:val="es-MX"/>
        </w:rPr>
        <w:tab/>
        <w:t>Información sobre la Deuda y el Reporte Analítico de la Deuda</w:t>
      </w:r>
    </w:p>
    <w:p w:rsidR="008C688A" w:rsidRDefault="008C688A" w:rsidP="008C688A">
      <w:pPr>
        <w:pStyle w:val="INCISO"/>
        <w:spacing w:after="0" w:line="276" w:lineRule="auto"/>
        <w:rPr>
          <w:lang w:val="es-MX"/>
        </w:rPr>
      </w:pPr>
      <w:r>
        <w:t>a)</w:t>
      </w:r>
      <w:r>
        <w:tab/>
        <w:t>El Instituto no tiene Deuda Pública</w:t>
      </w:r>
    </w:p>
    <w:p w:rsidR="008C688A" w:rsidRDefault="008C688A" w:rsidP="008C688A">
      <w:pPr>
        <w:pStyle w:val="INCISO"/>
        <w:spacing w:after="0" w:line="276" w:lineRule="auto"/>
        <w:rPr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12. Calificaciones otorgadas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 xml:space="preserve">       No existen operaciones que ameriten una calificación crediticia.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13.</w:t>
      </w:r>
      <w:r>
        <w:rPr>
          <w:b/>
          <w:szCs w:val="18"/>
          <w:lang w:val="es-MX"/>
        </w:rPr>
        <w:tab/>
        <w:t>Proceso de Mejora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>Se informará de:</w:t>
      </w:r>
    </w:p>
    <w:p w:rsidR="008C688A" w:rsidRDefault="008C688A" w:rsidP="008C688A">
      <w:pPr>
        <w:pStyle w:val="INCISO"/>
        <w:spacing w:after="0" w:line="276" w:lineRule="auto"/>
      </w:pPr>
      <w:r>
        <w:t>a)</w:t>
      </w:r>
      <w:r>
        <w:tab/>
        <w:t>Principales Políticas de control interno: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Las personas facultadas para autorizar adquisiciones y todo tipo de operaciones son el </w:t>
      </w:r>
      <w:proofErr w:type="gramStart"/>
      <w:r>
        <w:t>Director</w:t>
      </w:r>
      <w:proofErr w:type="gramEnd"/>
      <w:r>
        <w:t xml:space="preserve"> general y el jefe Administrativo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Se realizan auditorías constantes al Instituto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Se realizan Adquisiciones consolidadas 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Se elaboran bitácoras de mantenimientos y de suministros de combustibles.</w:t>
      </w:r>
    </w:p>
    <w:p w:rsidR="008C688A" w:rsidRDefault="008C688A" w:rsidP="008C688A">
      <w:pPr>
        <w:pStyle w:val="INCISO"/>
        <w:spacing w:after="0" w:line="276" w:lineRule="auto"/>
      </w:pPr>
      <w:r>
        <w:t>b)</w:t>
      </w:r>
      <w:r>
        <w:tab/>
        <w:t>Medidas de desempeño financiero, metas y alcance: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Se realiza el ejercicio del presupuesto con racionalidad y austeridad.</w:t>
      </w:r>
    </w:p>
    <w:p w:rsidR="008C688A" w:rsidRDefault="008C688A" w:rsidP="008C688A">
      <w:pPr>
        <w:pStyle w:val="INCISO"/>
        <w:spacing w:after="0" w:line="276" w:lineRule="auto"/>
      </w:pPr>
      <w:r>
        <w:t xml:space="preserve">      - Se intenta que los ingresos propios se vayan incrementando con el transcurso del tiempo.</w:t>
      </w:r>
    </w:p>
    <w:p w:rsidR="008C688A" w:rsidRDefault="008C688A" w:rsidP="008C688A">
      <w:pPr>
        <w:pStyle w:val="INCISO"/>
        <w:spacing w:after="0" w:line="276" w:lineRule="auto"/>
      </w:pPr>
      <w:r>
        <w:lastRenderedPageBreak/>
        <w:t xml:space="preserve">      - Se pretende cubrir a todo el estado con la realización de eventos culturales y la oferta cultural educativa.</w:t>
      </w:r>
    </w:p>
    <w:p w:rsidR="008C688A" w:rsidRDefault="008C688A" w:rsidP="008C688A">
      <w:pPr>
        <w:pStyle w:val="INCISO"/>
        <w:spacing w:after="0" w:line="276" w:lineRule="auto"/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14.</w:t>
      </w:r>
      <w:r>
        <w:rPr>
          <w:b/>
          <w:szCs w:val="18"/>
          <w:lang w:val="es-MX"/>
        </w:rPr>
        <w:tab/>
        <w:t>Información por Segmentos</w:t>
      </w: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szCs w:val="18"/>
          <w:lang w:val="es-MX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15.</w:t>
      </w:r>
      <w:r>
        <w:rPr>
          <w:b/>
          <w:szCs w:val="18"/>
          <w:lang w:val="es-MX"/>
        </w:rPr>
        <w:tab/>
        <w:t>Eventos Posteriores al Cierre</w:t>
      </w:r>
    </w:p>
    <w:p w:rsidR="008C688A" w:rsidRDefault="008C688A" w:rsidP="008C688A">
      <w:pPr>
        <w:pStyle w:val="Texto"/>
        <w:spacing w:after="0" w:line="276" w:lineRule="auto"/>
        <w:rPr>
          <w:szCs w:val="18"/>
        </w:rPr>
      </w:pPr>
      <w:r>
        <w:rPr>
          <w:szCs w:val="18"/>
        </w:rPr>
        <w:t>No aplica</w:t>
      </w:r>
    </w:p>
    <w:p w:rsidR="008C688A" w:rsidRDefault="008C688A" w:rsidP="008C688A">
      <w:pPr>
        <w:pStyle w:val="Texto"/>
        <w:spacing w:after="0" w:line="276" w:lineRule="auto"/>
        <w:ind w:firstLine="0"/>
        <w:rPr>
          <w:szCs w:val="18"/>
        </w:rPr>
      </w:pPr>
    </w:p>
    <w:p w:rsidR="008C688A" w:rsidRDefault="008C688A" w:rsidP="008C688A">
      <w:pPr>
        <w:pStyle w:val="Texto"/>
        <w:spacing w:after="0" w:line="276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16.</w:t>
      </w:r>
      <w:r>
        <w:rPr>
          <w:b/>
          <w:szCs w:val="18"/>
          <w:lang w:val="es-MX"/>
        </w:rPr>
        <w:tab/>
        <w:t>Partes Relacionadas</w:t>
      </w:r>
    </w:p>
    <w:p w:rsidR="008C688A" w:rsidRDefault="008C688A" w:rsidP="008C688A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>No existen partes relacionadas que pudieran ejercer influencia significativa sobre la toma de decisiones financieras y operativas.</w:t>
      </w:r>
    </w:p>
    <w:p w:rsidR="008C688A" w:rsidRDefault="008C688A" w:rsidP="008C688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C688A" w:rsidRDefault="008C688A" w:rsidP="008C688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C688A" w:rsidRDefault="008C688A" w:rsidP="008C688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C688A" w:rsidRDefault="008C688A" w:rsidP="008C688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C688A" w:rsidRDefault="008C688A" w:rsidP="008C688A">
      <w:pPr>
        <w:pStyle w:val="Texto"/>
        <w:spacing w:after="0" w:line="240" w:lineRule="exact"/>
        <w:rPr>
          <w:szCs w:val="18"/>
        </w:rPr>
      </w:pPr>
    </w:p>
    <w:p w:rsidR="008C688A" w:rsidRDefault="008C688A" w:rsidP="008C688A">
      <w:pPr>
        <w:pStyle w:val="Texto"/>
        <w:spacing w:after="0" w:line="240" w:lineRule="exact"/>
        <w:rPr>
          <w:szCs w:val="18"/>
        </w:rPr>
      </w:pPr>
    </w:p>
    <w:p w:rsidR="008C688A" w:rsidRDefault="008C688A" w:rsidP="008C688A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8C688A" w:rsidRDefault="008C688A" w:rsidP="008C688A">
      <w:pPr>
        <w:pStyle w:val="Texto"/>
        <w:spacing w:after="0" w:line="240" w:lineRule="exact"/>
        <w:rPr>
          <w:szCs w:val="18"/>
        </w:rPr>
      </w:pPr>
    </w:p>
    <w:p w:rsidR="008C688A" w:rsidRDefault="008C688A" w:rsidP="008C688A">
      <w:pPr>
        <w:pStyle w:val="Texto"/>
        <w:spacing w:after="0" w:line="240" w:lineRule="exact"/>
        <w:rPr>
          <w:szCs w:val="18"/>
        </w:rPr>
      </w:pPr>
    </w:p>
    <w:p w:rsidR="008C688A" w:rsidRDefault="008C688A" w:rsidP="008C688A">
      <w:pPr>
        <w:pStyle w:val="Texto"/>
        <w:spacing w:after="0" w:line="240" w:lineRule="exact"/>
        <w:rPr>
          <w:szCs w:val="18"/>
        </w:rPr>
      </w:pPr>
    </w:p>
    <w:p w:rsidR="008C688A" w:rsidRDefault="008C688A" w:rsidP="008C688A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8C688A" w:rsidRDefault="008C688A" w:rsidP="008C688A">
      <w:pPr>
        <w:spacing w:after="0"/>
        <w:jc w:val="center"/>
        <w:rPr>
          <w:szCs w:val="18"/>
        </w:rPr>
      </w:pPr>
      <w:r>
        <w:object w:dxaOrig="225" w:dyaOrig="225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91208787" r:id="rId26"/>
        </w:object>
      </w:r>
      <w:r>
        <w:rPr>
          <w:szCs w:val="18"/>
        </w:rPr>
        <w:t>AYUDAS Y SUBSIDIOS</w:t>
      </w:r>
    </w:p>
    <w:p w:rsidR="008C688A" w:rsidRDefault="008C688A" w:rsidP="008C688A">
      <w:pPr>
        <w:spacing w:after="0"/>
        <w:jc w:val="center"/>
        <w:rPr>
          <w:szCs w:val="18"/>
        </w:rPr>
      </w:pPr>
    </w:p>
    <w:tbl>
      <w:tblPr>
        <w:tblpPr w:leftFromText="141" w:rightFromText="141" w:bottomFromText="200" w:vertAnchor="text" w:horzAnchor="margin" w:tblpXSpec="center" w:tblpY="44"/>
        <w:tblW w:w="8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031"/>
        <w:gridCol w:w="1032"/>
        <w:gridCol w:w="1537"/>
        <w:gridCol w:w="1032"/>
        <w:gridCol w:w="1032"/>
        <w:gridCol w:w="810"/>
        <w:gridCol w:w="996"/>
      </w:tblGrid>
      <w:tr w:rsidR="008C688A" w:rsidTr="008C688A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Montos pagados por ayudas y subsidios</w:t>
            </w:r>
          </w:p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septiembre de 2024</w:t>
            </w: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688A" w:rsidRDefault="008C688A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8C688A" w:rsidTr="008C688A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88A" w:rsidRDefault="008C688A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8C688A" w:rsidRPr="00667D50" w:rsidRDefault="008C688A" w:rsidP="008C688A">
      <w:bookmarkStart w:id="0" w:name="_GoBack"/>
      <w:bookmarkEnd w:id="0"/>
    </w:p>
    <w:sectPr w:rsidR="008C688A" w:rsidRPr="00667D50" w:rsidSect="00647161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79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55" w:rsidRDefault="00730055" w:rsidP="00EA5418">
      <w:pPr>
        <w:spacing w:after="0" w:line="240" w:lineRule="auto"/>
      </w:pPr>
      <w:r>
        <w:separator/>
      </w:r>
    </w:p>
  </w:endnote>
  <w:endnote w:type="continuationSeparator" w:id="0">
    <w:p w:rsidR="00730055" w:rsidRDefault="007300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CD424F" w:rsidRPr="00CD424F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D424F" w:rsidRPr="00CD424F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55" w:rsidRDefault="00730055" w:rsidP="00EA5418">
      <w:pPr>
        <w:spacing w:after="0" w:line="240" w:lineRule="auto"/>
      </w:pPr>
      <w:r>
        <w:separator/>
      </w:r>
    </w:p>
  </w:footnote>
  <w:footnote w:type="continuationSeparator" w:id="0">
    <w:p w:rsidR="00730055" w:rsidRDefault="007300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4716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949B80" wp14:editId="0C1E2BA9">
              <wp:simplePos x="0" y="0"/>
              <wp:positionH relativeFrom="column">
                <wp:posOffset>-298450</wp:posOffset>
              </wp:positionH>
              <wp:positionV relativeFrom="paragraph">
                <wp:posOffset>-332300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64716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CD424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49B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6.1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Fhp0DjfAAAACgEAAA8AAAAAAAAAAAAAAAAAFgUAAGRycy9kb3ducmV2LnhtbFBLBQYAAAAABAAE&#10;APMAAAAiBgAAAAA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647161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CD424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38FC20" wp14:editId="392D25D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411E7F3" wp14:editId="0DFC2142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3042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1E7F3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3042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3892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47C7E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9744C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3832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14A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5FF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1526"/>
    <w:rsid w:val="006429DB"/>
    <w:rsid w:val="00643BBD"/>
    <w:rsid w:val="0064409F"/>
    <w:rsid w:val="006441E4"/>
    <w:rsid w:val="006443DF"/>
    <w:rsid w:val="00647161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05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666FE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88A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172DD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54EA"/>
    <w:rsid w:val="00AF68D1"/>
    <w:rsid w:val="00B006FD"/>
    <w:rsid w:val="00B0402E"/>
    <w:rsid w:val="00B04DFA"/>
    <w:rsid w:val="00B052B4"/>
    <w:rsid w:val="00B06D4E"/>
    <w:rsid w:val="00B073ED"/>
    <w:rsid w:val="00B10095"/>
    <w:rsid w:val="00B10DA4"/>
    <w:rsid w:val="00B11CB7"/>
    <w:rsid w:val="00B11E8F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709"/>
    <w:rsid w:val="00C55BBF"/>
    <w:rsid w:val="00C55C76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854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24F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2380"/>
    <w:rsid w:val="00DB3AF6"/>
    <w:rsid w:val="00DB4C18"/>
    <w:rsid w:val="00DB53FB"/>
    <w:rsid w:val="00DB6C0A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663F5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77D"/>
    <w:rsid w:val="00EF29BE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42C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AE4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7B3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contabilidad2020\Documents\ESTADOS%20FINANCIEROS%202023\CUENTA%20PUBLICA%20ENE-MAR%2023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contabilidad2020\Documents\ESTADOS%20FINANCIEROS%202023\CUENTA%20PUBLICA%20ENE-MAR%2023\01.%20Contable\FORMATO%20EADOP.xlsx" TargetMode="External"/><Relationship Id="rId20" Type="http://schemas.openxmlformats.org/officeDocument/2006/relationships/oleObject" Target="file:///C:\Users\contabilidad2020\Documents\ESTADOS%20FINANCIEROS%202023\CUENTA%20PUBLICA%20ENE-MAR%2023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3\CUENTA%20PUBLICA%20ENE-MAR%2023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3\CUENTA%20PUBLICA%20ENE-MAR%2023\01.%20Contable\FORMATO%20EA.xlsx" TargetMode="External"/><Relationship Id="rId14" Type="http://schemas.openxmlformats.org/officeDocument/2006/relationships/oleObject" Target="file:///C:\Users\contabilidad2020\Documents\ESTADOS%20FINANCIEROS%202023\CUENTA%20PUBLICA%20ENE-MAR%2023\01.%20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0694-10C1-496C-857C-E07D7B20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2099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 O</cp:lastModifiedBy>
  <cp:revision>77</cp:revision>
  <cp:lastPrinted>2024-10-09T20:03:00Z</cp:lastPrinted>
  <dcterms:created xsi:type="dcterms:W3CDTF">2022-01-17T23:39:00Z</dcterms:created>
  <dcterms:modified xsi:type="dcterms:W3CDTF">2024-10-23T23:13:00Z</dcterms:modified>
</cp:coreProperties>
</file>