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271A703"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2D20E8F2"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29550FF"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68C10DA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2024, la economía global mostró un crecimiento estable, aunque con un comportamiento heterogéneo entre regiones y sectores de la economía. La inflación continuó su tendencia a la baja, si bien a un ritmo más moderado hacia finales de año debido a algunos repuntes en los choques de oferta. Asimismo, persistieron factores adversos como la incertidumbre comercial, las tensiones geopolíticas y los fenómenos meteorológicos extremos, mismos que generaron disrupciones en la actividad económica y presiones sobre la formación de precios, complicando el ciclo de recortes de tasas de interés por parte de los bancos centrales. </w:t>
      </w:r>
    </w:p>
    <w:p w14:paraId="7B13367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ese año, la economía de Estados Unidos (EE.UU.) experimentó un crecimiento de 2.8% anual, impulsado por el consumo privado y un sólido mercado laboral, superando las proyecciones de analistas a inicios de 2024 y su tendencia de largo plazo. En contraste, la zona euro creció a un ritmo moderado del 0.7%, debido a la debilidad de la demanda interna y la caída de la producción industrial, especialmente en Alemania. En China, por su parte, el impulso de las exportaciones netas y la producción manufacturera, apoyadas por los estímulos fiscales al cierre de año, compensaron el mal desempeño del sector inmobiliario y la desaceleración del consumo interno, resultando en un crecimiento del 5.0% anual, en línea con la meta oficial. </w:t>
      </w:r>
    </w:p>
    <w:p w14:paraId="0D985BD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 lo largo de 2024, el proceso </w:t>
      </w:r>
      <w:proofErr w:type="spellStart"/>
      <w:r w:rsidRPr="00833657">
        <w:rPr>
          <w:rFonts w:ascii="Arial" w:hAnsi="Arial" w:cs="Arial"/>
          <w:sz w:val="18"/>
          <w:szCs w:val="18"/>
        </w:rPr>
        <w:t>desinflacionario</w:t>
      </w:r>
      <w:proofErr w:type="spellEnd"/>
      <w:r w:rsidRPr="00833657">
        <w:rPr>
          <w:rFonts w:ascii="Arial" w:hAnsi="Arial" w:cs="Arial"/>
          <w:sz w:val="18"/>
          <w:szCs w:val="18"/>
        </w:rPr>
        <w:t xml:space="preserve"> avanzó hacia los objetivos de inflación de la mayoría de los bancos centrales, impulsado por la disipación de los choques de oferta y un mercado laboral más equilibrado en las economías avanzadas. No obstante, hacia finales de 2024 se registraron repuntes inflacionarios asociados a la volatilidad de los precios de las materias primas y la persistencia de la inflación en el sector servicios, ésta última relacionada con las rentas de vivienda y servicios de transporte en EE.UU. </w:t>
      </w:r>
    </w:p>
    <w:p w14:paraId="523F260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Asimismo, continuaron las tensiones en Medio Oriente y en Europa del Este, así como las sequías y huracanes, factores que afectaron tanto la producción como los precios en diversos países. En respuesta, la mayoría de los bancos centrales ajustó su postura monetaria, aunque adoptando un enfoque más cauteloso ante la persistencia inflacionaria y los riesgos derivados de posibles cambios en el panorama económico. La Reserva Federal (FED) continuó su ciclo de recorte de tasas, si bien en menor magnitud, disminuyendo la tasa en 25 puntos base (pb) durante noviembre y diciembre, situando el rango entre 4.25 y 4.50%. Por su parte, el Banco Central Europeo (BCE) redujo su tasa de depósitos en dos ocasiones, también en 25 pb, situándose en 3.00%, ante la continua moderación del crecimiento y la inflación.</w:t>
      </w:r>
    </w:p>
    <w:p w14:paraId="392C3C3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recortes en las tasas de política monetaria mejoraron las condiciones financieras, especialmente en la segunda mitad de 2024. No obstante, tras el resultado de las elecciones en EE.UU., el apetito por el riesgo aumentó en los mercados bursátiles, impulsado por expectativas de menores tasas impositivas y políticas desregulatorias que </w:t>
      </w:r>
      <w:r w:rsidRPr="00833657">
        <w:rPr>
          <w:rFonts w:ascii="Arial" w:hAnsi="Arial" w:cs="Arial"/>
          <w:sz w:val="18"/>
          <w:szCs w:val="18"/>
        </w:rPr>
        <w:lastRenderedPageBreak/>
        <w:t xml:space="preserve">favorecerían el crecimiento de los negocios. Por otra parte, la incertidumbre fiscal y comercial aumentó, lo que provocó incrementos en la tasa de 10 años de los bonos del Tesoro de hasta 80 pb, a pesar de la disminución en la tasa de la FED, situándose al cierre de año en 4.6%. </w:t>
      </w:r>
    </w:p>
    <w:p w14:paraId="710F114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 anterior también resultó en un aumento del riesgo país en algunas economías emergentes, generando episodios de volatilidad en los mercados cambiarios. En 2024, de acuerdo con la estimación oportuna del Instituto Nacional de Estadística y Geografía (INEGI), la economía mexicana creció 1.5%, impulsada por los elementos más importantes de la demanda interna, el consumo y la inversión, que mantuvieron crecimientos superiores a su tendencia histórica. Lo anterior contrarrestó parcialmente los choques externos y climatológicos, como la alta persistencia de sequías, que afectaron principalmente a la manufactura y a las actividades primarias durante el año y particularmente al cierre de 2024. </w:t>
      </w:r>
    </w:p>
    <w:p w14:paraId="255A8A77"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dinamismo de la demanda interna continuó impulsando el crecimiento económico en 2024. Entre enero y octubre, el consumo privado creció 3.5% respecto al mismo periodo de 2023, con lo que hiló cuatro años consecutivos de incrementos por arriba de su promedio histórico. Además, destacó el crecimiento del consumo de bienes duraderos de 12.3% en el mismo periodo, el cual reflejó la mejora en la situación financiera de los hogares. Esta dinámica fue consistente con la confianza del consumidor observada durante el año, que alcanzó niveles récord desde que se tiene registro en prácticamente todos sus componentes. </w:t>
      </w:r>
    </w:p>
    <w:p w14:paraId="240ADE0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particular, destacó el aumento en las posibilidades que reportan los hogares para realizar actividades como salir de vacaciones, comprar o remodelar su casa, o adquirir un automóvil. De manera similar, entre enero y octubre de 2024 la inversión mantuvo un ritmo de crecimiento positivo, al aumentar 4.7% respecto al mismo periodo de 2023, con lo que, al igual que el consumo, acumuló cuatro años de aumentos superiores a su promedio histórico. En el periodo, destacó el crecimiento de 5.7% anual en la inversión privada, impulsada por niveles de confianza empresarial que permanecieron por arriba de sus tendencias históricas, reflejando un entorno favorable para los negocios y la tendencia de reconfiguración de las cadenas globales de valor en favor de México. </w:t>
      </w:r>
    </w:p>
    <w:p w14:paraId="60505CE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mercado laboral continuó mostrando un desempeño positivo en 2024. Durante el año, el nivel de empleo fue superior al del año pasado en 778 mil empleos mientras que la tasa de desempleo promedió un nivel de 2.7%, su nivel más bajo desde que se tiene registro. Además, la tasa de participación laboral de las mujeres alcanzó en 2024 un nivel sin precedentes, registrando por tercer año consecutivo un nuevo máximo histórico. Por su parte, durante el cuarto trimestre de 2024 la inflación general al consumidor continuó con una tendencia a la baja hasta cerrar el año en 4.2% anual, con lo que registró el nivel más bajo desde 2020 y el regreso al promedio previo a la pandemia. </w:t>
      </w:r>
    </w:p>
    <w:p w14:paraId="79FCDAE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Este comportamiento respondió a una disminución generalizada en la mayoría de sus componentes, favorecidos por una mayor disponibilidad de productos agrícolas, a medida que las condiciones de sequía en el país disminuyeron y se registraron menores precios de los energéticos, así como una moderación en los precios del sector servicios. En el mismo periodo, el sector externo recibió el impulso de un tipo de cambio más competitivo que contribuyó a un crecimiento trimestral de 0.9% en el valor de las exportaciones totales, con datos ajustados por estacionalidad. </w:t>
      </w:r>
    </w:p>
    <w:p w14:paraId="4BCC02A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2024, el crecimiento de las exportaciones de manufacturas hacia EE.UU. continuó con su trayectoria ascendente, consolidando a México como el principal socio comercial de ese país, con crecimientos destacados en productos como computadoras, aparatos electrónicos, vehículos y equipo de transporte. La Inversión Extranjera Directa (IED) también mostró resultados positivos en 2024. </w:t>
      </w:r>
    </w:p>
    <w:p w14:paraId="6C8E529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los primeros tres trimestres, la IED acumuló un flujo de 35 mil 737 millones de dólares, con lo que alcanzó un nivel superior al que se haya tenido registro en otros años, según cifras preliminares. Destacaron las inversiones destinadas a la manufactura en la industria de equipo de transporte, mismas que contribuyeron al dinamismo económico durante el año. Por su parte, el sistema financiero mexicano enfrentó episodios de volatilidad y aversión al riesgo asociados tanto a factores externos como internos. </w:t>
      </w:r>
    </w:p>
    <w:p w14:paraId="22CEC00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tipo de cambio cerró 2024 en 20.8 pesos por dólar, lo que representó una depreciación del 18.5% respecto al año anterior. Este comportamiento también se reflejó en otras divisas como el real brasileño, el peso chileno y el rand sudafricano, que se depreciaron en 21.4, 11.7 y 2.6%, respectivamente. Además, el riesgo país en México, medido por el EMBI+, aumentó 18 pb, una tendencia similar que lo observado en otras economías con la misma calificación crediticia, como Panamá e Indonesia, con incrementos de 34 y 11 puntos, respectivamente. </w:t>
      </w:r>
    </w:p>
    <w:p w14:paraId="638FF260"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lastRenderedPageBreak/>
        <w:t>En cuanto al crédito, el sector privado no financiero experimentó un crecimiento acumulado del 8.2% real a noviembre de 2024, con aumentos en el crédito al consumo y empresarial de 14.5 y 8.1% real, respectivamente. Además, la banca en México presentó un desempeño favorable ya que, en octubre, el Índice de Capitalización (ICAP) de la banca se ubicó en 19.5%, superando el mínimo regulatorio de Basilea III del 10.5%. Mientras tanto, el Índice de Morosidad (IMOR) se mantuvo en niveles bajos y tolerables en un promedio de 2.0%, al tiempo que el Índice de Morosidad Ajustada (IMORA) fue del 4.2%.</w:t>
      </w:r>
    </w:p>
    <w:p w14:paraId="0047B94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2024, las finanzas públicas permanecieron sólidas a pesar de un entorno económico y financiero global desafiante. Los balances fiscales se mantuvieron alineados con las metas establecidas por el H. Congreso de la Unión, mientras que la deuda pública se ubicó en un nivel estable y sostenible, reafirmando el compromiso del Gobierno de México con una política fiscal prudente. A lo largo del año, diversos riesgos macroeconómicos pusieron a prueba la estabilidad de las finanzas públicas; sin embargo, estos factores no comprometieron su solidez, por lo que no fue necesario recurrir a medidas extraordinarias de ajuste fiscal ni al uso de los fondos de estabilización.</w:t>
      </w:r>
    </w:p>
    <w:p w14:paraId="1861B2C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buen desempeño fiscal se sustentó en la fortaleza de los ingresos presupuestarios, que en 2024 registraron un crecimiento real anual de 1.7%, acumulando cuatro años consecutivos de incrementos. En comparación con lo programado, los ingresos totales superaron las expectativas en 165 mil millones de pesos, a pesar del complejo entorno global. Este resultado fue impulsado por el dinamismo de la economía y por una administración eficiente y responsable de la recaudación tributaria, que alcanzó un nivel de 14.6% del PIB, la cifra más alta desde que se tiene registro. Dicho desempeño representa una ganancia estructural de 1.9 puntos porcentuales (</w:t>
      </w:r>
      <w:proofErr w:type="spellStart"/>
      <w:r w:rsidRPr="00833657">
        <w:rPr>
          <w:rFonts w:ascii="Arial" w:hAnsi="Arial" w:cs="Arial"/>
          <w:sz w:val="18"/>
          <w:szCs w:val="18"/>
        </w:rPr>
        <w:t>pp</w:t>
      </w:r>
      <w:proofErr w:type="spellEnd"/>
      <w:r w:rsidRPr="00833657">
        <w:rPr>
          <w:rFonts w:ascii="Arial" w:hAnsi="Arial" w:cs="Arial"/>
          <w:sz w:val="18"/>
          <w:szCs w:val="18"/>
        </w:rPr>
        <w:t xml:space="preserve">) del PIB respecto a 2018, reflejo de los efectos de las medidas de fiscalización, eficiencia recaudatoria y promoción del cumplimiento de las obligaciones fiscales. </w:t>
      </w:r>
    </w:p>
    <w:p w14:paraId="65B43FE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términos anuales, los ingresos tributarios aumentaron 4.7% real, el segundo crecimiento más alto desde 2017. Al interior de la recaudación, destacó el Impuesto Sobre la Renta (ISR), que alcanzó un nivel histórico de 7.9% del PIB, impulsado por la fortaleza del empleo y el incremento de los salarios reales. Aunque en la primera mitad de 2024 se observó una ligera caída, en la segunda parte del año se registró una recuperación, lo que permitió cerrar con un crecimiento real anual de 2.2%. En cuanto al Impuesto al Valor Agregado (IVA), este representó el 4.1% del PIB, aunque mostró una caída real anual de 1.6%. Por su parte, el Impuesto Especial sobre Producción y Servicios (IEPS) alcanzó el 1.9% del PIB, con un crecimiento real anual de 34.8%. </w:t>
      </w:r>
    </w:p>
    <w:p w14:paraId="214C992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Dentro de este rubro, el componente de combustibles representó 1.7 veces lo recaudado en 2023 en términos reales, reflejando la normalización de los estímulos fiscales. En contraste, la recaudación asociada al consumo de tabaco, bebidas alcohólicas y otros bienes se mantuvo prácticamente estable. Por el lado de los ingresos petroleros, si bien estos estuvieron influidos por factores externos como la caída de los precios de referencia del gas natural y la menor plataforma de producción y exportación, dichos efectos fueron parcialmente compensados por un mayor precio de la mezcla mexicana y un tipo de cambio superior al previsto en el programa. Como resultado, los ingresos petroleros representaron el 12.8% del total de los ingresos presupuestarios. </w:t>
      </w:r>
    </w:p>
    <w:p w14:paraId="6361AF7A"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cuanto a los ingresos de organismos y empresas distintas de Petróleos Mexicanos (Pemex), en 2024 estos alcanzaron un nivel de 3.6% del PIB. Dentro de este grupo, los ingresos propios de la Comisión Federal de Electricidad (CFE) crecieron 3.5% en términos reales, mientras que los ingresos del Instituto Mexicano del Seguro Social (IMSS) y el Instituto de Seguridad y Servicios Sociales de los Trabajadores del Estado (ISSSTE) aumentaron en conjunto 8.3% real anual, en un contexto de mayor empleo formal y crecimiento de los salarios reales. Finalmente, los ingresos no tributarios del Gobierno Federal permanecieron constantes en términos reales y superaron lo programado en 110 mil millones de pesos.</w:t>
      </w:r>
    </w:p>
    <w:p w14:paraId="4D2B225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materia de gasto, se mantuvieron los criterios establecidos en el Paquete Económico 2024, asegurando una asignación eficiente de los recursos hacia programas con impacto directo en la reducción de la pobreza y proyectos estratégicos de infraestructura. El gasto en desarrollo social alcanzó un nivel sin precedentes de 12.8% del PIB, lo que representó un incremento real anual de 7.3%, explicado por mayores asignaciones en educación, salud y protección social, áreas clave para la consolidación del estado de bienestar. </w:t>
      </w:r>
    </w:p>
    <w:p w14:paraId="31502EA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particular, el gasto en protección social creció 10.8% en términos reales, lo que permitió ampliar la cobertura de programas dirigidos a personas en situación de vulnerabilidad, principalmente adultos mayores y personas con discapacidad. Asimismo, en 2024 la inversión en infraestructura se ubicó en 3.1% del PIB, por encima del promedio de 2.7% registrado en los cinco años previos. Este nivel de inversión favoreció la culminación de proyectos </w:t>
      </w:r>
      <w:r w:rsidRPr="00833657">
        <w:rPr>
          <w:rFonts w:ascii="Arial" w:hAnsi="Arial" w:cs="Arial"/>
          <w:sz w:val="18"/>
          <w:szCs w:val="18"/>
        </w:rPr>
        <w:lastRenderedPageBreak/>
        <w:t xml:space="preserve">prioritarios con impacto directo en el crecimiento económico y el desarrollo regional, tales como el Tren Maya, el Tren Interurbano México-Toluca, el Corredor Interoceánico, así como las obras hidráulicas de la Comisión Nacional del Agua (CONAGUA), iniciativas de mejoramiento urbano, caminos y carreteras. </w:t>
      </w:r>
    </w:p>
    <w:p w14:paraId="565FA49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Estos proyectos no solo fortalecen la conectividad entre las regiones del país, sino que también impulsan la actividad productiva y fomentan la integración de cadenas de valor en sectores estratégicos. En un contexto de condiciones financieras restrictivas tanto a nivel nacional como global, el costo financiero de la deuda registró un incremento real anual de 5.1% en 2024. No obstante, como resultado de diversas operaciones de manejo de pasivos, el pago de intereses se ubicó 9.0% por debajo de lo programado, lo que permitió liberar recursos para partidas prioritarias y mejorar el balance fiscal. </w:t>
      </w:r>
    </w:p>
    <w:p w14:paraId="2E3B22B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Adicionalmente, con estos ahorros se destinaron 45 mil millones de pesos a la capitalización del Fondo de Estabilización de los Ingresos Presupuestarios (FEIP), el cual cerró el año con un saldo de 97 mil millones de pesos, lo que representó un aumento, en términos reales, del 129.1% respecto a 2023. El fortalecimiento del fondo de estabilización refuerza los amortiguadores fiscales del país, asegurando la capacidad del Gobierno para hacer frente a posibles choques económicos en el futuro sin comprometer la estabilidad de las finanzas públicas. Como resultado de lo anterior, los balances de finanzas públicas reflejaron una gestión equilibrada y responsable. </w:t>
      </w:r>
    </w:p>
    <w:p w14:paraId="5C5D55D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Al cierre de 2024, el déficit presupuestario se ubicó en 4.9% del PIB, mientras que los Requerimientos Financieros del Sector Público (RFSP) alcanzaron 5.7% del PIB, lo que representó una reducción de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 la estimación previa y confirma el cumplimiento de las metas fiscales. Estos resultados ratifican el compromiso del Gobierno de México con una política fiscal prudente y sostenible, que garantiza la estabilidad macroeconómica y sienta las bases para un crecimiento económico sostenido.</w:t>
      </w:r>
    </w:p>
    <w:p w14:paraId="7B7F376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2024, la política de deuda se enfocó en cubrir las necesidades de financiamiento con un nivel de costo y riesgo adecuados. Ante retos como la persistencia de una política monetaria en terrenos restrictivos, tensiones geopolíticas y depreciación del tipo de cambio, se priorizó el financiamiento en el mercado local a tasa fija y largo plazo, y se realizaron acciones para mejorar el perfil de vencimientos del portafolio de deuda. </w:t>
      </w:r>
    </w:p>
    <w:p w14:paraId="0C8650C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 anterior permitió mantener un portafolio de deuda flexible y contribuir a la estabilidad de la trayectoria de la deuda como proporción del PIB. Al cierre de 2024, la deuda pública, medida por el Saldo Histórico de los Requerimientos Financieros del Sector Público (SHRFSP) se ubicó en 17 billones 425 mil 502 millones de pesos, equivalente al 51.4% del PIB. Al interior, el componente interno ascendió a 13 billones 48 mil 658.1 millones de pesos (74.8% del total), mientras que el externo registró un nivel de 215 mil 945.3 millones de dólares (25.2% del total). </w:t>
      </w:r>
    </w:p>
    <w:p w14:paraId="1C3DF55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lo que respecta a la estrategia de manejo de pasivos, en 2024 se refinanciaron 840 mil millones de pesos en el mercado interno y 894 millones de dólares en el mercado externo, mediante un proceso de vencimiento anticipado que no implicó la emisión de un nuevo financiamiento, y redujo la deuda externa. Estas acciones disminuyeron las necesidades de liquidez de corto plazo y beneficiaron al perfil de vencimientos. Asimismo, se llevaron a cabo seis colocaciones sindicadas en el mercado interno por un monto total de 105 mil millones de pesos, dos colocaciones de </w:t>
      </w:r>
      <w:proofErr w:type="spellStart"/>
      <w:r w:rsidRPr="00833657">
        <w:rPr>
          <w:rFonts w:ascii="Arial" w:hAnsi="Arial" w:cs="Arial"/>
          <w:sz w:val="18"/>
          <w:szCs w:val="18"/>
        </w:rPr>
        <w:t>Udibonos</w:t>
      </w:r>
      <w:proofErr w:type="spellEnd"/>
      <w:r w:rsidRPr="00833657">
        <w:rPr>
          <w:rFonts w:ascii="Arial" w:hAnsi="Arial" w:cs="Arial"/>
          <w:sz w:val="18"/>
          <w:szCs w:val="18"/>
        </w:rPr>
        <w:t xml:space="preserve"> por un equivalente de 24 mil millones de pesos, una colocación de Bonos M por 13 mil millones de pesos y tres colocaciones de Bondes G por 68 mil millones de pesos. </w:t>
      </w:r>
    </w:p>
    <w:p w14:paraId="1244D13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De igual manera, se realizaron tres operaciones en los mercados internacionales por un total de 10 mil 721 millones de dólares, con las que se logró mejorar la eficiencia de la curva de rendimientos de estos bonos, así como consolidar las curvas de rendimientos sostenibles en los mercados de euros y yenes. Cabe resaltar que todas las operaciones realizadas en 2024 se llevaron a cabo dentro del techo de endeudamiento autorizado por el H. Congreso de la Unión. </w:t>
      </w:r>
    </w:p>
    <w:p w14:paraId="1ED2CE59"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resultados de la estrategia de manejo de deuda se reflejaron en la composición de la deuda neta del Gobierno Federal que al cierre de 2024 se situó en 15 billones 214 mil 609.7 millones de pesos (44.8% del PIB), de la cual la deuda interna ascendió a 12 billones 703 mil 792.9 millones de pesos, y la deuda externa se ubicó en 123 mil 879.0 millones de dólares. El plazo promedio de la deuda en valores gubernamentales para el componente interno fue de 7.8 años, con un 77.3% de valores a tasa fija y largo plazo. </w:t>
      </w:r>
    </w:p>
    <w:p w14:paraId="5A85035E"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Con respecto a la deuda externa de mercado, su plazo promedio se ubicó en 18.7 años, con el 100% denominada en tasa fija. Por otra parte, la deuda neta del Sector Público Federal se situó en 17 billones 551 mil 535.8 millones </w:t>
      </w:r>
      <w:r w:rsidRPr="00833657">
        <w:rPr>
          <w:rFonts w:ascii="Arial" w:hAnsi="Arial" w:cs="Arial"/>
          <w:sz w:val="18"/>
          <w:szCs w:val="18"/>
        </w:rPr>
        <w:lastRenderedPageBreak/>
        <w:t>de pesos (51.7% del PIB), con 13 billones 126 mil 424.6 millones de pesos en deuda interna y 218 mil 326.7 millones de dólares en deuda externa.</w:t>
      </w:r>
    </w:p>
    <w:p w14:paraId="52D4A57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actividad económica global aceleró su crecimiento en comparación con el trimestre previo, impulsada por el dinamismo en China y sus exportaciones manufactureras. Asimismo, la fortaleza económica de EE.UU. continuó impulsada por el consumo privado y una baja tasa de desempleo. En contraste, la zona euro experimentó un crecimiento más moderado, afectado por el débil desempeño de su industria y una menor confianza por parte de hogares y empresas. En el mismo periodo, la inflación global mantuvo una tendencia decreciente en la mayoría de los países, acercándose a los objetivos de inflación de sus bancos centrales. Sin embargo, se registraron repuntes asociados a los precios de energéticos y alimentos, así como a la inflación subyacente. </w:t>
      </w:r>
    </w:p>
    <w:p w14:paraId="7BEB5CE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EE.UU., se estabilizó la deflación de las mercancías y aumentó la inflación de servicios, mientras que la renta de vivienda siguió mostrando persistencia. Los precios de materias primas se incrementaron por conflictos geopolíticos, eventos climáticos adversos y ajustes en la producción de crudo de la Organización de Países Productores de Petróleo y sus aliados (OPEP+). La FED recortó en dos ocasiones su tasa de referencia en 25 pb, ubicando el rango en 4.25- 4.50%, lo que alivió la presión sobre las condiciones financieras globales. Sin embargo, desde que las encuestas daban ventaja a Donald Trump para ganar las elecciones y tras varios anuncios sobre posibles medidas de política, los mercados financieros mostraron resultados mixtos. </w:t>
      </w:r>
    </w:p>
    <w:p w14:paraId="31D356F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un lado, aumentó el apetito por riesgo en activos de renta variable, mientras que, por el otro, surgieron preocupaciones por nuevas presiones fiscales y comerciales, lo que presionó al alza los rendimientos de los bonos y a la baja los precios de los activos de renta fija, junto con la expectativa de que la FED dejará la tasa de política monetaria elevada por un tiempo más prolongado. Lo anterior, generó aumentos en el riesgo-país de algunas economías emergentes y episodios de volatilidad en los mercados cambiarios.</w:t>
      </w:r>
    </w:p>
    <w:p w14:paraId="57ECF26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economía de EE.UU. creció 0.6% real, menor al 0.8% del trimestre previo, aunque superior al 0.4% esperado en octubre por el consenso de analistas. De esta manera, la actividad económica registró un crecimiento anual de 2.8% en 2024, por encima del anticipado por el mercado a inicios de año de 1.6% anual. </w:t>
      </w:r>
    </w:p>
    <w:p w14:paraId="381C75D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principal impulso a la economía estadounidense en el cuarto trimestre provino del consumo privado en bienes y servicios. Su contribución al crecimiento aumentó ligeramente, con respecto al trimestre previo, de 0.6 a 0.7 </w:t>
      </w:r>
      <w:proofErr w:type="spellStart"/>
      <w:r w:rsidRPr="00833657">
        <w:rPr>
          <w:rFonts w:ascii="Arial" w:hAnsi="Arial" w:cs="Arial"/>
          <w:sz w:val="18"/>
          <w:szCs w:val="18"/>
        </w:rPr>
        <w:t>pp</w:t>
      </w:r>
      <w:proofErr w:type="spellEnd"/>
      <w:r w:rsidRPr="00833657">
        <w:rPr>
          <w:rFonts w:ascii="Arial" w:hAnsi="Arial" w:cs="Arial"/>
          <w:sz w:val="18"/>
          <w:szCs w:val="18"/>
        </w:rPr>
        <w:t>, debido a una creación de empleo sostenido, acompañado de una sólida posición financiera de los hogares.</w:t>
      </w:r>
    </w:p>
    <w:p w14:paraId="30943E7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Por su parte, la inversión privada registró una contribución negativa al crecimiento ante una caída en la inversión no residencial y una menor variación de inventarios, cuyo componente es altamente volátil, a pesar del crecimiento en la inversión residencial. Asimismo, aunque el aumento del gasto del gobierno contribuyó positivamente al crecimiento, éste fue de menor magnitud que el trimestre anterior. Por último, las exportaciones netas, afectadas por el paro portuario en octubre, tuvieron una aportación poco significativa ante una caída en las importaciones superior a la de las exportaciones. </w:t>
      </w:r>
    </w:p>
    <w:p w14:paraId="05C59C9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indicadores adelantados del sector servicios mostraron un crecimiento robusto en el último trimestre de 2024, liderado por los segmentos financieros, personales y de salud. Por otro lado, si bien en diciembre se observó un ligero repunte impulsado por una mayor confianza empresarial, las manufacturas mantuvieron un débil desempeño durante el último trimestre de 2024 atribuido a la incertidumbre electoral en EE.UU., así como a diversos choques de oferta provocados por los huracanes Helene y Milton, al sureste del país, y las huelgas de Boeing y portuarias en la costa este del país. </w:t>
      </w:r>
    </w:p>
    <w:p w14:paraId="3492F30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Estos eventos contribuyeron a que la actividad industrial y la producción manufacturera en EE.UU. se redujeran 0.2 y 0.3% en el cuarto trimestre, respectivamente, con lo que se acumularon dos trimestres de caídas consecutivas. Estas disminuciones, además, afectaron a sectores clave para la exportación de México, como la producción de equipo eléctrico, vehículos y autopartes, y aeroespacial, que cayeron 1.0, 1.0 y 12.5%, respectivamente. No obstante, la producción de electrónicos creció 0.7% en el mismo periodo.</w:t>
      </w:r>
    </w:p>
    <w:p w14:paraId="6D92B333"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las presiones en el mercado laboral continuaron disminuyendo en EE.UU., aunque su comportamiento fue afectado por diversos choques de oferta. En diciembre, la tasa de desempleo, ajustada por estacionalidad, se mantuvo estable en 4.1% con respecto a septiembre. El ritmo de creación de empleo se aceleró a 170 mil plazas nuevas, superior a las 159 mil del trimestre previo. Cabe mencionar que, durante este periodo, el </w:t>
      </w:r>
      <w:r w:rsidRPr="00833657">
        <w:rPr>
          <w:rFonts w:ascii="Arial" w:hAnsi="Arial" w:cs="Arial"/>
          <w:sz w:val="18"/>
          <w:szCs w:val="18"/>
        </w:rPr>
        <w:lastRenderedPageBreak/>
        <w:t>mercado laboral sufrió pérdidas por huracanes y huelgas en EE.UU., lo que resultó en cierres de negocios y plantas que provocaron una creación atípicamente baja de 43 mil empleos en octubre, para posteriormente recuperarse en noviembre (212 mil) y diciembre (256 mil), principalmente con ganancias en los rubros de servicios como educación, salud y gobierno.</w:t>
      </w:r>
    </w:p>
    <w:p w14:paraId="635C0D7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tasa de participación laboral se ubicó en 62.5% en diciembre, una ligera disminución de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observado en septiembre, principalmente por una reducción en la participación de personas de entre 25 y 54 años. Por su parte, los salarios reales por hora crecieron a una tasa más moderada en 1.0% anual en diciembre, inferior al 1.4% en septiembre, debido a un repunte en la inflación durante el mismo periodo.</w:t>
      </w:r>
    </w:p>
    <w:p w14:paraId="0CFFF47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inflación repuntó durante el cuarto trimestre de 2024 en EE.UU. La variación anual del deflactor implícito del gasto en consumo personal (PCE) subió a 2.4% en noviembre desde 2.1% en septiembre, impulsada por una menor deflación de la gasolina y bienes. El componente subyacente se incrementó de 2.7 a 2.8% debido a aumentos en servicios financieros, restaurantes y hoteles, así como a la persistencia inflacionaria en rentas de vivienda, que moderó ligeramente su ritmo de crecimiento. </w:t>
      </w:r>
    </w:p>
    <w:p w14:paraId="2EA21CF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mercado de materias primas, los precios internacionales del petróleo aumentaron durante el último trimestre de 2024. Por un lado, se extendieron los recortes a la producción de crudo por parte de la OPEP+ hasta 2026, a la par que las tensiones geopolíticas continuaron y aumentaron las expectativas de mayores sanciones a Rusia e Irán lo que afectaría el suministro de crudo. Por otro lado, el aumento del precio del crudo estuvo limitado por la expectativa de una amplia oferta por parte de EE.UU., además de la debilidad en el consumo de China. Así, al 31 de diciembre, el WTI y la mezcla mexicana de exportación (MME) se incrementaron 5.2 y 4.6% con respecto al cierre del trimestre previo, situándose en 71.7 y 66.7 dólares por barril (dpb), respectivamente. </w:t>
      </w:r>
    </w:p>
    <w:p w14:paraId="0D8FD67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su parte, la Organización de las Naciones Unidas para la Alimentación y la Agricultura (FAO, por sus siglas en inglés) estimó que los precios de los alimentos subieron 2.0% entre septiembre y diciembre de 2024. Para el mismo periodo, destacó el incremento de los precios de los aceites vegetales de 14.7%, debido a una menor producción en países de Asia sudoriental; y el aumento del precio del maíz de 7.9%, apoyado por una alta demanda de países como México y Brasil.</w:t>
      </w:r>
    </w:p>
    <w:p w14:paraId="569F891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zona euro registró un nulo crecimiento, en contraste con el 0.4% del trimestre previo, por lo que en el año creció 0.7% anual. Persistió el bajo desempeño de la demanda interna y la debilidad en la confianza de hogares y empresas, especialmente en Alemania y Francia, debido a un menor crecimiento económico y las tensiones políticas internas. Además, los indicadores adelantados mostraron una disminución en el dinamismo del sector servicios, principalmente tras el fin del impulso por los Juegos Olímpicos en Francia, mientras que el sector manufacturero prolongó su bajo desempeño en la región. </w:t>
      </w:r>
    </w:p>
    <w:p w14:paraId="7B51478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inflación anual repuntó de 1.7% en septiembre a 2.4% en diciembre de 2024 debido, en parte, a efectos de base de comparación asociado a mayores precios de energéticos, aunado a incrementos en los precios de alimentos procesados. Por su parte, el componente subyacente se mantuvo en 2.7% por cuarto mes consecutivo, con incrementos moderados en los precios de bienes y servicios.</w:t>
      </w:r>
    </w:p>
    <w:p w14:paraId="464868A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el cuarto trimestre de 2024, la economía de China creció a una tasa trimestral de 1.6% real. superior al 1.3% registrado en el periodo anterior. Este repunte se debió a la demanda externa, el aumento en la producción de manufacturas “verdes”, como autos eléctricos y paneles solares, así como por los programas de estímulo implementados por el gobierno. En noviembre de 2024, el gobierno chino desplegó un programa multianual por 1.4 billones de dólares para mitigar los efectos de la crisis inmobiliaria sobre el endeudamiento relacionado de los gobiernos locales, así como a diversas medidas para fortalecer los bancos estatales. </w:t>
      </w:r>
    </w:p>
    <w:p w14:paraId="77762E4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Sin embargo, los indicadores de confianza y consumo interno mostraron signos de desaceleración, debido al deterioro del mercado inmobiliario y los riesgos de implementación de aranceles por parte de EE.UU. En ese contexto, los precios al consumidor se desaceleraron a una tasa promedio de 0.2% anual durante el trimestre, mientras que los precios al productor sumaron 27 meses consecutivos en deflación.</w:t>
      </w:r>
    </w:p>
    <w:p w14:paraId="359AECD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el cuarto trimestre de 2024, las economías avanzadas y emergentes continuaron con el ritmo de relajación monetaria ante la moderación de las presiones laborales e inflacionarias. Sin embargo, en varios países las perspectivas se han vuelto más cautelosas ante los riesgos de una inflación más persistente a la prevista y, en el caso de EE.UU., ante una mayor fortaleza económica y los posibles efectos inflacionarios por las políticas de la </w:t>
      </w:r>
      <w:r w:rsidRPr="00833657">
        <w:rPr>
          <w:rFonts w:ascii="Arial" w:hAnsi="Arial" w:cs="Arial"/>
          <w:sz w:val="18"/>
          <w:szCs w:val="18"/>
        </w:rPr>
        <w:lastRenderedPageBreak/>
        <w:t>nueva administración. En este contexto, la FED redujo su tasa de referencia en 25 pb durante ambas reuniones del 7 de noviembre y el 18 de diciembre, situándose en un rango de 4.25-4.50%.</w:t>
      </w:r>
    </w:p>
    <w:p w14:paraId="4BEEF17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No obstante, en sus proyecciones de diciembre, el Comité de Mercado Abierto redujo el recorte total esperado de tasas para 2025 en 50 pb, en lugar de los 100 pb que se proyectaron en septiembre del año pasado. En ese sentido, al cierre de año, el mercado de futuros anticipaba dos recortes de 25 pb para 2025, contrario a la expectativa previa de cinco recortes esperados al cierre del tercer trimestre. Por otro lado, el ritmo de reducción del balance de la FED se mantuvo sin cambios con un saldo de 6.9 billones de dólares al 31 de diciembre, lo que representó una disminución de 200 mil millones respecto al tercer trimestre de 2024.</w:t>
      </w:r>
    </w:p>
    <w:p w14:paraId="05596E2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El BCE redujo sus tres principales tasas de interés en 25 pb durante las reuniones del 17 de octubre y 12 de diciembre. Como resultado, la tasa marginal de crédito, de financiamiento y de depósito se ubicaron en 3.40, 3.15 y 3.00%, respectivamente. A finales de diciembre, el mercado anticipaba cuatro recortes adicionales de 25 pb durante 2025, lo que situaría la tasa de depósitos a 2.00%. Por otro lado, la hoja de balance del BCE se redujo a 6.4 billones de euros, 41 mil millones menos que al cierre del trimestre anterior. </w:t>
      </w:r>
    </w:p>
    <w:p w14:paraId="715DCDF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las economías de Latinoamérica, la mayoría de los bancos centrales, como Colombia, Chile, Perú y México, redujeron sus tasas de política monetaria durante el último trimestre de 2024. En contraste, el Banco Central de Brasil incrementó su tasa de referencia en 50 y 100 pb, durante las reuniones del 6 de noviembre y 11 de diciembre, respectivamente, para contener los repuntes inflacionarios y mantener ancladas las expectativas de inflación. Cabe destacar que Brasil enfrentó un escenario complejo de credibilidad fiscal debido a su elevado nivel de déficit y deuda pública con respecto al PIB, lo que incrementó el riesgo-país y depreció su moneda hasta un 20% en diciembre. </w:t>
      </w:r>
    </w:p>
    <w:p w14:paraId="008FAAE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respuesta, el Banco Central intervino en el mercado cambiario con un total aproximado de 14 mil millones de dólares a través de subastas en dólares para proporcionar liquidez y limitar la depreciación del real, buscando así mantener la estabilidad financiera. De acuerdo con su guía prospectiva, no se descartan nuevos incrementos en la tasa de referencia para 2025.</w:t>
      </w:r>
    </w:p>
    <w:p w14:paraId="790B85F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Durante el último trimestre de 2024, el apetito por riesgo en los mercados de renta variable aumentó y los diferenciales de crédito se redujeron por la expectativa de menores tasas impositivas y políticas desregulatorias que favorecerían el crecimiento de las empresas tras el anuncio de la llegada de Trump a la presidencia. Sin embargo, surgieron preocupaciones sobre riesgos fiscales y comerciales que pudieran generar nuevas presiones inflacionarias. Esto resultó en un aumento de los rendimientos de los bonos, una apreciación del dólar estadounidense y un incremento en las primas de riesgo a largo plazo, lo que ejerció presión sobre las condiciones financieras globales.</w:t>
      </w:r>
    </w:p>
    <w:p w14:paraId="5DF53A2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Así, el S&amp;P 500 alcanzó un máximo histórico el 6 de diciembre de 2024, pero revirtió su tendencia a mediados de mes tras previsiones de menores recortes de la FED, lo que aumentó la volatilidad en los mercados y ubicó el VIX, el 18 de diciembre, en un nivel no visto desde agosto de 2023. Asimismo, y a pesar de los recortes en la tasa de referencia, la tasa de 10 años de los bonos del Tesoro aumentó 80 pb, con lo que cerró el año en 4.57%, un nivel no visto desde junio, mientras que el dólar se apreció un 7.6% en el mismo periodo.</w:t>
      </w:r>
    </w:p>
    <w:p w14:paraId="445FE879"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las economías emergentes, los mercados accionarios reportaron una disminución de 8.1% entre septiembre y diciembre de 2024, de acuerdo con el índice bursátil MSCI, mientras que el flujo hacia estas economías presentó una salida de capitales de 3.1%, particularmente en instrumentos de deuda. Si bien al finalizar el año, el EMBI+ disminuyó 29 pb, respecto al cierre del trimestre anterior, países como México, Panamá e Indonesia registraron incrementos en su riesgo país, en un contexto marcado por factores internos, la incertidumbre electoral en EE.UU.</w:t>
      </w:r>
    </w:p>
    <w:p w14:paraId="011E454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la economía mexicana estuvo afectada por choques externos y factores climatológicos que impactaron principalmente a la industria de la manufactura y a las actividades primarias. Durante el periodo, la creación de empleo y el aumento de salarios siguieron favoreciendo el consumo interno, al tiempo que continuó la tendencia a la baja en la inflación. La depreciación del tipo de cambio contribuyó a que el sector externo fuera más competitivo, lo cual aportó a un crecimiento positivo al cuarto trimestre, destacando el crecimiento de las exportaciones de manufacturas en los sectores de computadoras y aparatos electrónicos y de equipo de transporte. </w:t>
      </w:r>
    </w:p>
    <w:p w14:paraId="21A928C8"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lastRenderedPageBreak/>
        <w:t xml:space="preserve">Asimismo, la llegada de inversión extranjera alcanzó máximos históricos y complementó al dinamismo económico del periodo. De acuerdo con la estimación oportuna del INEGI, durante el cuarto trimestre de 2024 el PIB registró una caída trimestral ajustada por estacionalidad de 0.6%. Este desempeño se explicó por factores climatológicos que afectaron a las actividades primarias, las cuales se contrajeron a una tasa trimestral de 8.9% y explicaron la mitad de la caída de la actividad económica. Por su parte, las actividades secundarias resintieron los efectos sobre la manufactura de los huracanes Helene y Milton, con lo que registraron una caída trimestral de 1.2%. Finalmente, el sector servicios registro un crecimiento de 0.2% trimestral. </w:t>
      </w:r>
    </w:p>
    <w:p w14:paraId="77FE20B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información del Indicador Global de la Actividad Económica (IGAE) para el bimestre octubre-noviembre y con cifras ajustadas por estacionalidad, el comportamiento de los sectores económicos fue el siguiente:</w:t>
      </w:r>
    </w:p>
    <w:p w14:paraId="583A75AD"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Las actividades agropecuarias se contrajeron bimestralmente 2.6% luego de que en el periodo diversas zonas del noreste de México enfrentaran condiciones de sequía y baja precipitación, así como un incremento en los costos de producción, lo que perjudicó a cultivos como el maíz blanco, el frijol, el sorgo y las hortalizas. Si bien durante el último trimestre de 2024 el porcentaje de superficie afectada por las sequías disminuyó respecto a los primeros tres trimestres de ese año, permaneció elevado y las afectaciones continuaron debido a la naturaleza cíclica de los cultivos, así como la lenta recuperación de los niveles de humedad necesarios en el subsuelo, lo que dificultó el restablecimiento de la producción en el corto plazo.</w:t>
      </w:r>
    </w:p>
    <w:p w14:paraId="71D4090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La producción industrial disminuyó 0.8% bimestral, afectada por caídas en la manufactura, la construcción y la minería, a pesar de un incremento en el sector de electricidad, agua y gas:</w:t>
      </w:r>
    </w:p>
    <w:p w14:paraId="1C670EA6"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Durante el bimestre, las manufacturas registraron un desempeño mixto al contraerse 1.8% mensual en octubre, tras una recuperación de 0.7% en noviembre. En octubre, los sectores más vinculados al comercio exterior fueron impactados por los efectos indirectos de los huracanes Helene y Milton que afectaron la actividad manufacturera de EE.UU. así como la huelga de la empresa Boeing. Destacó la caída mensual de 4.3% en el subsector de equipo de transporte en octubre. En noviembre, la manufactura recuperó parcialmente la contracción del mes anterior, registrando un crecimiento en 14 de sus 21 subsectores. Entre los subsectores que destacaron se encuentran el equipo de transporte, otras industrias manufactureras y la industria alimentaria.</w:t>
      </w:r>
    </w:p>
    <w:p w14:paraId="6380C5AF"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La construcción disminuyó 0.2% a tasa bimestral debido a que el aumento en el componente de edificación, impulsado por la construcción de vivienda y de edificios industriales, no logró compensar la caída en la construcción de obras de ingeniería civil.</w:t>
      </w:r>
    </w:p>
    <w:p w14:paraId="73F6ADCB"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La minería disminuyó 2.0% por caídas bimestrales en los subsectores de servicios relacionados, extracción de petróleo y, gas y minería de minerales metálicos y no metálicos. El sector fue afectado por menores niveles en el precio internacional promedio de algunos energéticos, así como por las condiciones climatológicas adversas en el Golfo de México durante la temporada de huracanes.</w:t>
      </w:r>
    </w:p>
    <w:p w14:paraId="29AD2B1D" w14:textId="77777777" w:rsidR="00833657" w:rsidRPr="00833657" w:rsidRDefault="00833657" w:rsidP="00A11793">
      <w:pPr>
        <w:ind w:left="709"/>
        <w:jc w:val="both"/>
        <w:rPr>
          <w:rFonts w:ascii="Arial" w:hAnsi="Arial" w:cs="Arial"/>
          <w:sz w:val="18"/>
          <w:szCs w:val="18"/>
          <w:lang w:val="es-ES"/>
        </w:rPr>
      </w:pPr>
      <w:r w:rsidRPr="00833657">
        <w:rPr>
          <w:rFonts w:ascii="Arial" w:hAnsi="Arial" w:cs="Arial"/>
          <w:sz w:val="18"/>
          <w:szCs w:val="18"/>
        </w:rPr>
        <w:t>o El sector de electricidad, agua y gas se benefició de las condiciones climáticas adversas que impulsaron un mayor uso de aparatos de aire acondicionado y calefacción, con lo que presentó un alza bimestral de 0.2%.</w:t>
      </w:r>
    </w:p>
    <w:p w14:paraId="1F3DBDF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sym w:font="Symbol" w:char="F0B7"/>
      </w:r>
      <w:r w:rsidRPr="00833657">
        <w:rPr>
          <w:rFonts w:ascii="Arial" w:hAnsi="Arial" w:cs="Arial"/>
          <w:sz w:val="18"/>
          <w:szCs w:val="18"/>
        </w:rPr>
        <w:t xml:space="preserve"> Los servicios presentaron un comportamiento positivo en 7 de sus 14 subsectores. Al interior destacaron las alzas bimestrales en los subsectores de servicios de salud y los de comercio al por mayor y al por menor, los cuales crecieron 1.2, 1.1 y 0.7%, respectivamente. El comercio al por menor se benefició de una mayor demanda durante el periodo, así como de la temporada de ofertas del Buen Fin.</w:t>
      </w:r>
    </w:p>
    <w:p w14:paraId="6077E3A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La información más reciente de la demanda interna muestra que en octubre de 2024 el consumo privado registró una disminución mensual de 0.7% con cifras ajustadas por estacionalidad. En el periodo, el consumo privado resintió los efectos de los huracanes Helene y Milton en el Golfo de México y el huracán John en el pacífico, que interrumpieron algunas actividades económicas. Por otro lado, durante ese mes algunos hogares postergaron sus decisiones de consumo a la espera de la temporada de ofertas del buen fin en el mes de noviembre. Finalmente, en el consumo de bienes importados continuó la tendencia a la baja que presentó desde mayo de 2024 afectado por la depreciación real del peso.</w:t>
      </w:r>
    </w:p>
    <w:p w14:paraId="371F8DC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Durante el cuarto trimestre de 2024, las ventas minoristas de la Asociación de Tiendas de Autoservicio y Departamentales (ANTAD) repuntaron 0.6% trimestral, con cifras ajustadas por estacionalidad, luego de reportar mejores resultados en los segmentos de ropa y calzado y tiendas de autoservicio. Adicionalmente, durante el cuarto </w:t>
      </w:r>
      <w:r w:rsidRPr="00833657">
        <w:rPr>
          <w:rFonts w:ascii="Arial" w:hAnsi="Arial" w:cs="Arial"/>
          <w:sz w:val="18"/>
          <w:szCs w:val="18"/>
        </w:rPr>
        <w:lastRenderedPageBreak/>
        <w:t>trimestre la venta de automóviles nuevos creció en 1.2% trimestral, con cifras ajustadas por estacionalidad y cerró el año con una venta de 1.5 millones, su nivel más alto de los últimos seis años.</w:t>
      </w:r>
    </w:p>
    <w:p w14:paraId="10E2CA1A"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octubre de 2024, la inversión fija bruta aumentó 0.1% respecto al mes anterior, con cifras ajustadas por estacionalidad. En la inversión en construcción, el crecimiento del componente residencial no fue suficiente para contrarrestar la disminución en el componente no residencial. Por su parte, dentro de la inversión en maquinaria y equipo, se observó un crecimiento mensual impulsado por el repunte del componente importado luego de que en los meses previos había perdido dinamismo por la depreciación real del peso.</w:t>
      </w:r>
    </w:p>
    <w:p w14:paraId="4E7E3B7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De acuerdo con la información de la Encuesta Nacional de Ocupación y Empleo (ENOE), el mercado laboral mostró un desempeño favorable en el último trimestre de 2024. La población ocupada se ubicó en 59.7 millones de personas, un aumento de 823 mil empleos respecto a lo registrado el mismo trimestre de 2023. Destacó el crecimiento de la ocupación formal de 642 mil personas, que contribuyó a una disminución en la tasa de informalidad laboral de 0.4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 la observada el mismo trimestre de 2023.</w:t>
      </w:r>
    </w:p>
    <w:p w14:paraId="4F9FEB89"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sectores económicos, el incremento en la población ocupada se explicó principalmente por el empleo en el sector de servicios, particularmente en servicios sociales y de transportes. Estos resultados contrarrestaron el bajo desempeño en las actividades agropecuarias y la construcción, que se contrajeron en 138 mil y 39 mil personas, respectivamente.</w:t>
      </w:r>
    </w:p>
    <w:p w14:paraId="5714972F"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En el cuarto trimestre de 2024, la tasa de desempleo se ubicó en 2.5%, su nivel más bajo para un mismo trimestre, y fue 0.2 </w:t>
      </w:r>
      <w:proofErr w:type="spellStart"/>
      <w:r w:rsidRPr="00833657">
        <w:rPr>
          <w:rFonts w:ascii="Arial" w:hAnsi="Arial" w:cs="Arial"/>
          <w:sz w:val="18"/>
          <w:szCs w:val="18"/>
        </w:rPr>
        <w:t>pp</w:t>
      </w:r>
      <w:proofErr w:type="spellEnd"/>
      <w:r w:rsidRPr="00833657">
        <w:rPr>
          <w:rFonts w:ascii="Arial" w:hAnsi="Arial" w:cs="Arial"/>
          <w:sz w:val="18"/>
          <w:szCs w:val="18"/>
        </w:rPr>
        <w:t xml:space="preserve"> inferior a la observada el mismo trimestre de 2023, equivalente a una reducción de 82 mil personas. Lo anterior fue impulsado por reducciones del desempleo de corto plazo (menor a los tres meses) y de mediano plazo (de seis meses a un año).</w:t>
      </w:r>
    </w:p>
    <w:p w14:paraId="235FA93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La población no económicamente activa creció anualmente en 1.4 millones de personas durante el cuarto trimestre debido a que la población disponible y no disponible crecieron en 361 mil y 1.1 millones de personas respectivamente. Mientras que la población sub-ocupada alcanzó un nivel de 5 millones de personas, lo que resultó en una tasa de sub-ocupación de 8.4% en el trimestre.</w:t>
      </w:r>
    </w:p>
    <w:p w14:paraId="236AB7C8"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información del IMSS, al cierre del 2024, el número de trabajadores registrados creció en 214 mil, con un aumento en los puestos permanentes de 347 mil y una disminución en los eventuales de 133 mil. A nivel sectorial, el comercio, los servicios para empresas y hogares, transporte y las manufacturas registraron un mayor número de trabajadores, lo que compensó las contracciones en la construcción y el sector agropecuario.</w:t>
      </w:r>
    </w:p>
    <w:p w14:paraId="7282F80D"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regiones, la información de empleo del IMSS mostró un crecimiento anual en 21 entidades federativas. Destacaron los incrementos de 79 y 67 mil en el Estado de México y Nuevo León, respectivamente. Por el contrario, las disminuciones de empleo se concentraron principalmente en Tabasco y algunos estados del noreste del país. Estos comportamientos estuvieron asociados a la finalización de obras públicas, así como al impacto de las sequías en los sectores agropecuarios.</w:t>
      </w:r>
    </w:p>
    <w:p w14:paraId="4909BCC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Con cifras ajustadas por estacionalidad, en el cuatro trimestre de 2024 el número de trabajadores registrados ante el IMSS disminuyó 0.1% respecto al trimestre previo, principalmente por una caída en el empleo en el sector de la construcción. Con información mensual, la dinámica del empleo parece haber alcanzado su punto más bajo en octubre, luego de que ese mes la contracción mensual fuera de 0.08%, seguida de una menor disminución en noviembre y un incremento de 0.04% en diciembre.</w:t>
      </w:r>
    </w:p>
    <w:p w14:paraId="003F1C6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Los salarios promedio reportados por el IMSS aumentaron 4.5% real anual en el cuarto trimestre del año anterior, lo cual fue superior al trimestre previo. Por su parte, los registrados en la ENOE aumentaron 7.1% real en el último trimestre del año. Finalmente, los salarios contractuales de jurisdicción federal aumentaron en 0.3% real anual.</w:t>
      </w:r>
    </w:p>
    <w:p w14:paraId="666C0757"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Durante el cuarto trimestre de 2024, la inflación general al consumidor continuó con una tendencia decreciente y se ubicó en 4.5% anual, 0.5 </w:t>
      </w:r>
      <w:proofErr w:type="spellStart"/>
      <w:r w:rsidRPr="00833657">
        <w:rPr>
          <w:rFonts w:ascii="Arial" w:hAnsi="Arial" w:cs="Arial"/>
          <w:sz w:val="18"/>
          <w:szCs w:val="18"/>
        </w:rPr>
        <w:t>pp</w:t>
      </w:r>
      <w:proofErr w:type="spellEnd"/>
      <w:r w:rsidRPr="00833657">
        <w:rPr>
          <w:rFonts w:ascii="Arial" w:hAnsi="Arial" w:cs="Arial"/>
          <w:sz w:val="18"/>
          <w:szCs w:val="18"/>
        </w:rPr>
        <w:t xml:space="preserve"> por debajo del trimestre previo, la mayor reducción desde el tercer trimestre de 2023. Este desempeño fue resultado de la disminución generalizada en la mayoría de sus componentes, los cuales se beneficiaron por una mayor disponibilidad de productos agrícolas, menores precios de los energéticos y una moderación en los servicios. La inflación subyacente fue de 3.7% anual, 0.3 </w:t>
      </w:r>
      <w:proofErr w:type="spellStart"/>
      <w:r w:rsidRPr="00833657">
        <w:rPr>
          <w:rFonts w:ascii="Arial" w:hAnsi="Arial" w:cs="Arial"/>
          <w:sz w:val="18"/>
          <w:szCs w:val="18"/>
        </w:rPr>
        <w:t>pp</w:t>
      </w:r>
      <w:proofErr w:type="spellEnd"/>
      <w:r w:rsidRPr="00833657">
        <w:rPr>
          <w:rFonts w:ascii="Arial" w:hAnsi="Arial" w:cs="Arial"/>
          <w:sz w:val="18"/>
          <w:szCs w:val="18"/>
        </w:rPr>
        <w:t xml:space="preserve"> por debajo del trimestre previo, con lo que acumuló ocho trimestres consecutivos a la baja. Destacaron los menores niveles en la inflación de alimentos y bebidas procesadas, así como en las mercancías no alimentarias y en los servicios educativos.</w:t>
      </w:r>
    </w:p>
    <w:p w14:paraId="31277A2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lastRenderedPageBreak/>
        <w:t xml:space="preserve">La inflación no subyacente registró un 7.1% anual, 1.2 </w:t>
      </w:r>
      <w:proofErr w:type="spellStart"/>
      <w:r w:rsidRPr="00833657">
        <w:rPr>
          <w:rFonts w:ascii="Arial" w:hAnsi="Arial" w:cs="Arial"/>
          <w:sz w:val="18"/>
          <w:szCs w:val="18"/>
        </w:rPr>
        <w:t>pp</w:t>
      </w:r>
      <w:proofErr w:type="spellEnd"/>
      <w:r w:rsidRPr="00833657">
        <w:rPr>
          <w:rFonts w:ascii="Arial" w:hAnsi="Arial" w:cs="Arial"/>
          <w:sz w:val="18"/>
          <w:szCs w:val="18"/>
        </w:rPr>
        <w:t xml:space="preserve"> inferior al trimestre anterior. La reducción en el componente no subyacente se explicó por una disminución de 2.6 </w:t>
      </w:r>
      <w:proofErr w:type="spellStart"/>
      <w:r w:rsidRPr="00833657">
        <w:rPr>
          <w:rFonts w:ascii="Arial" w:hAnsi="Arial" w:cs="Arial"/>
          <w:sz w:val="18"/>
          <w:szCs w:val="18"/>
        </w:rPr>
        <w:t>pp</w:t>
      </w:r>
      <w:proofErr w:type="spellEnd"/>
      <w:r w:rsidRPr="00833657">
        <w:rPr>
          <w:rFonts w:ascii="Arial" w:hAnsi="Arial" w:cs="Arial"/>
          <w:sz w:val="18"/>
          <w:szCs w:val="18"/>
        </w:rPr>
        <w:t xml:space="preserve"> en la inflación anual del componente de los energéticos, que se ubicó en 5.4%, favorecida por menores precios internacionales del petróleo y el gas. La inflación en los productos agropecuarios disminuyó 0.6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trimestre previo y se ubicó en 9.4% anual debido a menores presiones en productos como limón, chile poblano, frijol y huevo.</w:t>
      </w:r>
    </w:p>
    <w:p w14:paraId="5285B495"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 xml:space="preserve">La inflación del Índice Nacional de Precios al Productor (INPP) sin considerar al petróleo registró un incremento anual de 6.5% durante el cuarto trimestre de 2024, superior en 1.2 </w:t>
      </w:r>
      <w:proofErr w:type="spellStart"/>
      <w:r w:rsidRPr="00833657">
        <w:rPr>
          <w:rFonts w:ascii="Arial" w:hAnsi="Arial" w:cs="Arial"/>
          <w:sz w:val="18"/>
          <w:szCs w:val="18"/>
        </w:rPr>
        <w:t>pp</w:t>
      </w:r>
      <w:proofErr w:type="spellEnd"/>
      <w:r w:rsidRPr="00833657">
        <w:rPr>
          <w:rFonts w:ascii="Arial" w:hAnsi="Arial" w:cs="Arial"/>
          <w:sz w:val="18"/>
          <w:szCs w:val="18"/>
        </w:rPr>
        <w:t xml:space="preserve"> respecto al trimestre previo. Este resultado se explicó por el aumento de 8.6% en la inflación del sector agropecuario, así como los incrementos de 27.8 y 6.4% en los sectores de minería no petrolera y la manufactura. Los precios al productor de servicios mostraron un incremento anual de 6.1%, 0.3 </w:t>
      </w:r>
      <w:proofErr w:type="spellStart"/>
      <w:r w:rsidRPr="00833657">
        <w:rPr>
          <w:rFonts w:ascii="Arial" w:hAnsi="Arial" w:cs="Arial"/>
          <w:sz w:val="18"/>
          <w:szCs w:val="18"/>
        </w:rPr>
        <w:t>pp</w:t>
      </w:r>
      <w:proofErr w:type="spellEnd"/>
      <w:r w:rsidRPr="00833657">
        <w:rPr>
          <w:rFonts w:ascii="Arial" w:hAnsi="Arial" w:cs="Arial"/>
          <w:sz w:val="18"/>
          <w:szCs w:val="18"/>
        </w:rPr>
        <w:t xml:space="preserve"> mayor que en el tercer trimestre. Al interior destacaron las alzas en los servicios de transporte, los servicios de esparcimiento y los de alojamiento.</w:t>
      </w:r>
    </w:p>
    <w:p w14:paraId="7DF2B856"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el sector externo, las exportaciones mexicanas se incrementaron durante el cuarto trimestre de 2024, impulsadas principalmente por el aumento en el consumo en EE.UU., a pesar de las afectaciones registradas en su industria manufacturera en octubre. Este desempeño también fue favorecido por un tipo de cambio más competitivo. Por su parte, las importaciones de mercancías aumentaron debido al fortalecimiento de la demanda interna, con incrementos en las importaciones de bienes intermedios y de capital.</w:t>
      </w:r>
    </w:p>
    <w:p w14:paraId="2AA17F2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depreciación real del tipo de cambio contribuyó a que las exportaciones fueran más competitivas. Así, con cifras ajustadas por estacionalidad, el valor de las exportaciones totales creció 0.9% trimestral, impulsado por un aumento de 0.5% en las exportaciones no petroleras, con crecimientos en las exportaciones de manufacturas y extractivas. Dentro de la manufactura, destacó el desempeño del segmento no automotriz, como reflejo de una mayor diversificación en la planta de exportación nacional. El valor de las exportaciones petroleras aumentó 9.1% trimestral, favorecido por un crecimiento en el volumen de crudo exportado, aunque limitado por una reducción en el precio promedio de la MME.</w:t>
      </w:r>
    </w:p>
    <w:p w14:paraId="1ADC22D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Las importaciones totales crecieron 0.4% trimestral con cifras ajustadas por estacionalidad. Las importaciones no petroleras aumentaron 0.1%, impulsadas por la inversión productiva en bienes intermedios y de capital, reflejando el buen desempeño del gasto de inversión nacional. Por su parte, las importaciones petroleras crecieron 4.4% trimestral, lo cual se explicó principalmente por las importaciones petroleras dedicadas al consumo como las gasolinas y el diésel. De esta manera, con datos ajustados por estacionalidad, durante el cuarto trimestre del año la balanza comercial mostró un déficit de 1 mil 34 millones de dólares, menor que el registrado en el trimestre previo de 1 mil 781 millones de dólares. </w:t>
      </w:r>
    </w:p>
    <w:p w14:paraId="78C6924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Este comportamiento respondió a la ampliación del superávit en la balanza no petrolera, que alcanzó 1 mil 645 millones de dólares, y a una reducción en el saldo deficitario de la balanza petrolera, que pasó de 2 mil 858 millones a 2 mil 679 millones de dólares en el mismo periodo. En el bimestre de octubre a noviembre de 2024, el flujo de remesas provenientes del exterior disminuyó 2.2% bimestral, afectado por la contracción en la masa salarial de los trabajadores mexicanos en EE.UU. durante el mismo periodo. En el acumulado anual, al mes de noviembre ingresaron al país flujos de remesas por 59 mil 518 millones de dólares, el monto más alto desde que se tiene registro. </w:t>
      </w:r>
    </w:p>
    <w:p w14:paraId="3020B83A"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turismo mantuvo su dinamismo y contribuyó a la entrada de divisas al país. Durante octubre y noviembre, con cifras ajustadas por estacionalidad, el número de visitantes internacionales aumentó 3.0% bimestral, con lo que acumuló siete bimestres consecutivos de crecimiento. De igual forma, el gasto medio creció 4.1%, debido a la mayor entrada de visitantes por vía aérea. Esto derivó en un aumento de 7.1% bimestral en los ingresos por gasto total de viajeros. En el tercer trimestre de 2024, la balanza de pagos presentó un superávit en la cuenta corriente de 733 millones de dólares (0.2% del PIB anualizado), inferior al superávit de 1 mil 218 millones de dólares (0.3% del PIB) registrado en el mismo periodo de 2023. Este resultado reflejó menores déficits en las balanzas de mercancías petroleras, servicios e ingreso primario, junto con un mayor superávit en la balanza de ingreso secundario. Sin embargo, también se registró un incremento en el déficit de la balanza de mercancías no petroleras.</w:t>
      </w:r>
    </w:p>
    <w:p w14:paraId="5A9D7DA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La cuenta financiera registró un préstamo neto con el resto del mundo de 2 mil 137 millones de dólares, superior al préstamo neto de 270 millones de dólares del tercer trimestre de 2023. Este resultado se debió a salidas netas en inversión de cartera y otra inversión, parcialmente compensadas por un endeudamiento neto en inversión directa por 1 mil 443 millones de dólares y en derivados financieros por 289 millones. Además, los activos de reserva aumentaron en 1 mil 488 millones de dólares. Con respecto a la IED, México continuó atrayendo recursos, </w:t>
      </w:r>
      <w:r w:rsidRPr="00833657">
        <w:rPr>
          <w:rFonts w:ascii="Arial" w:hAnsi="Arial" w:cs="Arial"/>
          <w:sz w:val="18"/>
          <w:szCs w:val="18"/>
        </w:rPr>
        <w:lastRenderedPageBreak/>
        <w:t>acumulando 35 mil 737 millones de dólares al tercer trimestre de 2024, un nivel récord según cifras preliminares. Destacaron los 10 mil 198 millones de dólares destinados a la industria de equipo de transporte lo que representó un máximo desde que se tiene registro (1999).</w:t>
      </w:r>
    </w:p>
    <w:p w14:paraId="264EB44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cuarto trimestre de 2024, se registró un menor apretamiento de las condiciones financieras en México respecto al trimestre anterior, atribuido en parte al relajamiento monetario tanto a nivel global como local. Sin embargo, se observaron episodios de volatilidad asociados a la incertidumbre tras el resultado electoral en EE.UU., aunado a la expectativa de recortes de tasas por parte de la FED, tensiones geopolíticas y factores locales. En ese sentido, el riesgo país en México, medido por el EMBI+, aumentó 19 pb, al igual que otras economías con la misma calificación crediticia como Panamá e Indonesia, con incrementos de 75 y 4 pb, respectivamente. Por su parte, el tipo de cambio cerró el año en 20.8 pesos por dólar, nivel que representó una depreciación de 5.5% respecto a lo observado al cierre de septiembre. Este comportamiento también se reflejó en otras divisas como el real brasileño, el peso chileno y el rand sudafricano, quienes cayeron 11.8, 9.7 y 8.4%, respectivamente. A pesar de ello, la volatilidad implícita del tipo de cambio a un mes se situó en 12.6%, 2.5 </w:t>
      </w:r>
      <w:proofErr w:type="spellStart"/>
      <w:r w:rsidRPr="00833657">
        <w:rPr>
          <w:rFonts w:ascii="Arial" w:hAnsi="Arial" w:cs="Arial"/>
          <w:sz w:val="18"/>
          <w:szCs w:val="18"/>
        </w:rPr>
        <w:t>pp</w:t>
      </w:r>
      <w:proofErr w:type="spellEnd"/>
      <w:r w:rsidRPr="00833657">
        <w:rPr>
          <w:rFonts w:ascii="Arial" w:hAnsi="Arial" w:cs="Arial"/>
          <w:sz w:val="18"/>
          <w:szCs w:val="18"/>
        </w:rPr>
        <w:t xml:space="preserve"> menos que en el trimestre previo.</w:t>
      </w:r>
    </w:p>
    <w:p w14:paraId="4389CF8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este contexto, la Junta de Gobierno del Banco de México redujo su tasa de interés objetivo en dos ocasiones, el 14 de noviembre y el 19 de diciembre, ambas en 25 pb, situando la tasa en 10.0%. Esto provocó descensos en los rendimientos a corto plazo, mientras que los de largo plazo aumentaron, lo que llevó a que la pendiente de 10 y 2 años se volviera positiva por primera vez en 30 meses, alcanzando 63 pb al 31 de diciembre. Además, el rendimiento de los bonos del Gobierno Federal a 10 años se situó en 10.4%, un incremento de 108 pb respecto al trimestre anterior.</w:t>
      </w:r>
    </w:p>
    <w:p w14:paraId="44155EB5"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mercado de renta variable, la incertidumbre comercial con EE.UU. y las tensiones geopolíticas provocaron una caída de 5.6% en el Índice de Precios y Cotizaciones (IPC) respecto al trimestre previo, cerrando el año en 49 mil 513 unidades. Todos los sectores del IPC descendieron, destacando el consumo discrecional, el consumo frecuente y los materiales en 10.6, 10.6 y 8.9% respectivamente. Finalmente, en lo que respecta al sector financiero, el crédito vigente al sector privado no financiero por parte de la banca comercial creció un 1.8% real entre septiembre y noviembre de 2024, ajustado por estacionalidad. </w:t>
      </w:r>
    </w:p>
    <w:p w14:paraId="471081C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Además, el crédito empresarial aumentó un 2.2% real, impulsado por los rubros de servicios, comercio y construcción, al tiempo que el crédito al consumo también creció un 2.2% real, por tarjetas de crédito y préstamos personales. Por su parte, el crédito a la vivienda aumentó un 0.6% real. En el caso del ICAP de la banca comercial, éste se situó en 19.5% en octubre, superior al capital mínimo regulatorio de Basilea III de 10.5%. En la misma línea, el IMOR se mantuvo en 2.0%, un nivel similar al observado en septiembre, mientras que el IMORA fue del 4.2%.</w:t>
      </w:r>
    </w:p>
    <w:p w14:paraId="79B6F987"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Durante 2024, se observó una conducción responsable de las finanzas públicas que favoreció el cumplimiento de las metas fiscales aprobadas por el H. Congreso de la Unión. De este modo, la deuda pública como proporción del PIB se mantuvo en un nivel sostenible y continuó comparándose de manera favorable con las posiciones fiscales de otros países emergentes. A lo anterior contribuyó el buen desempeño de la recaudación tributaria, misma que reflejó la solidez del mercado interno con una economía dinámica y los esfuerzos de eficiencia recaudatoria, fiscalización y promoción del cumplimiento de los contribuyentes. </w:t>
      </w:r>
    </w:p>
    <w:p w14:paraId="51919C42"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Por su parte, el gasto público se mantuvo enfocado en el desarrollo de infraestructura estratégica necesaria para detonar un mayor crecimiento económico regional, aunado a un despliegue sin precedentes de recursos en materia de desarrollo social, particularmente en programas vinculados al beneficio de las personas en situación de vulnerabilidad.</w:t>
      </w:r>
    </w:p>
    <w:p w14:paraId="5DF9198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Una parte de los Municipios de la Entidad se integran a las zonas metropolitanas de Tlaxcala-Apizaco y Puebla-Tlaxcala, por lo que la presencia de estas ciudades es indicativo de una participación importante en actividades comerciales y de servicios orientados al consumidor.</w:t>
      </w:r>
    </w:p>
    <w:p w14:paraId="556BAD3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 Asientos </w:t>
      </w:r>
      <w:r w:rsidRPr="00833657">
        <w:rPr>
          <w:rFonts w:ascii="Arial" w:hAnsi="Arial" w:cs="Arial"/>
          <w:sz w:val="18"/>
          <w:szCs w:val="18"/>
        </w:rPr>
        <w:lastRenderedPageBreak/>
        <w:t>Convertibles o no en Camas y Partes, Fibra de Vidrio, Lana de Vidrio y Manufacturas de esta materia y Partes y Accesorios de Vehículos Automotores.</w:t>
      </w:r>
    </w:p>
    <w:p w14:paraId="668C90B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Las compras internacionales de Tlaxcala en 2023 decrecieron un 5.61% respecto al año anterior. Los productos con mayor nivel de compras internacionales en 2023 fueron piezas para el uso de aparatos usados en protección de Circuitos eléctricos, con un voltaje superior a 1000V, tableros, paneles para control y distribución de electricidad, Bombas para líquidos y asientos convertibles o no en camas y partes.</w:t>
      </w:r>
    </w:p>
    <w:p w14:paraId="1F10432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Tlaxcala, la estructura productiva del sector servicios tiene una gran variedad de actividades que han mostrado crecimiento y concentración, la industria automotriz es una de las principales actividades en el Estado, debiéndose en buena medida su dinamismo a que las empresas instaladas son proveedoras o distribuidoras de Volkswagen de México. En el sector terciario coexisten actividades de mayor dinamismo económico que responden al comportamiento nacional por sus vínculos a la producción, y una alta concentración en las zonas urbanas.</w:t>
      </w:r>
    </w:p>
    <w:p w14:paraId="0213312D"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Producto Interno Bruto Estatal (PIBE), al primer trimestre de 2024, observa una contracción significativa, respecto al cuarto trimestre de 2023, registrando un decrecimiento del 1.8%, derivado principalmente a un débil desempeño de la actividad en la industria automotriz por paros técnicos de algunas armadoras de la región, así como por la cautela para ampliar líneas de manufactura ante la incertidumbre asociada con el periodo electoral en México y Estados Unidos.</w:t>
      </w:r>
    </w:p>
    <w:p w14:paraId="2FA871A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la industria de productos y accesorios eléctricos, se observó una falta de inversión en infraestructura para la ampliación y mejora de la transmisión de energía eléctrica en el país. En la industria textil, disminuyó la producción de algodón de Pakistán y México limitando su disponibilidad, reduciendo con ello la confección de prendas. Adicionalmente, la demanda continuó siendo afectada por el ingreso de prendas chinas a precios subvaluados. </w:t>
      </w:r>
    </w:p>
    <w:p w14:paraId="47F40D5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En el caso de la industria de equipo de generación eléctrica, se tuvo un menor volumen de actividad derivado de retrasos en pagos por parte de Pemex. A su vez, en la industria farmacéutica, observaron la ausencia de licitaciones para el surtido de medicamentos en el sector público federal. Otro elemento negativo adicional fue el paro en una planta armadora de la región ocurrido en el primer bimestre del año debido a demandas salariales. </w:t>
      </w:r>
    </w:p>
    <w:p w14:paraId="09F5891A"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Los directivos empresariales de la industria automotriz en la región centro asociaron la evolución positiva de la actividad con mejoras en los tiempos de entrega de insumos y mayores requerimientos de autopartes para vehículos eléctricos en Estados Unidos. Por su parte, en el segmento de vehículos pesados, mencionaron la inversión en la renovación de camiones por parte de líneas nacionales de transportes de pasajeros. </w:t>
      </w:r>
    </w:p>
    <w:p w14:paraId="33BB0F2B"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la industria de productos y accesorios eléctricos, resaltó el dinamismo de las exportaciones a Estados Unidos, derivado de los incentivos financieros para la transición energética que se realiza en ese país. Adicionalmente, se ha beneficiado la inversión en instalaciones eléctricas en parques industriales como producto de la relocalización de nuevas empresas en el país. Dentro de la industria del papel, los contactos identificaron como elementos positivos el crecimiento de ventas en plataformas de comercio electrónico y la mayor demanda de empaques y embalajes por parte de los clientes en la industria alimentaria.</w:t>
      </w:r>
    </w:p>
    <w:p w14:paraId="36994D8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Por su parte, en la industria de derivados del petróleo, reportaron dinamismo en la demanda de recubrimientos para la industria automotriz y para la maquinaria del sector construcción. Asimismo, se identificó una buena evolución en las ventas de recubrimientos que son utilizados en las edificaciones.</w:t>
      </w:r>
    </w:p>
    <w:p w14:paraId="576B38F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Se espera que Tlaxcala siga registrando márgenes operativos positivos en 2025, pero menores a los observados en años previos a la pandemia, debido principalmente a la disminución en las transferencias federales no etiquetadas (participaciones) al cierre de 2024. Si bien, se espera que las participaciones se ubiquen en términos de lo programado, en caso de no cumplirse la estimación ante la reducción de la recaudación federal participable, el Gobierno Federal previó la potenciación del Fondo de Estabilización de los Ingresos de las Entidades Federativas (FEIEF) con miras a proteger la disponibilidad de recursos de los Estados y Municipios. </w:t>
      </w:r>
    </w:p>
    <w:p w14:paraId="68B9D34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2024 y en 2025, pero menores a los registrados en ejercicios anteriores. Los resultados financieros balanceados y la política de deuda conservadora, han permitido que desde el ejercicio 2008 el Estado de Tlaxcala haya registrado una posición libre de endeudamiento.</w:t>
      </w:r>
    </w:p>
    <w:p w14:paraId="66CCBD3C"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lastRenderedPageBreak/>
        <w:t>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168342A0"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Se estima que para 2025, los ingresos propios se mantengan en niveles similares a los de 2024, en línea con las previsiones efectuadas por el Gobierno Federal, considerando que los recursos destinados a las entidades federativas por participaciones, en lo que va del año corresponde a 694,795.7 millones de pesos, lo que representa un crecimiento de 6.5% con respecto a lo programado.</w:t>
      </w:r>
    </w:p>
    <w:p w14:paraId="3B86154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La liquidez del Estado de Tlaxcala es un factor que permite enfrentar choques externos imprevistos, por lo que se espera que el efectivo del Estado cubra al menos el 0.5% de los pasivos promedio para 2024 y 2025, como resultado del buen manejo del presupuesto.</w:t>
      </w:r>
    </w:p>
    <w:p w14:paraId="4D6E8A4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la COVID-19.</w:t>
      </w:r>
    </w:p>
    <w:p w14:paraId="7A89CDF1"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gasto público, permitiendo </w:t>
      </w:r>
      <w:proofErr w:type="spellStart"/>
      <w:r w:rsidRPr="00833657">
        <w:rPr>
          <w:rFonts w:ascii="Arial" w:hAnsi="Arial" w:cs="Arial"/>
          <w:sz w:val="18"/>
          <w:szCs w:val="18"/>
        </w:rPr>
        <w:t>eficientar</w:t>
      </w:r>
      <w:proofErr w:type="spellEnd"/>
      <w:r w:rsidRPr="00833657">
        <w:rPr>
          <w:rFonts w:ascii="Arial" w:hAnsi="Arial" w:cs="Arial"/>
          <w:sz w:val="18"/>
          <w:szCs w:val="18"/>
        </w:rPr>
        <w:t xml:space="preserve"> la administración y recaudación de las diferentes fuentes de ingresos.</w:t>
      </w:r>
    </w:p>
    <w:p w14:paraId="288D21E2"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01243A6"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p>
    <w:p w14:paraId="2611428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 así como facilidades a los propietarios de motocicletas para su registro en el Padrón Estatal Vehicular.</w:t>
      </w:r>
    </w:p>
    <w:p w14:paraId="685C42F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permiten identificar plenamente los recursos que son ejercidos en estos rubros por las Dependencias del Estado, previniendo rezagos y desigualdades, para lo que se incorporarán propuestas y estrategias de desarrollo con perspectiva de género al interior de éstas.</w:t>
      </w:r>
    </w:p>
    <w:p w14:paraId="61DE7ACF"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Al mes de febrero de 2025 la tasa de ocupación reflejó una participación del 1% al total nacional, presentando un incremento de 2,001 puestos de trabajo permanentes respecto a diciembre de 2024. Al mes de febrero de 2025, se tienen registrados 118,287 trabajadores asegurados en el IMSS, tal y como se muestra en los cuadros siguientes:</w:t>
      </w:r>
    </w:p>
    <w:p w14:paraId="1FB7A62E" w14:textId="0E712B2B"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lastRenderedPageBreak/>
        <w:drawing>
          <wp:inline distT="0" distB="0" distL="0" distR="0" wp14:anchorId="65B7B32B" wp14:editId="558FF32F">
            <wp:extent cx="5943600" cy="4829175"/>
            <wp:effectExtent l="0" t="0" r="0" b="9525"/>
            <wp:docPr id="17388008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6688" t="21524" r="23862" b="6685"/>
                    <a:stretch>
                      <a:fillRect/>
                    </a:stretch>
                  </pic:blipFill>
                  <pic:spPr bwMode="auto">
                    <a:xfrm>
                      <a:off x="0" y="0"/>
                      <a:ext cx="5943600" cy="4829175"/>
                    </a:xfrm>
                    <a:prstGeom prst="rect">
                      <a:avLst/>
                    </a:prstGeom>
                    <a:noFill/>
                    <a:ln>
                      <a:noFill/>
                    </a:ln>
                  </pic:spPr>
                </pic:pic>
              </a:graphicData>
            </a:graphic>
          </wp:inline>
        </w:drawing>
      </w:r>
    </w:p>
    <w:p w14:paraId="636EF445" w14:textId="77777777" w:rsidR="00833657" w:rsidRPr="00833657" w:rsidRDefault="00833657" w:rsidP="00833657">
      <w:pPr>
        <w:tabs>
          <w:tab w:val="left" w:pos="284"/>
        </w:tabs>
        <w:ind w:left="284"/>
        <w:jc w:val="both"/>
        <w:rPr>
          <w:rFonts w:ascii="Arial" w:hAnsi="Arial" w:cs="Arial"/>
          <w:bCs/>
          <w:sz w:val="18"/>
          <w:szCs w:val="18"/>
          <w:lang w:val="es-ES_tradnl"/>
        </w:rPr>
      </w:pPr>
      <w:r w:rsidRPr="00833657">
        <w:rPr>
          <w:rFonts w:ascii="Arial" w:hAnsi="Arial" w:cs="Arial"/>
          <w:bCs/>
          <w:sz w:val="18"/>
          <w:szCs w:val="18"/>
          <w:lang w:val="es-ES_tradnl"/>
        </w:rPr>
        <w:t>De acuerdo al Directorio Estadístico Nacional de Unidades Económicas, Tlaxcala cuenta con 97,544 Unidades Económicas al mes de marzo de 2025, lo que representa una participación del 1% del Estado en el total nacional. Al cuarto trimestre de 2024 la Población Económicamente Activa (PEA) ascendió a 688,851 personas, representando el 61% de la población en edad de trabajar. Del total de la PEA, el 97% está ocupada y el 3% se encuentra desocupada.</w:t>
      </w:r>
    </w:p>
    <w:p w14:paraId="329DF8CC" w14:textId="77777777" w:rsidR="00833657" w:rsidRDefault="00833657" w:rsidP="00833657">
      <w:pPr>
        <w:tabs>
          <w:tab w:val="left" w:pos="284"/>
        </w:tabs>
        <w:ind w:left="284"/>
        <w:jc w:val="both"/>
        <w:rPr>
          <w:rFonts w:ascii="Arial" w:hAnsi="Arial" w:cs="Arial"/>
          <w:sz w:val="18"/>
          <w:szCs w:val="18"/>
          <w:lang w:val="es-ES"/>
        </w:rPr>
      </w:pPr>
    </w:p>
    <w:p w14:paraId="77AB9813" w14:textId="77777777" w:rsidR="00A11793" w:rsidRDefault="00A11793" w:rsidP="00833657">
      <w:pPr>
        <w:tabs>
          <w:tab w:val="left" w:pos="284"/>
        </w:tabs>
        <w:ind w:left="284"/>
        <w:jc w:val="both"/>
        <w:rPr>
          <w:rFonts w:ascii="Arial" w:hAnsi="Arial" w:cs="Arial"/>
          <w:sz w:val="18"/>
          <w:szCs w:val="18"/>
          <w:lang w:val="es-ES"/>
        </w:rPr>
      </w:pPr>
    </w:p>
    <w:p w14:paraId="551DE006" w14:textId="77777777" w:rsidR="00A11793" w:rsidRDefault="00A11793" w:rsidP="00833657">
      <w:pPr>
        <w:tabs>
          <w:tab w:val="left" w:pos="284"/>
        </w:tabs>
        <w:ind w:left="284"/>
        <w:jc w:val="both"/>
        <w:rPr>
          <w:rFonts w:ascii="Arial" w:hAnsi="Arial" w:cs="Arial"/>
          <w:sz w:val="18"/>
          <w:szCs w:val="18"/>
          <w:lang w:val="es-ES"/>
        </w:rPr>
      </w:pPr>
    </w:p>
    <w:p w14:paraId="7C64115B" w14:textId="77777777" w:rsidR="00A11793" w:rsidRDefault="00A11793" w:rsidP="00833657">
      <w:pPr>
        <w:tabs>
          <w:tab w:val="left" w:pos="284"/>
        </w:tabs>
        <w:ind w:left="284"/>
        <w:jc w:val="both"/>
        <w:rPr>
          <w:rFonts w:ascii="Arial" w:hAnsi="Arial" w:cs="Arial"/>
          <w:sz w:val="18"/>
          <w:szCs w:val="18"/>
          <w:lang w:val="es-ES"/>
        </w:rPr>
      </w:pPr>
    </w:p>
    <w:p w14:paraId="2167F3D9" w14:textId="77777777" w:rsidR="00A11793" w:rsidRDefault="00A11793" w:rsidP="00833657">
      <w:pPr>
        <w:tabs>
          <w:tab w:val="left" w:pos="284"/>
        </w:tabs>
        <w:ind w:left="284"/>
        <w:jc w:val="both"/>
        <w:rPr>
          <w:rFonts w:ascii="Arial" w:hAnsi="Arial" w:cs="Arial"/>
          <w:sz w:val="18"/>
          <w:szCs w:val="18"/>
          <w:lang w:val="es-ES"/>
        </w:rPr>
      </w:pPr>
    </w:p>
    <w:p w14:paraId="7A6442A1" w14:textId="77777777" w:rsidR="00A11793" w:rsidRDefault="00A11793" w:rsidP="00833657">
      <w:pPr>
        <w:tabs>
          <w:tab w:val="left" w:pos="284"/>
        </w:tabs>
        <w:ind w:left="284"/>
        <w:jc w:val="both"/>
        <w:rPr>
          <w:rFonts w:ascii="Arial" w:hAnsi="Arial" w:cs="Arial"/>
          <w:sz w:val="18"/>
          <w:szCs w:val="18"/>
          <w:lang w:val="es-ES"/>
        </w:rPr>
      </w:pPr>
    </w:p>
    <w:p w14:paraId="56B32003" w14:textId="77777777" w:rsidR="00A11793" w:rsidRDefault="00A11793" w:rsidP="00833657">
      <w:pPr>
        <w:tabs>
          <w:tab w:val="left" w:pos="284"/>
        </w:tabs>
        <w:ind w:left="284"/>
        <w:jc w:val="both"/>
        <w:rPr>
          <w:rFonts w:ascii="Arial" w:hAnsi="Arial" w:cs="Arial"/>
          <w:sz w:val="18"/>
          <w:szCs w:val="18"/>
          <w:lang w:val="es-ES"/>
        </w:rPr>
      </w:pPr>
    </w:p>
    <w:p w14:paraId="1DB3088B" w14:textId="77777777" w:rsidR="00A11793" w:rsidRDefault="00A11793" w:rsidP="00833657">
      <w:pPr>
        <w:tabs>
          <w:tab w:val="left" w:pos="284"/>
        </w:tabs>
        <w:ind w:left="284"/>
        <w:jc w:val="both"/>
        <w:rPr>
          <w:rFonts w:ascii="Arial" w:hAnsi="Arial" w:cs="Arial"/>
          <w:sz w:val="18"/>
          <w:szCs w:val="18"/>
          <w:lang w:val="es-ES"/>
        </w:rPr>
      </w:pPr>
    </w:p>
    <w:p w14:paraId="698416DD" w14:textId="77777777" w:rsidR="00A11793" w:rsidRDefault="00A11793" w:rsidP="00833657">
      <w:pPr>
        <w:tabs>
          <w:tab w:val="left" w:pos="284"/>
        </w:tabs>
        <w:ind w:left="284"/>
        <w:jc w:val="both"/>
        <w:rPr>
          <w:rFonts w:ascii="Arial" w:hAnsi="Arial" w:cs="Arial"/>
          <w:sz w:val="18"/>
          <w:szCs w:val="18"/>
          <w:lang w:val="es-ES"/>
        </w:rPr>
      </w:pPr>
    </w:p>
    <w:p w14:paraId="196D42EA" w14:textId="77777777" w:rsidR="00A11793" w:rsidRDefault="00A11793" w:rsidP="00833657">
      <w:pPr>
        <w:tabs>
          <w:tab w:val="left" w:pos="284"/>
        </w:tabs>
        <w:ind w:left="284"/>
        <w:jc w:val="both"/>
        <w:rPr>
          <w:rFonts w:ascii="Arial" w:hAnsi="Arial" w:cs="Arial"/>
          <w:sz w:val="18"/>
          <w:szCs w:val="18"/>
          <w:lang w:val="es-ES"/>
        </w:rPr>
      </w:pPr>
    </w:p>
    <w:p w14:paraId="71F4A2A1" w14:textId="77777777" w:rsidR="00A11793" w:rsidRDefault="00A11793" w:rsidP="00833657">
      <w:pPr>
        <w:tabs>
          <w:tab w:val="left" w:pos="284"/>
        </w:tabs>
        <w:ind w:left="284"/>
        <w:jc w:val="both"/>
        <w:rPr>
          <w:rFonts w:ascii="Arial" w:hAnsi="Arial" w:cs="Arial"/>
          <w:sz w:val="18"/>
          <w:szCs w:val="18"/>
          <w:lang w:val="es-ES"/>
        </w:rPr>
      </w:pPr>
    </w:p>
    <w:p w14:paraId="715E7C01" w14:textId="71EDF675"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drawing>
          <wp:inline distT="0" distB="0" distL="0" distR="0" wp14:anchorId="53616651" wp14:editId="4255D58A">
            <wp:extent cx="5943600" cy="4361815"/>
            <wp:effectExtent l="0" t="0" r="0" b="635"/>
            <wp:docPr id="21160166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l="21579" t="19897" r="22835" b="7361"/>
                    <a:stretch>
                      <a:fillRect/>
                    </a:stretch>
                  </pic:blipFill>
                  <pic:spPr bwMode="auto">
                    <a:xfrm>
                      <a:off x="0" y="0"/>
                      <a:ext cx="5943600" cy="4361815"/>
                    </a:xfrm>
                    <a:prstGeom prst="rect">
                      <a:avLst/>
                    </a:prstGeom>
                    <a:noFill/>
                    <a:ln>
                      <a:noFill/>
                    </a:ln>
                  </pic:spPr>
                </pic:pic>
              </a:graphicData>
            </a:graphic>
          </wp:inline>
        </w:drawing>
      </w:r>
    </w:p>
    <w:p w14:paraId="50C820A8"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El Indicador Trimestral de la Actividad Económica Estatal (ITAEE), reveló para el caso de Tlaxcala que la variación trimestral de la actividad económica al tercer trimestre de 2024 es de 2.2 %, a tasa anual. Las actividades primarias reportaron un decremento anual de 3.8 %, las secundarias crecieron 2.0 % y las terciarias aumentaron 2.6 por ciento.</w:t>
      </w:r>
    </w:p>
    <w:p w14:paraId="2BCB71D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rPr>
        <w:t>En el caso de las actividades primarias de Tlaxcala, que incluyen la agricultura, cría y explotación de animales, aprovechamiento forestal, pesca y caza, se registró una variación anual de -3.8% durante el tercer trimestre de 2024. En contraste, la variación nacional de las actividades primarias fue positiva al registrar una tasa de -4.1% en el mismo periodo.</w:t>
      </w:r>
    </w:p>
    <w:p w14:paraId="2294DCE4"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En el caso de las actividades secundarias, que incluyen la minería, manufacturas, construcción y electricidad, se observó una variación anual de 2.0% en el tercer trimestre de 2024 respecto al crecimiento nacional de 0.5%.</w:t>
      </w:r>
    </w:p>
    <w:p w14:paraId="216B637E" w14:textId="77777777" w:rsidR="00833657" w:rsidRPr="00833657" w:rsidRDefault="00833657" w:rsidP="00833657">
      <w:pPr>
        <w:tabs>
          <w:tab w:val="left" w:pos="284"/>
        </w:tabs>
        <w:ind w:left="284"/>
        <w:jc w:val="both"/>
        <w:rPr>
          <w:rFonts w:ascii="Arial" w:hAnsi="Arial" w:cs="Arial"/>
          <w:sz w:val="18"/>
          <w:szCs w:val="18"/>
        </w:rPr>
      </w:pPr>
      <w:r w:rsidRPr="00833657">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2.6% en el tercer trimestre de 2024, porcentaje mayor al 2.2% del país.</w:t>
      </w:r>
    </w:p>
    <w:p w14:paraId="0B4B5FF0"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La variación nacional anual registró un 1.7% con cifras originales. Cabe señalar que el ITAEE es una variable proxy del PIB estatal, por lo que esta reducción es una señal de la desaceleración económica en lo local como a nivel nacional.</w:t>
      </w:r>
    </w:p>
    <w:p w14:paraId="1AE792D8" w14:textId="1CB2B389"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lastRenderedPageBreak/>
        <w:drawing>
          <wp:inline distT="0" distB="0" distL="0" distR="0" wp14:anchorId="5A9F0844" wp14:editId="536D21B3">
            <wp:extent cx="5819775" cy="5972175"/>
            <wp:effectExtent l="0" t="0" r="9525" b="9525"/>
            <wp:docPr id="2257942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0515" t="35979" r="26399" b="27530"/>
                    <a:stretch>
                      <a:fillRect/>
                    </a:stretch>
                  </pic:blipFill>
                  <pic:spPr bwMode="auto">
                    <a:xfrm>
                      <a:off x="0" y="0"/>
                      <a:ext cx="5819775" cy="5972175"/>
                    </a:xfrm>
                    <a:prstGeom prst="rect">
                      <a:avLst/>
                    </a:prstGeom>
                    <a:noFill/>
                    <a:ln>
                      <a:noFill/>
                    </a:ln>
                  </pic:spPr>
                </pic:pic>
              </a:graphicData>
            </a:graphic>
          </wp:inline>
        </w:drawing>
      </w:r>
    </w:p>
    <w:p w14:paraId="40F92A7B" w14:textId="77777777" w:rsid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Al cuarto trimestre de 2024, la Inversión Extranjera Directa Acumulada del año 2006 al mes de diciembre de 2024 en el Estado de Tlaxcala fue de 3,307.8 millones de dólares, lo que representó un aporte del 1.0% al total nacional, instalándose empresas de diversas nacionalidades en el país, tal y como se observa en el cuadro comparativo siguiente:</w:t>
      </w:r>
    </w:p>
    <w:p w14:paraId="2DE22A8C" w14:textId="77777777" w:rsidR="00A11793" w:rsidRDefault="00A11793" w:rsidP="00833657">
      <w:pPr>
        <w:tabs>
          <w:tab w:val="left" w:pos="284"/>
        </w:tabs>
        <w:ind w:left="284"/>
        <w:jc w:val="both"/>
        <w:rPr>
          <w:rFonts w:ascii="Arial" w:hAnsi="Arial" w:cs="Arial"/>
          <w:sz w:val="18"/>
          <w:szCs w:val="18"/>
          <w:lang w:val="es-ES"/>
        </w:rPr>
      </w:pPr>
    </w:p>
    <w:p w14:paraId="4DD86CBB" w14:textId="77777777" w:rsidR="00A11793" w:rsidRDefault="00A11793" w:rsidP="00833657">
      <w:pPr>
        <w:tabs>
          <w:tab w:val="left" w:pos="284"/>
        </w:tabs>
        <w:ind w:left="284"/>
        <w:jc w:val="both"/>
        <w:rPr>
          <w:rFonts w:ascii="Arial" w:hAnsi="Arial" w:cs="Arial"/>
          <w:sz w:val="18"/>
          <w:szCs w:val="18"/>
          <w:lang w:val="es-ES"/>
        </w:rPr>
      </w:pPr>
    </w:p>
    <w:p w14:paraId="0433B333" w14:textId="77777777" w:rsidR="00A11793" w:rsidRDefault="00A11793" w:rsidP="00833657">
      <w:pPr>
        <w:tabs>
          <w:tab w:val="left" w:pos="284"/>
        </w:tabs>
        <w:ind w:left="284"/>
        <w:jc w:val="both"/>
        <w:rPr>
          <w:rFonts w:ascii="Arial" w:hAnsi="Arial" w:cs="Arial"/>
          <w:sz w:val="18"/>
          <w:szCs w:val="18"/>
          <w:lang w:val="es-ES"/>
        </w:rPr>
      </w:pPr>
    </w:p>
    <w:p w14:paraId="7DEE931E" w14:textId="77777777" w:rsidR="00A11793" w:rsidRDefault="00A11793" w:rsidP="00833657">
      <w:pPr>
        <w:tabs>
          <w:tab w:val="left" w:pos="284"/>
        </w:tabs>
        <w:ind w:left="284"/>
        <w:jc w:val="both"/>
        <w:rPr>
          <w:rFonts w:ascii="Arial" w:hAnsi="Arial" w:cs="Arial"/>
          <w:sz w:val="18"/>
          <w:szCs w:val="18"/>
          <w:lang w:val="es-ES"/>
        </w:rPr>
      </w:pPr>
    </w:p>
    <w:p w14:paraId="3746DA67" w14:textId="77777777" w:rsidR="00A11793" w:rsidRDefault="00A11793" w:rsidP="00833657">
      <w:pPr>
        <w:tabs>
          <w:tab w:val="left" w:pos="284"/>
        </w:tabs>
        <w:ind w:left="284"/>
        <w:jc w:val="both"/>
        <w:rPr>
          <w:rFonts w:ascii="Arial" w:hAnsi="Arial" w:cs="Arial"/>
          <w:sz w:val="18"/>
          <w:szCs w:val="18"/>
          <w:lang w:val="es-ES"/>
        </w:rPr>
      </w:pPr>
    </w:p>
    <w:p w14:paraId="018D12C0" w14:textId="77777777" w:rsidR="00A11793" w:rsidRDefault="00A11793" w:rsidP="00833657">
      <w:pPr>
        <w:tabs>
          <w:tab w:val="left" w:pos="284"/>
        </w:tabs>
        <w:ind w:left="284"/>
        <w:jc w:val="both"/>
        <w:rPr>
          <w:rFonts w:ascii="Arial" w:hAnsi="Arial" w:cs="Arial"/>
          <w:sz w:val="18"/>
          <w:szCs w:val="18"/>
          <w:lang w:val="es-ES"/>
        </w:rPr>
      </w:pPr>
    </w:p>
    <w:p w14:paraId="6B6C0DC9" w14:textId="77777777" w:rsidR="00A11793" w:rsidRDefault="00A11793" w:rsidP="00833657">
      <w:pPr>
        <w:tabs>
          <w:tab w:val="left" w:pos="284"/>
        </w:tabs>
        <w:ind w:left="284"/>
        <w:jc w:val="both"/>
        <w:rPr>
          <w:rFonts w:ascii="Arial" w:hAnsi="Arial" w:cs="Arial"/>
          <w:sz w:val="18"/>
          <w:szCs w:val="18"/>
          <w:lang w:val="es-ES"/>
        </w:rPr>
      </w:pPr>
    </w:p>
    <w:p w14:paraId="306E487E" w14:textId="77777777" w:rsidR="00A11793" w:rsidRPr="00833657" w:rsidRDefault="00A11793" w:rsidP="00833657">
      <w:pPr>
        <w:tabs>
          <w:tab w:val="left" w:pos="284"/>
        </w:tabs>
        <w:ind w:left="284"/>
        <w:jc w:val="both"/>
        <w:rPr>
          <w:rFonts w:ascii="Arial" w:hAnsi="Arial" w:cs="Arial"/>
          <w:sz w:val="18"/>
          <w:szCs w:val="18"/>
          <w:lang w:val="es-ES"/>
        </w:rPr>
      </w:pPr>
    </w:p>
    <w:p w14:paraId="31DF8B7F" w14:textId="31226BCB"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noProof/>
          <w:sz w:val="18"/>
          <w:szCs w:val="18"/>
          <w:lang w:eastAsia="es-MX"/>
        </w:rPr>
        <w:drawing>
          <wp:inline distT="0" distB="0" distL="0" distR="0" wp14:anchorId="220D068D" wp14:editId="375ACACA">
            <wp:extent cx="5943600" cy="3682365"/>
            <wp:effectExtent l="0" t="0" r="0" b="0"/>
            <wp:docPr id="17314441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82365"/>
                    </a:xfrm>
                    <a:prstGeom prst="rect">
                      <a:avLst/>
                    </a:prstGeom>
                    <a:noFill/>
                    <a:ln>
                      <a:noFill/>
                    </a:ln>
                  </pic:spPr>
                </pic:pic>
              </a:graphicData>
            </a:graphic>
          </wp:inline>
        </w:drawing>
      </w:r>
    </w:p>
    <w:p w14:paraId="67F766A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315B2DB" w14:textId="77777777"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51F6FBE" w14:textId="77777777" w:rsidR="008C10B0" w:rsidRPr="001240AA" w:rsidRDefault="008C10B0" w:rsidP="008C10B0">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w:t>
      </w:r>
      <w:r>
        <w:rPr>
          <w:rFonts w:ascii="Arial" w:hAnsi="Arial" w:cs="Arial"/>
          <w:sz w:val="18"/>
          <w:szCs w:val="18"/>
        </w:rPr>
        <w:lastRenderedPageBreak/>
        <w:t>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w:t>
      </w:r>
      <w:r>
        <w:rPr>
          <w:rFonts w:ascii="Arial" w:hAnsi="Arial" w:cs="Arial"/>
          <w:sz w:val="18"/>
          <w:szCs w:val="18"/>
        </w:rPr>
        <w:lastRenderedPageBreak/>
        <w:t>como tales en el momento en que se devenguen y los ingresos en el momento en que sean efectivamente 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2B85093D"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31 de marzo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27B771CD" w:rsidR="008C10B0" w:rsidRPr="001A2210" w:rsidRDefault="008C10B0" w:rsidP="008C10B0">
      <w:pPr>
        <w:tabs>
          <w:tab w:val="left" w:pos="284"/>
        </w:tabs>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31 de marzo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8736CF" w:rsidRPr="008736CF">
        <w:rPr>
          <w:rFonts w:ascii="Arial" w:hAnsi="Arial" w:cs="Arial"/>
          <w:sz w:val="18"/>
          <w:szCs w:val="18"/>
        </w:rPr>
        <w:t>536</w:t>
      </w:r>
      <w:r w:rsidR="008736CF">
        <w:rPr>
          <w:rFonts w:ascii="Arial" w:hAnsi="Arial" w:cs="Arial"/>
          <w:sz w:val="18"/>
          <w:szCs w:val="18"/>
        </w:rPr>
        <w:t>,</w:t>
      </w:r>
      <w:r w:rsidR="008736CF" w:rsidRPr="008736CF">
        <w:rPr>
          <w:rFonts w:ascii="Arial" w:hAnsi="Arial" w:cs="Arial"/>
          <w:sz w:val="18"/>
          <w:szCs w:val="18"/>
        </w:rPr>
        <w:t>942</w:t>
      </w:r>
      <w:r w:rsidR="003A3004">
        <w:rPr>
          <w:rFonts w:ascii="Arial" w:hAnsi="Arial" w:cs="Arial"/>
          <w:sz w:val="18"/>
          <w:szCs w:val="18"/>
        </w:rPr>
        <w:t>,</w:t>
      </w:r>
      <w:r w:rsidR="008736CF"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3A3004" w:rsidRPr="003A3004">
        <w:rPr>
          <w:rFonts w:ascii="Arial" w:hAnsi="Arial" w:cs="Arial"/>
          <w:sz w:val="18"/>
          <w:szCs w:val="18"/>
        </w:rPr>
        <w:t>11</w:t>
      </w:r>
      <w:r w:rsidR="003A3004">
        <w:rPr>
          <w:rFonts w:ascii="Arial" w:hAnsi="Arial" w:cs="Arial"/>
          <w:sz w:val="18"/>
          <w:szCs w:val="18"/>
        </w:rPr>
        <w:t>,</w:t>
      </w:r>
      <w:r w:rsidR="003A3004" w:rsidRPr="003A3004">
        <w:rPr>
          <w:rFonts w:ascii="Arial" w:hAnsi="Arial" w:cs="Arial"/>
          <w:sz w:val="18"/>
          <w:szCs w:val="18"/>
        </w:rPr>
        <w:t>006</w:t>
      </w:r>
      <w:r w:rsidR="003A3004">
        <w:rPr>
          <w:rFonts w:ascii="Arial" w:hAnsi="Arial" w:cs="Arial"/>
          <w:sz w:val="18"/>
          <w:szCs w:val="18"/>
        </w:rPr>
        <w:t>,</w:t>
      </w:r>
      <w:r w:rsidR="003A3004" w:rsidRPr="003A3004">
        <w:rPr>
          <w:rFonts w:ascii="Arial" w:hAnsi="Arial" w:cs="Arial"/>
          <w:sz w:val="18"/>
          <w:szCs w:val="18"/>
        </w:rPr>
        <w:t>896</w:t>
      </w:r>
      <w:r w:rsidR="003A3004">
        <w:rPr>
          <w:rFonts w:ascii="Arial" w:hAnsi="Arial" w:cs="Arial"/>
          <w:sz w:val="18"/>
          <w:szCs w:val="18"/>
        </w:rPr>
        <w:t>,</w:t>
      </w:r>
      <w:r w:rsidR="003A3004"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053B12C3"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31 de marzo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486</w:t>
      </w:r>
      <w:r>
        <w:rPr>
          <w:rFonts w:ascii="Arial" w:hAnsi="Arial" w:cs="Arial"/>
          <w:sz w:val="18"/>
          <w:szCs w:val="18"/>
        </w:rPr>
        <w:t>,</w:t>
      </w:r>
      <w:r w:rsidR="003A3004">
        <w:rPr>
          <w:rFonts w:ascii="Arial" w:hAnsi="Arial" w:cs="Arial"/>
          <w:sz w:val="18"/>
          <w:szCs w:val="18"/>
        </w:rPr>
        <w:t>136</w:t>
      </w:r>
      <w:r>
        <w:rPr>
          <w:rFonts w:ascii="Arial" w:hAnsi="Arial" w:cs="Arial"/>
          <w:sz w:val="18"/>
          <w:szCs w:val="18"/>
        </w:rPr>
        <w:t>,</w:t>
      </w:r>
      <w:r w:rsidR="003A3004">
        <w:rPr>
          <w:rFonts w:ascii="Arial" w:hAnsi="Arial" w:cs="Arial"/>
          <w:sz w:val="18"/>
          <w:szCs w:val="18"/>
        </w:rPr>
        <w:t>823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4CCD0A9E" w:rsidR="008C10B0" w:rsidRDefault="008C10B0" w:rsidP="008C10B0">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w:t>
      </w:r>
      <w:r w:rsidR="000243C9">
        <w:rPr>
          <w:rFonts w:ascii="Arial" w:eastAsia="Times New Roman" w:hAnsi="Arial" w:cs="Arial"/>
          <w:sz w:val="18"/>
          <w:szCs w:val="18"/>
          <w:lang w:eastAsia="es-ES"/>
        </w:rPr>
        <w:t>primer trimestre</w:t>
      </w:r>
      <w:r>
        <w:rPr>
          <w:rFonts w:ascii="Arial" w:eastAsia="Times New Roman" w:hAnsi="Arial" w:cs="Arial"/>
          <w:sz w:val="18"/>
          <w:szCs w:val="18"/>
          <w:lang w:eastAsia="es-ES"/>
        </w:rPr>
        <w:t xml:space="preserve"> del ejercicio fiscal 202</w:t>
      </w:r>
      <w:r w:rsidR="000243C9">
        <w:rPr>
          <w:rFonts w:ascii="Arial" w:eastAsia="Times New Roman" w:hAnsi="Arial" w:cs="Arial"/>
          <w:sz w:val="18"/>
          <w:szCs w:val="18"/>
          <w:lang w:eastAsia="es-ES"/>
        </w:rPr>
        <w:t>5</w:t>
      </w:r>
      <w:r>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0243C9">
        <w:rPr>
          <w:rFonts w:ascii="Arial" w:eastAsia="Times New Roman" w:hAnsi="Arial" w:cs="Arial"/>
          <w:sz w:val="18"/>
          <w:szCs w:val="18"/>
          <w:lang w:eastAsia="es-ES"/>
        </w:rPr>
        <w:t>563,961,796</w:t>
      </w:r>
      <w:r>
        <w:rPr>
          <w:rFonts w:ascii="Arial" w:eastAsia="Times New Roman" w:hAnsi="Arial" w:cs="Arial"/>
          <w:sz w:val="18"/>
          <w:szCs w:val="18"/>
          <w:lang w:eastAsia="es-ES"/>
        </w:rPr>
        <w:t xml:space="preserve"> y al </w:t>
      </w:r>
      <w:r w:rsidR="000243C9">
        <w:rPr>
          <w:rFonts w:ascii="Arial" w:eastAsia="Times New Roman" w:hAnsi="Arial" w:cs="Arial"/>
          <w:sz w:val="18"/>
          <w:szCs w:val="18"/>
          <w:lang w:eastAsia="es-ES"/>
        </w:rPr>
        <w:t>primer trimestre</w:t>
      </w:r>
      <w:r>
        <w:rPr>
          <w:rFonts w:ascii="Arial" w:eastAsia="Times New Roman" w:hAnsi="Arial" w:cs="Arial"/>
          <w:sz w:val="18"/>
          <w:szCs w:val="18"/>
          <w:lang w:eastAsia="es-ES"/>
        </w:rPr>
        <w:t xml:space="preserve"> se recaudó un monto de </w:t>
      </w:r>
      <w:r w:rsidR="000243C9">
        <w:rPr>
          <w:rFonts w:ascii="Arial" w:eastAsia="Times New Roman" w:hAnsi="Arial" w:cs="Arial"/>
          <w:sz w:val="18"/>
          <w:szCs w:val="18"/>
          <w:lang w:eastAsia="es-ES"/>
        </w:rPr>
        <w:t>687,634,365</w:t>
      </w:r>
      <w:r>
        <w:rPr>
          <w:rFonts w:ascii="Arial" w:eastAsia="Times New Roman" w:hAnsi="Arial" w:cs="Arial"/>
          <w:sz w:val="18"/>
          <w:szCs w:val="18"/>
          <w:lang w:eastAsia="es-ES"/>
        </w:rPr>
        <w:t xml:space="preserve"> que representa un monto de </w:t>
      </w:r>
      <w:r w:rsidR="000243C9">
        <w:rPr>
          <w:rFonts w:ascii="Arial" w:eastAsia="Times New Roman" w:hAnsi="Arial" w:cs="Arial"/>
          <w:sz w:val="18"/>
          <w:szCs w:val="18"/>
          <w:lang w:eastAsia="es-ES"/>
        </w:rPr>
        <w:t>123,677,569</w:t>
      </w:r>
      <w:r>
        <w:rPr>
          <w:rFonts w:ascii="Arial" w:eastAsia="Times New Roman" w:hAnsi="Arial" w:cs="Arial"/>
          <w:sz w:val="18"/>
          <w:szCs w:val="18"/>
          <w:lang w:eastAsia="es-ES"/>
        </w:rPr>
        <w:t xml:space="preserve"> con un crecimiento de 2</w:t>
      </w:r>
      <w:r w:rsidR="000243C9">
        <w:rPr>
          <w:rFonts w:ascii="Arial" w:eastAsia="Times New Roman" w:hAnsi="Arial" w:cs="Arial"/>
          <w:sz w:val="18"/>
          <w:szCs w:val="18"/>
          <w:lang w:eastAsia="es-ES"/>
        </w:rPr>
        <w:t>1</w:t>
      </w:r>
      <w:r>
        <w:rPr>
          <w:rFonts w:ascii="Arial" w:eastAsia="Times New Roman" w:hAnsi="Arial" w:cs="Arial"/>
          <w:sz w:val="18"/>
          <w:szCs w:val="18"/>
          <w:lang w:eastAsia="es-ES"/>
        </w:rPr>
        <w:t>.9</w:t>
      </w:r>
      <w:r w:rsidR="000243C9">
        <w:rPr>
          <w:rFonts w:ascii="Arial" w:eastAsia="Times New Roman" w:hAnsi="Arial" w:cs="Arial"/>
          <w:sz w:val="18"/>
          <w:szCs w:val="18"/>
          <w:lang w:eastAsia="es-ES"/>
        </w:rPr>
        <w:t>3</w:t>
      </w:r>
      <w:r>
        <w:rPr>
          <w:rFonts w:ascii="Arial" w:eastAsia="Times New Roman" w:hAnsi="Arial" w:cs="Arial"/>
          <w:sz w:val="18"/>
          <w:szCs w:val="18"/>
          <w:lang w:eastAsia="es-ES"/>
        </w:rPr>
        <w:t>%.</w:t>
      </w:r>
    </w:p>
    <w:p w14:paraId="673D1E6F" w14:textId="77777777" w:rsidR="008C10B0" w:rsidRPr="00307D7E"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Pr>
          <w:rFonts w:ascii="Arial" w:eastAsia="Times New Roman" w:hAnsi="Arial" w:cs="Arial"/>
          <w:sz w:val="18"/>
          <w:szCs w:val="18"/>
          <w:lang w:eastAsia="es-ES"/>
        </w:rPr>
        <w:t>dar 1,958,188,805, esto es 85,8</w:t>
      </w:r>
      <w:r>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w:t>
      </w:r>
      <w:r w:rsidRPr="00A11793">
        <w:rPr>
          <w:rFonts w:ascii="Arial" w:eastAsia="Times New Roman" w:hAnsi="Arial" w:cs="Arial"/>
          <w:sz w:val="18"/>
          <w:szCs w:val="18"/>
          <w:lang w:eastAsia="es-ES"/>
        </w:rPr>
        <w:lastRenderedPageBreak/>
        <w:t>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y el patrimonio de las Instituciones de Fomento.</w:t>
      </w:r>
    </w:p>
    <w:p w14:paraId="1694424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2024, la política de deuda pública priorizó el financiamiento en el mercado local, con instrumentos a tasa fija y de largo plazo, con el objetivo principal de cubrir las necesidades de financiamiento con un nivel de costo y riesgo adecuados. Además, se buscó implementar una estrategia de manejo de pasivos, así como aprovechar eficientemente ventanas de oportunidad en los mercados financieros. De esta forma, se mejoró el perfil de vencimientos del portafolio de deuda y se mantuvo un nivel de costo y riesgos acotados; asimismo, la trayectoria de la deuda se mantuvo en una senda sostenible como porcentaje del PIB.</w:t>
      </w:r>
    </w:p>
    <w:p w14:paraId="5C8871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el cuarto trimestre de 2024, las operaciones en el mercado interno mejoraron el perfil de vencimientos e incrementaron el plazo promedio del portafolio, y mantuvieron un buen funcionamiento de las curvas de rendimiento nominal. Así, el 31 de octubre se realizó un intercambio de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por 47 mil millones pesos; el 21 de noviembre se ejecutó el intercambio de Cetes, Bondes F,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con el que se recompraron 152 mil millones de pesos. Asimismo, el 4 de diciembre se colocó una nueva referencia de Bonos M a 3 años, por 13 mil millones de pesos. Finalmente, el 5 de diciembre se llevó a cabo el último ejercicio de refinanciamiento del año, mediante una recompra de Cetes, Bondes F, Bonos M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por 123 mil millones de pesos y una colocación de estos mismos instrumentos con vencimientos mayores, por 126 mil millones de pesos. </w:t>
      </w:r>
    </w:p>
    <w:p w14:paraId="635FD4C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cuanto al financiamiento externo, durante el cuarto trimestre de 2024 no se realizaron colocaciones en los mercados internacionales, en línea con la estrategia de utilizar este financiamiento como fuente complementaria de crédito. No obstante, a lo largo del año se realizaron tres colocaciones en los mercados de dólares, euros y yenes, por un monto equivalente a 7 mil 500, 2 mil 169 y 1 mil 50 millones de dólares, respectivamente, con las que se buscó actualizar las referencias de las curvas de rendimiento y contribuir a consolidar el desarrollo de instrumentos sostenibles del Gobierno Federal. Además, el 12 de julio se ejecutó un proceso de vencimiento anticipado de un bono con vencimiento en 2025, por 894 millones de dólares, lo que implicó una reducción de la </w:t>
      </w:r>
      <w:r w:rsidRPr="00A11793">
        <w:rPr>
          <w:rFonts w:ascii="Arial" w:eastAsia="Times New Roman" w:hAnsi="Arial" w:cs="Arial"/>
          <w:sz w:val="18"/>
          <w:szCs w:val="18"/>
          <w:lang w:eastAsia="es-ES"/>
        </w:rPr>
        <w:lastRenderedPageBreak/>
        <w:t xml:space="preserve">deuda externa. Dichas operaciones mejoraron las características del portafolio de deuda, en términos de diversificación de monedas, reducción de las necesidades de liquidez de corto plazo, y composición de la deuda. </w:t>
      </w:r>
    </w:p>
    <w:p w14:paraId="6A95797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esta forma, a diciembre de 2024, el 83.5% de la deuda es interna, el plazo promedio de los valores gubernamentales es de 7.8 años, y el 77.3% está contratada a tasa fija y a largo plazo; para los bonos externos, su plazo promedio es de 18.7 años, y el 100% está denominado a tasa fija. Cabe mencionar que, todas las colocaciones de deuda se enmarcaron en el Programa Anual de Financiamiento, son congruentes con la Ley Federal de Deuda Pública y están en línea con los techos de endeudamiento aprobados por el H. Congreso de la Unión para el ejercicio fiscal 2024. Finalmente, el pasado 20 de diciembre de 2024 la SHCP publicó el Plan Anual de Financiamiento (PAF) 2025, en el cual se detalla la política de deuda de las entidades del Sector Público.</w:t>
      </w:r>
    </w:p>
    <w:p w14:paraId="3BCD2D7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cuarto trimestre de 2024, la deuda neta del Gobierno Federal se ubicó en 15 billones 214 mil 609.7 millones de pesos. La estructura del portafolio de la deuda mantuvo la mayor parte de sus pasivos denominados en moneda nacional, representando el 83.5% del saldo de la deuda neta del Gobierno Federal, al 31 de diciembre de 2024.</w:t>
      </w:r>
    </w:p>
    <w:p w14:paraId="22F9CD3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interna neta del Gobierno Federal ascendió a 12 billones 703 mil 792.9 millones de pesos. La variación del saldo de la deuda interna respecto del cierre de 2023 fue el resultado de: </w:t>
      </w:r>
    </w:p>
    <w:p w14:paraId="7109BA4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Un endeudamiento interno neto por 2 billones 48 mil 752.5 millones de pesos; </w:t>
      </w:r>
    </w:p>
    <w:p w14:paraId="0A4BF5D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Un incremento en las disponibilidades del Gobierno Federal por 185 mil 623.9 millones de pesos; y, </w:t>
      </w:r>
    </w:p>
    <w:p w14:paraId="07F2101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Ajustes contables positivos por 141 mil 117.6 millones de pesos, derivados del efecto inflacionario de la deuda interna indizada y del ajuste por las operaciones de permuta de deuda. </w:t>
      </w:r>
    </w:p>
    <w:p w14:paraId="29078F1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Este desempeño fue congruente con el techo de endeudamiento interno neto aprobado por el H. Congreso de la Unión para 2024.</w:t>
      </w:r>
    </w:p>
    <w:p w14:paraId="63946B0B"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cuanto a la composición de la deuda interna del Gobierno Federal, al cierre del cuarto trimestre de 2024, el 47.0% se encontró contratada en instrumentos a tasa nominal fija y de largo plazo. Adicionalmente, como resultado de la colocación de instrumentos a largo plazo, se observó una participación de 77.3% de los valores a tasa fija nominal y real a plazo mayor de un año en el saldo de valores gubernamentales al cierre del cuarto trimestre de 2024. Por su parte, el plazo promedio de vencimiento de valores gubernamentales emitidos en el mercado local a diciembre de 2024 fue de 7.8 años.</w:t>
      </w:r>
    </w:p>
    <w:p w14:paraId="4FDB665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Entre los cierres de 2023 y 2024, los Cetes incrementaron su participación en el saldo total de los valores gubernamentales al pasar de 11.5% a 14.5%, al igual que los Bondes F que pasaron de 14.9% a 15.5%, los Bondes G al pasar de 0.7% a 1.0% y los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xml:space="preserve"> que pasaron de 29.8% a 30.2%. Por su parte, la participación de los Bonos Tasa Fija Bono M disminuyó de 40.6% a 37.6%, igual que los Bondes D que pasaron de 2.3% a 1.0%. Mientras tanto, los Bonos Tasa Fija Bono MS, durante el periodo, permanecieron sin cambio en 0.2%. Con respecto al perfil de amortizaciones de la deuda interna del Gobierno Federal, de acuerdo con su saldo contractual registrado al 31 de diciembre de 2024, se espera que, durante 2025, las amortizaciones alcancen un monto de 2 billones 584 mil 288.9 millones de pesos. Del total de amortizaciones, sin incluir Cetes, 1 billón 202 mil 18.3 millones de pesos se encuentran asociadas a los vencimientos de valores gubernamentales, cuyo refinanciamiento se realizará a través del programa de subastas que lleva a cabo el Gobierno Federal.</w:t>
      </w:r>
    </w:p>
    <w:p w14:paraId="01415DF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externa neta del Gobierno Federal fue de 123 mil 879.0 millones de dólares. La evolución de la deuda externa neta del Gobierno Federal durante el periodo enero a diciembre de 2024 fue resultado de los siguientes factores: </w:t>
      </w:r>
    </w:p>
    <w:p w14:paraId="0228F65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Endeudamiento externo neto de 9 mil 47.7 millones de dólares, derivado de disposiciones por 13 mil 80.7 millones de dólares y amortizaciones por 4 mil 33.0 millones de dólares.</w:t>
      </w:r>
    </w:p>
    <w:p w14:paraId="184E06C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Incremento de los activos internacionales del Gobierno Federal asociados a la deuda externa por 1 mil 183.0 millones de dólares con respecto al cierre de 2023. Este cambio se debe a la variación en el saldo neto denominado en dólares de la Cuenta General de la Tesorería de la Federación. </w:t>
      </w:r>
    </w:p>
    <w:p w14:paraId="21C703F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sym w:font="Symbol" w:char="F0B7"/>
      </w:r>
      <w:r w:rsidRPr="00A11793">
        <w:rPr>
          <w:rFonts w:ascii="Arial" w:eastAsia="Times New Roman" w:hAnsi="Arial" w:cs="Arial"/>
          <w:sz w:val="18"/>
          <w:szCs w:val="18"/>
          <w:lang w:eastAsia="es-ES"/>
        </w:rPr>
        <w:t xml:space="preserve"> Ajustes contables negativos por 2 mil 830.3 millones de dólares, derivados principalmente de la variación del dólar con respecto a otras monedas en las que se encuentra contratada la deuda.</w:t>
      </w:r>
    </w:p>
    <w:p w14:paraId="2EAF925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respecto al perfil de amortizaciones de la deuda externa del Gobierno Federal, con base en su saldo contractual al 31 de diciembre de 2024, se espera que las amortizaciones durante 2025, asciendan a 4 mil 761.9 millones de dólares, los cuales se encuentran asociados, principalmente, a los vencimientos de créditos contratados con los Organismos Financieros Internacionales (</w:t>
      </w:r>
      <w:proofErr w:type="spellStart"/>
      <w:r w:rsidRPr="00A11793">
        <w:rPr>
          <w:rFonts w:ascii="Arial" w:eastAsia="Times New Roman" w:hAnsi="Arial" w:cs="Arial"/>
          <w:sz w:val="18"/>
          <w:szCs w:val="18"/>
          <w:lang w:eastAsia="es-ES"/>
        </w:rPr>
        <w:t>OFIs</w:t>
      </w:r>
      <w:proofErr w:type="spellEnd"/>
      <w:r w:rsidRPr="00A11793">
        <w:rPr>
          <w:rFonts w:ascii="Arial" w:eastAsia="Times New Roman" w:hAnsi="Arial" w:cs="Arial"/>
          <w:sz w:val="18"/>
          <w:szCs w:val="18"/>
          <w:lang w:eastAsia="es-ES"/>
        </w:rPr>
        <w:t>).</w:t>
      </w:r>
    </w:p>
    <w:p w14:paraId="1FEC8EB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el cuarto trimestre de 2024, no se ejecutaron operaciones de financiamiento en los mercados internacionales, en línea con utilizar el crédito externo como fuente complementaria, y sólo cuando las condiciones fueran favorables. En 2024 se realizaron tres colocaciones en los mercados de dólares, euros y yenes, por un monto equivalente a 10 mil 721.3 millones de dólares. Dichas colocaciones mantuvieron un sano funcionamiento de las curvas de referencia, y consolidaron las curvas sostenibles en euros y yenes; asimismo, cumplieron el objetivo de cubrir las necesidades de liquidez con estrategia diversificación de monedas en el portafolio de deuda. Cabe mencionar la recompra de un bono, realizada el 12 de junio de 2024, por 894 millones de dólares, la cual implicó una reducción de la deuda externa y de las necesidades de liquidez para el 2025.</w:t>
      </w:r>
    </w:p>
    <w:p w14:paraId="512C7D1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el cuarto trimestre de 2024, el Gobierno Federal realizó erogaciones por concepto de costo financiero neto total de su deuda por 324 mil 193.9 millones de pesos (Ramo 24). Con ello, el total de pagos durante el periodo de enero a diciembre de 2024 por dicho concepto ascendió a 980 mil 58.1 millones de pesos. Esta cifra comprende erogaciones por 882 mil 603.7 millones de pesos para el pago de intereses y gastos asociados a la deuda interna, la cual incluye un monto de 27 mil 29.9 millones de pesos para el pago anticipado de intereses derivados del intercambio de deuda a través de las operaciones de permuta de deuda, así como erogaciones por un monto de 6 mil 375.1 millones de dólares para cubrir el pago por concepto de intereses, comisiones y gastos asociados a la deuda externa</w:t>
      </w:r>
    </w:p>
    <w:p w14:paraId="585EBC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Adicionalmente, en el cuarto trimestre de 2024, el Gobierno Federal no realizó erogaciones para los Programas de Apoyo a Ahorradores y Deudores de la Banca (Ramo 34), por lo que, el total pagado por este concepto en el periodo de enero a diciembre de 2024 fue de 62 mil 489.4 millones de pesos. Estos recursos se destinaron al Programa de Apoyo a Ahorradores a través del IPAB.</w:t>
      </w:r>
    </w:p>
    <w:p w14:paraId="7E55918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2024, la estrategia de manejo del portafolio de deuda priorizó el financiamiento en el mercado interno, a tasas de interés fijas y de largo plazo. Asimismo, como parte de la gestión de riesgos, se buscó contar con un portafolio de deuda diversificado en términos de divisas, así como llevar a cabo la implementación del programa de coberturas. Estas acciones mantuvieron acotada la sensibilidad del costo financiero de la deuda ante incrementos en la tasa de interés y el tipo de cambio, y favorecieron un portafolio sostenible, sólido y resistente ante choques externos. Las tasas implícitas de costo financiero estimadas en el cuarto trimestre de 2024 son 7.18%, 7.48% y 5.56% para el costo total del Ramo 24, el costo interno, y el costo externo, respectivamente. Si solo se toma en cuenta la deuda externa, el costo externo implícito es de 4.86%.</w:t>
      </w:r>
    </w:p>
    <w:p w14:paraId="4EAAF7B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término del cuarto trimestre de 2024, el saldo de la deuda con garantía explícita del Gobierno Federal se ubicó en 217 mil 948.9 millones de pesos, monto inferior en 101 mil 349.0 millones de pesos al observado al cierre del año anterior. Dentro de los Programas de Apoyo a Deudores se encuentra el Programa de Reestructuración en </w:t>
      </w:r>
      <w:proofErr w:type="spellStart"/>
      <w:r w:rsidRPr="00A11793">
        <w:rPr>
          <w:rFonts w:ascii="Arial" w:eastAsia="Times New Roman" w:hAnsi="Arial" w:cs="Arial"/>
          <w:sz w:val="18"/>
          <w:szCs w:val="18"/>
          <w:lang w:eastAsia="es-ES"/>
        </w:rPr>
        <w:t>Udis</w:t>
      </w:r>
      <w:proofErr w:type="spellEnd"/>
      <w:r w:rsidRPr="00A11793">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diciembre de 2024, el resultado preliminar de este intercambio ascendió a 31 mil 724.4 millones de pesos, mismos que no están incorporados en las obligaciones garantizadas reportadas por el Gobierno Federal, ya que su evolución futura es contingente al comportamiento de las tasas de interés.</w:t>
      </w:r>
    </w:p>
    <w:p w14:paraId="3DC5DE2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monto de la deuda neta del Sector Público Federal (Gobierno Federal, Empresas Públicas del Estado y la banca de desarrollo), se situó en 17 billones 551 mil 535.8 millones de pesos. Al finalizar el cuarto trimestre de 2024, el saldo de la deuda interna neta del Sector Público Federal se ubicó en 13 billones 126 mil 424.6 millones de pesos. La variación de este saldo al cuarto trimestre de 2024, respecto al cierre de 2023, fue el resultado de los siguientes factores: i) un endeudamiento interno neto por 2 billones 39 mil 772.4 millones de pesos; ii) una variación positiva en los activos internos del Sector Público Federal por 320 mil 99.8 millones de pesos y iii) ajustes contables positivos por 147 mil 817.2 millones de pesos, que reflejaron, principalmente, el efecto inflacionario sobre los pasivos indizados a esta variable y operaciones de permuta de deuda. Al término del cuarto trimestre de 2024, el saldo de la deuda externa neta del Sector Público Federal se </w:t>
      </w:r>
      <w:r w:rsidRPr="00A11793">
        <w:rPr>
          <w:rFonts w:ascii="Arial" w:eastAsia="Times New Roman" w:hAnsi="Arial" w:cs="Arial"/>
          <w:sz w:val="18"/>
          <w:szCs w:val="18"/>
          <w:lang w:eastAsia="es-ES"/>
        </w:rPr>
        <w:lastRenderedPageBreak/>
        <w:t>ubicó en 218 mil 326.7 millones de dólares. La evolución de la deuda externa neta del Sector Público Federal fue resultado de los siguientes factores: i) un endeudamiento externo neto de 9 mil 524.2 millones de dólares; ii) los activos internacionales del Sector Público Federal asociados a la deuda externa presentaron una variación positiva de 690.0 millones de dólares, y iii) ajustes contables negativos por 3 mil 584.0 millones de dólares, que reflejaron, principalmente, la variación del dólar con respecto a otras monedas en las que se encuentra contratada la deuda.</w:t>
      </w:r>
    </w:p>
    <w:p w14:paraId="54E29D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base en el saldo contractual de la deuda externa del Sector Público Federal registrado al 31 de diciembre de 2024, las amortizaciones durante el año 2025, sumarán un monto de 20 mil 169.0 millones de dólares. De esta cifra, 30.7% se encuentra asociado a las amortizaciones proyectadas de los vencimientos de deuda de mercado de capitales; 44.0% a créditos directos y pasivos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y 25.3%, se refiere a las amortizaciones de líneas vinculadas al comercio exterior y a vencimientos de deuda con </w:t>
      </w:r>
      <w:proofErr w:type="spellStart"/>
      <w:r w:rsidRPr="00A11793">
        <w:rPr>
          <w:rFonts w:ascii="Arial" w:eastAsia="Times New Roman" w:hAnsi="Arial" w:cs="Arial"/>
          <w:sz w:val="18"/>
          <w:szCs w:val="18"/>
          <w:lang w:eastAsia="es-ES"/>
        </w:rPr>
        <w:t>OFIs</w:t>
      </w:r>
      <w:proofErr w:type="spellEnd"/>
      <w:r w:rsidRPr="00A11793">
        <w:rPr>
          <w:rFonts w:ascii="Arial" w:eastAsia="Times New Roman" w:hAnsi="Arial" w:cs="Arial"/>
          <w:sz w:val="18"/>
          <w:szCs w:val="18"/>
          <w:lang w:eastAsia="es-ES"/>
        </w:rPr>
        <w:t>.</w:t>
      </w:r>
    </w:p>
    <w:p w14:paraId="2992249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enero a diciembre de 2024, el Sector Público Federal realizó erogaciones por concepto de costo financiero de su deuda pública interna por un monto de 955 mil 410.4 millones de pesos. Por otra parte, durante el mismo periodo se efectuaron erogaciones por un monto de 13 mil 242.2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5C88BA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xml:space="preserve">, los asociados a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Al cierre del cuarto trimestre de 2024, el SHRFSP se ubicó en 17 billones 425 mil 502.1 millones de pesos. El 27.5% de la variación respecto al cierre de 2023, obedeció a un aumento del tipo de cambio del peso respecto al dólar. El efecto por endeudamiento representó el 72.5% de la variación. Así, el componente interno del SHRFSP se ubicó en 13 billones 48 mil 658.1 millones de pesos y el componente externo fue de 215 mil 945.3 millones de dólares.</w:t>
      </w:r>
    </w:p>
    <w:p w14:paraId="08C3270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diciembre de 2024, la SHCP publicó el PAF 2025, documento que da a conocer los principales elementos de la política de deuda de las entidades del Sector Público: el Gobierno Federal, las empresas públicas del Estado, la banca de desarrollo y otros emisores que acceden a los mercados de deuda. Para 2025, las finanzas públicas se manejarán con prudencia fiscal, bajo el compromiso de mantener el equilibrio entre deuda y PIB, enmarcado en los 100 Compromisos para el Segundo Piso de la Cuarta Transformación. Así, la política de financiamiento estará cimentada en cinco ejes principales: </w:t>
      </w:r>
    </w:p>
    <w:p w14:paraId="134FA9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Cubrir las necesidades financiamiento del Gobierno Federal con un nivel de riesgo y costo adecuados; </w:t>
      </w:r>
    </w:p>
    <w:p w14:paraId="721B6E6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Mantener la sostenibilidad de la deuda pública; </w:t>
      </w:r>
    </w:p>
    <w:p w14:paraId="3E6F2C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Realizar un manejo integral de los riesgos; </w:t>
      </w:r>
    </w:p>
    <w:p w14:paraId="6F29011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Mejorar el perfil de vencimientos de la deuda y sus características; y </w:t>
      </w:r>
    </w:p>
    <w:p w14:paraId="14B869D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v) Propiciar el desarrollo del mercado local, con énfasis en instrumentos sostenibles. </w:t>
      </w:r>
    </w:p>
    <w:p w14:paraId="66249B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Federal implementará operaciones de refinanciamiento y manejo de pasivos, así como una estrategia de gestión de riesgos a través de instrumentos derivados, para atenuar la exposición a variaciones en el precio del petróleo, el tipo de cambio y las tasas de interés; mantener acotado el costo del servicio de la deuda; y preservar un portafolio de pasivos diversificado, sólido y sin presiones de corto plazo. Asimismo, la principal fuente de financiamiento será el mercado interno y, de forma complementaria, se buscarán ventanas de oportunidad para acceder a los mercados externos. </w:t>
      </w:r>
    </w:p>
    <w:p w14:paraId="464BF46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t>Con esta estrategia, se estima que el porcentaje de la deuda neta externa respecto de la deuda neta total se ubique en 15.1% para 2025. Respecto a la deuda interna, se espera una participación de 82.1% de los valores a tasa fija y nominal y real de largo plazo, y un plazo promedio de vencimiento de 7.8 años; para la deuda externa, se espera un plazo promedio de 17.7 años. Además, con un nivel de confianza de 0.95, se estima que el costo financiero no se incrementará más de 3.1% con relación a su valor esperado.</w:t>
      </w:r>
    </w:p>
    <w:p w14:paraId="6402F49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Cabe mencionar que, el Gobierno Federal impulsará una relación estrecha con los emisores recurrentes del Sector Público para coordinar su financiamiento, mientras que estas entidades mantendrán una comunicación activa con los participantes del mercado. El mercado financiero interno será la principal fuente de financiamiento, y se priorizará su desarrollo, con énfasis en instrumentos sostenibles. La estrategia de financiamiento interno actualizará las reglas de la Figura de Formadores de Mercado de Bonos y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para fomentar la liquidez y profundidad del mercado; se continuará con el programa de subasta de valores gubernamentales, el cual se ajustará a las condiciones y dinámicas de los mercados financieros.</w:t>
      </w:r>
    </w:p>
    <w:p w14:paraId="7B85655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Se buscará actualizar las referencias a 5, 20 y 30 años de los Bonos M, así como la referencia a 3 años de los </w:t>
      </w:r>
      <w:proofErr w:type="spellStart"/>
      <w:r w:rsidRPr="00A11793">
        <w:rPr>
          <w:rFonts w:ascii="Arial" w:eastAsia="Times New Roman" w:hAnsi="Arial" w:cs="Arial"/>
          <w:sz w:val="18"/>
          <w:szCs w:val="18"/>
          <w:lang w:eastAsia="es-ES"/>
        </w:rPr>
        <w:t>Udibonos</w:t>
      </w:r>
      <w:proofErr w:type="spellEnd"/>
      <w:r w:rsidRPr="00A11793">
        <w:rPr>
          <w:rFonts w:ascii="Arial" w:eastAsia="Times New Roman" w:hAnsi="Arial" w:cs="Arial"/>
          <w:sz w:val="18"/>
          <w:szCs w:val="18"/>
          <w:lang w:eastAsia="es-ES"/>
        </w:rPr>
        <w:t>; respecto a los Bondes F, con el fin de aumentar liquidez en la operación de estos instrumentos, a partir de enero de 2025, sólo usará la TIIE de Fondeo para los nuevos contratos de instrumentos derivados. Finalmente, se llevarán a cabo emisiones de Bondes G y Bonos S, con prioridad en este último, para asegurar la liquidez y operatividad de la referencia vigente y emitir nuevos plazos más adelante. En línea con fomentar el desarrollo de instrumentos sostenibles, sus colocaciones buscarán garantizar que otros participantes cuenten con las referencias adecuadas para sus emisiones.</w:t>
      </w:r>
    </w:p>
    <w:p w14:paraId="4AA2638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Los mercados financieros externos serán una fuente complementaria de financiamiento; se dará preferencia a los mercados con mayor liquidez, condiciones favorables y que muestren menor volatilidad. Asimismo, con el objetivo de mitigar el riesgo cambiario y aprovechar el acceso a financiamiento en distintos mercados, se priorizará una composición de portafolio diversificada. Además, se procurará que las emisiones de nuevos bonos de referencia cuenten con el volumen necesario para mantener eficiencia y liquidez en la curva de rendimientos. Respecto a los ejercicios de manejo de pasivos, se adoptará una postura defensiva, y se priorizarán operaciones de refinanciamiento que reduzcan los vencimientos de corto plazo y extiendan la duración del portafolio.</w:t>
      </w:r>
    </w:p>
    <w:p w14:paraId="3BE96A6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LFDP y ii) aquellos proyectos propiedad del sector privado y que implican únicamente compromisos comerciales, salvo que se presenten causas de fuerza mayor que impliquen su adquisición por el Sector Público. </w:t>
      </w:r>
    </w:p>
    <w:p w14:paraId="47950FF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el objeto de ampliar y mejorar la información relativa a los pasivos asociados a los proyectos de inversión financiada de los proyectos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7B795DF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2023, el Ejecutivo Federal solicitó la asignación, en el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2EF5B47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448774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lastRenderedPageBreak/>
        <w:t xml:space="preserve">Al 31 de diciembre de 2024, la deuda neta del Instituto ascendió a 1 billón 16 mil 83.0 millones de pesos, registrando una disminución en términos reales de 1.88% respecto a diciembre de 2023. Esta disminución se explica principalmente por un efecto por inflación superior al crecimiento nominal del saldo de la deuda. Por otra parte, el saldo de la deuda neta del Instituto al cierre del cuarto trimestre de 2024 representó el 2.87% del PIB, dato menor en 0.11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respecto al presentado al cierre del cuarto trimestre de 2023. En términos reales, el decremento de 0.11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se explica en 0.06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por el decrecimiento de la deuda del Instituto en términos reales y en 0.05 </w:t>
      </w:r>
      <w:proofErr w:type="spellStart"/>
      <w:r w:rsidRPr="00A11793">
        <w:rPr>
          <w:rFonts w:ascii="Arial" w:eastAsia="Times New Roman" w:hAnsi="Arial" w:cs="Arial"/>
          <w:sz w:val="18"/>
          <w:szCs w:val="18"/>
          <w:lang w:eastAsia="es-ES"/>
        </w:rPr>
        <w:t>pp</w:t>
      </w:r>
      <w:proofErr w:type="spellEnd"/>
      <w:r w:rsidRPr="00A11793">
        <w:rPr>
          <w:rFonts w:ascii="Arial" w:eastAsia="Times New Roman" w:hAnsi="Arial" w:cs="Arial"/>
          <w:sz w:val="18"/>
          <w:szCs w:val="18"/>
          <w:lang w:eastAsia="es-ES"/>
        </w:rPr>
        <w:t xml:space="preserve"> por el crecimiento estimado de la economía en términos reales de diciembre de 2023 a diciembre de 2024.</w:t>
      </w:r>
    </w:p>
    <w:p w14:paraId="39BBB21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cierre del cuarto trimestre de 2024, el saldo de los activos totales del Instituto ascendió a 219 mil 487.0 millones de pesos, cifra que presentó un aumento de 14.12% en términos reales, respecto al cierre de diciembre de 2023. Cabe destacar que, el saldo del Fondo de Protección al Ahorro Bancario al cierre del mes de diciembre de 2024 ascendió a 106 mil 294.0 millones de pesos, lo que significó un incremento nominal de 22.01% y de 17.08% en términos reales respecto del mes de diciembre de 2023.</w:t>
      </w:r>
    </w:p>
    <w:p w14:paraId="2AA77B9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Durante el cuarto trimestre de 2024, se recibieron recursos en el Instituto por un total de 78 mil 254.0 millones de pesos. Dichos recursos se componen de: </w:t>
      </w:r>
    </w:p>
    <w:p w14:paraId="2701BA7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64 mil 254.0 millones de pesos correspondientes a operaciones de refinanciamiento a través de la colocación primaria y no competitiva de BPAS; </w:t>
      </w:r>
    </w:p>
    <w:p w14:paraId="35E0DBE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9 mil 187.0 millones de pesos por concepto de Cuotas cobradas a las Instituciones de Banca Múltiple (IBM); </w:t>
      </w:r>
    </w:p>
    <w:p w14:paraId="2C697DA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4 mil 811.0 millones de pesos de intereses generados por la inversión de los activos líquidos del Instituto y, </w:t>
      </w:r>
    </w:p>
    <w:p w14:paraId="7FF8808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2.0 millones de pesos por otros ingresos (actualización de cuotas omitidas, reembolso a la Reserva de Resoluciones, traspaso de intereses por saldo en cuenta). </w:t>
      </w:r>
    </w:p>
    <w:p w14:paraId="465320B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su parte, los pagos realizados durante el mismo periodo ascendieron a 53 mil 256.0 millones de pesos, de los cuales 19 mil 511.0 millones de pesos corresponden a la amortización de Bonos; 33 mil 636.0 millones de pesos al pago de intereses de dichos Bonos; 110.0 millones de pesos a pagos relacionados con gastos de administración del Instituto y 0.2 millones de pesos relacionados a procesos de resolución.</w:t>
      </w:r>
    </w:p>
    <w:p w14:paraId="0F13330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27 de septiembre de 2024, el Instituto colocó Bonos de Protección al Ahorro (BPAS o Bonos) a través del Banco de México como su agente financiero. Dado lo anterior, el IPAB colocó instrumentos por un monto nominal de 64 mil 18.0 millones de pesos, de los cuales 63 mil 700 millones de pesos corresponden a subastas primarias y 318.0 millones de pesos a asignaciones no competitivas a través de la plataforma de </w:t>
      </w:r>
      <w:proofErr w:type="spellStart"/>
      <w:r w:rsidRPr="00A11793">
        <w:rPr>
          <w:rFonts w:ascii="Arial" w:eastAsia="Times New Roman" w:hAnsi="Arial" w:cs="Arial"/>
          <w:sz w:val="18"/>
          <w:szCs w:val="18"/>
          <w:lang w:eastAsia="es-ES"/>
        </w:rPr>
        <w:t>Cetesdirecto</w:t>
      </w:r>
      <w:proofErr w:type="spellEnd"/>
      <w:r w:rsidRPr="00A11793">
        <w:rPr>
          <w:rFonts w:ascii="Arial" w:eastAsia="Times New Roman" w:hAnsi="Arial" w:cs="Arial"/>
          <w:sz w:val="18"/>
          <w:szCs w:val="18"/>
          <w:lang w:eastAsia="es-ES"/>
        </w:rPr>
        <w:t xml:space="preserve">; y amortizó emisiones primarias con un valor nominal de 19 mil 511.0 millones de pesos, con lo cual se presentó una colocación neta de 44 mil 507.0 millones de pesos. </w:t>
      </w:r>
    </w:p>
    <w:p w14:paraId="2AC7DA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Las operaciones de refinanciamiento efectuadas durante el cuarto trimestre de 2024 contribuyeron con el objetivo estratégico del IPAB de hacer frente a sus obligaciones de pago de manera sostenible en el largo plazo.</w:t>
      </w:r>
    </w:p>
    <w:p w14:paraId="50194AB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plazo promedio de los pasivos del Instituto fue de 2.67 años, dato 0.04 años mayor al observado en el cuarto trimestre de 2023 (2.63 años), debido a que los porcentajes de la deuda con plazo menor a un año y mayor a tres años han tenido un incremento. </w:t>
      </w:r>
    </w:p>
    <w:p w14:paraId="118585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otra parte, el 20 de diciembre de 2024, el IPAB dio a conocer al público inversionista las subastas primarias programadas a realizar durante el primer trimestre de 2025; para el cual, disminuyó en 600 millones de pesos el monto objetivo semanal a subastar respecto del cuarto trimestre de 2024, quedando en 4 mil 600.0 millones de pesos, distribuidos de la siguiente manera: 1 mil 500 millones de pesos de BPAG28 a plazo de hasta 3 años; 1 mil 500 millones de pesos de BPAG91 a plazo de hasta 5 años y 1 mil 300 millones de pesos de BPA182 a plazo de hasta 7 años.</w:t>
      </w:r>
    </w:p>
    <w:p w14:paraId="1B3C633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w:t>
      </w:r>
      <w:r w:rsidRPr="00A11793">
        <w:rPr>
          <w:rFonts w:ascii="Arial" w:eastAsia="Times New Roman" w:hAnsi="Arial" w:cs="Arial"/>
          <w:sz w:val="18"/>
          <w:szCs w:val="18"/>
          <w:lang w:eastAsia="es-ES"/>
        </w:rPr>
        <w:lastRenderedPageBreak/>
        <w:t>2024 de $0.00, y al primer trimestre del ejercicio 2025 se continúa con un saldo de $0.00 de endeudamiento, manteniendo las finanzas del Gobierno del Estado sanas.</w:t>
      </w: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7E505C0B" w:rsidR="008C10B0" w:rsidRDefault="008C10B0" w:rsidP="008C10B0">
      <w:r>
        <w:t xml:space="preserve">      No aplica, toda vez que no se tiene contrato con empresas calificadoras al </w:t>
      </w:r>
      <w:r w:rsidR="003A3004">
        <w:t>31 de marzo</w:t>
      </w:r>
      <w:r>
        <w:t xml:space="preserve"> del ejercicio 202</w:t>
      </w:r>
      <w:r w:rsidR="003A3004">
        <w:t>5</w:t>
      </w:r>
      <w: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B97B9A" w:rsidRDefault="008C10B0" w:rsidP="008C10B0">
      <w:r w:rsidRPr="00B97B9A">
        <w:t xml:space="preserve">     a) Principales políticas de control interno:</w:t>
      </w:r>
    </w:p>
    <w:p w14:paraId="434D0493" w14:textId="77777777" w:rsidR="008C10B0" w:rsidRDefault="008C10B0" w:rsidP="008C10B0">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B97B9A" w:rsidRDefault="008C10B0" w:rsidP="008C10B0">
      <w:pPr>
        <w:jc w:val="both"/>
      </w:pPr>
      <w:r>
        <w:t xml:space="preserve">   </w:t>
      </w:r>
      <w:r w:rsidRPr="00B97B9A">
        <w:t>b) Medidas de desempeño financiero, metas y alcance:</w:t>
      </w:r>
    </w:p>
    <w:p w14:paraId="552AA16C" w14:textId="431468FF" w:rsidR="008C10B0" w:rsidRDefault="008C10B0" w:rsidP="008C10B0">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3A3004">
        <w:t>5</w:t>
      </w:r>
      <w: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Default="008C10B0" w:rsidP="008C10B0">
      <w:pPr>
        <w:jc w:val="both"/>
      </w:pPr>
      <w:r>
        <w:t xml:space="preserve">No aplica, toda vez que el Poder Ejecutivo informa de manera pormenorizada de acuerdo a la estructura relativa a la Cuenta </w:t>
      </w:r>
      <w:r w:rsidR="002640DB">
        <w:t>Pública</w:t>
      </w:r>
      <w: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60B23564" w:rsidR="008C10B0" w:rsidRDefault="008C10B0" w:rsidP="008C10B0">
      <w:pPr>
        <w:jc w:val="both"/>
      </w:pPr>
      <w:r>
        <w:t xml:space="preserve">No aplica, toda vez que no se registraron eventos posteriores al cierre del </w:t>
      </w:r>
      <w:r w:rsidR="00AD1464">
        <w:t>primer trimestre del ejercicio fiscal 2025</w:t>
      </w:r>
      <w:r>
        <w:t>.</w:t>
      </w:r>
    </w:p>
    <w:p w14:paraId="7C0596D0" w14:textId="77777777" w:rsidR="008C10B0" w:rsidRDefault="008C10B0" w:rsidP="008C10B0">
      <w:pPr>
        <w:jc w:val="both"/>
        <w:rPr>
          <w:b/>
        </w:rPr>
      </w:pPr>
      <w:r w:rsidRPr="00AD1464">
        <w:rPr>
          <w:b/>
        </w:rPr>
        <w:t>15. Partes Relacionadas</w:t>
      </w:r>
    </w:p>
    <w:p w14:paraId="7D77AAE3" w14:textId="0A1F0004" w:rsidR="008C10B0" w:rsidRDefault="008C10B0" w:rsidP="008C10B0">
      <w:pPr>
        <w:jc w:val="both"/>
      </w:pPr>
      <w:r>
        <w:t xml:space="preserve">No aplica, toda vez que el Poder Ejecutivo no cuenta con partes relacionadas al cierre del </w:t>
      </w:r>
      <w:r w:rsidR="00AD1464">
        <w:t xml:space="preserve">primer trimestre del </w:t>
      </w:r>
      <w:r>
        <w:t>ejer</w:t>
      </w:r>
      <w:r w:rsidR="00AD1464">
        <w:t>cicio 2025</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035581AA" w14:textId="77777777" w:rsidR="008C10B0" w:rsidRDefault="008C10B0" w:rsidP="008C10B0">
      <w:pPr>
        <w:pStyle w:val="Texto"/>
        <w:spacing w:after="0" w:line="240" w:lineRule="exact"/>
        <w:rPr>
          <w:szCs w:val="18"/>
        </w:rPr>
      </w:pPr>
    </w:p>
    <w:p w14:paraId="7CEE11DB" w14:textId="77777777" w:rsidR="002D48B0" w:rsidRDefault="002D48B0" w:rsidP="008C10B0">
      <w:pPr>
        <w:pStyle w:val="Texto"/>
        <w:spacing w:after="0" w:line="276" w:lineRule="auto"/>
        <w:jc w:val="center"/>
        <w:rPr>
          <w:b/>
          <w:szCs w:val="18"/>
        </w:rPr>
      </w:pPr>
    </w:p>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4878A9FB"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058F3">
        <w:rPr>
          <w:rFonts w:ascii="Arial" w:hAnsi="Arial" w:cs="Arial"/>
          <w:sz w:val="18"/>
          <w:szCs w:val="18"/>
          <w:lang w:val="es-ES"/>
        </w:rPr>
        <w:t>primer</w:t>
      </w:r>
      <w:r>
        <w:rPr>
          <w:rFonts w:ascii="Arial" w:hAnsi="Arial" w:cs="Arial"/>
          <w:sz w:val="18"/>
          <w:szCs w:val="18"/>
          <w:lang w:val="es-ES"/>
        </w:rPr>
        <w:t xml:space="preserve"> trimestre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058F3">
        <w:rPr>
          <w:rFonts w:ascii="Arial" w:hAnsi="Arial" w:cs="Arial"/>
          <w:sz w:val="18"/>
          <w:szCs w:val="18"/>
        </w:rPr>
        <w:t>7</w:t>
      </w:r>
      <w:r>
        <w:rPr>
          <w:rFonts w:ascii="Arial" w:hAnsi="Arial" w:cs="Arial"/>
          <w:sz w:val="18"/>
          <w:szCs w:val="18"/>
        </w:rPr>
        <w:t>,</w:t>
      </w:r>
      <w:r w:rsidR="007058F3">
        <w:rPr>
          <w:rFonts w:ascii="Arial" w:hAnsi="Arial" w:cs="Arial"/>
          <w:sz w:val="18"/>
          <w:szCs w:val="18"/>
        </w:rPr>
        <w:t>439</w:t>
      </w:r>
      <w:r>
        <w:rPr>
          <w:rFonts w:ascii="Arial" w:hAnsi="Arial" w:cs="Arial"/>
          <w:sz w:val="18"/>
          <w:szCs w:val="18"/>
        </w:rPr>
        <w:t>,</w:t>
      </w:r>
      <w:r w:rsidR="007058F3">
        <w:rPr>
          <w:rFonts w:ascii="Arial" w:hAnsi="Arial" w:cs="Arial"/>
          <w:sz w:val="18"/>
          <w:szCs w:val="18"/>
        </w:rPr>
        <w:t>204</w:t>
      </w:r>
      <w:r>
        <w:rPr>
          <w:rFonts w:ascii="Arial" w:hAnsi="Arial" w:cs="Arial"/>
          <w:sz w:val="18"/>
          <w:szCs w:val="18"/>
        </w:rPr>
        <w:t>,</w:t>
      </w:r>
      <w:r w:rsidR="007058F3">
        <w:rPr>
          <w:rFonts w:ascii="Arial" w:hAnsi="Arial" w:cs="Arial"/>
          <w:sz w:val="18"/>
          <w:szCs w:val="18"/>
        </w:rPr>
        <w:t>404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058F3">
        <w:rPr>
          <w:rFonts w:ascii="Arial" w:hAnsi="Arial" w:cs="Arial"/>
          <w:sz w:val="18"/>
          <w:szCs w:val="18"/>
        </w:rPr>
        <w:t>5</w:t>
      </w:r>
      <w:r>
        <w:rPr>
          <w:rFonts w:ascii="Arial" w:hAnsi="Arial" w:cs="Arial"/>
          <w:sz w:val="18"/>
          <w:szCs w:val="18"/>
        </w:rPr>
        <w:t>,</w:t>
      </w:r>
      <w:r w:rsidR="007058F3">
        <w:rPr>
          <w:rFonts w:ascii="Arial" w:hAnsi="Arial" w:cs="Arial"/>
          <w:sz w:val="18"/>
          <w:szCs w:val="18"/>
        </w:rPr>
        <w:t>860</w:t>
      </w:r>
      <w:r>
        <w:rPr>
          <w:rFonts w:ascii="Arial" w:hAnsi="Arial" w:cs="Arial"/>
          <w:sz w:val="18"/>
          <w:szCs w:val="18"/>
        </w:rPr>
        <w:t>,</w:t>
      </w:r>
      <w:r w:rsidR="007058F3">
        <w:rPr>
          <w:rFonts w:ascii="Arial" w:hAnsi="Arial" w:cs="Arial"/>
          <w:sz w:val="18"/>
          <w:szCs w:val="18"/>
        </w:rPr>
        <w:t>414</w:t>
      </w:r>
      <w:r>
        <w:rPr>
          <w:rFonts w:ascii="Arial" w:hAnsi="Arial" w:cs="Arial"/>
          <w:sz w:val="18"/>
          <w:szCs w:val="18"/>
        </w:rPr>
        <w:t>,</w:t>
      </w:r>
      <w:r w:rsidR="007058F3">
        <w:rPr>
          <w:rFonts w:ascii="Arial" w:hAnsi="Arial" w:cs="Arial"/>
          <w:sz w:val="18"/>
          <w:szCs w:val="18"/>
        </w:rPr>
        <w:t>142</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7058F3">
        <w:rPr>
          <w:rFonts w:ascii="Arial" w:hAnsi="Arial" w:cs="Arial"/>
          <w:sz w:val="18"/>
          <w:szCs w:val="18"/>
        </w:rPr>
        <w:t>1</w:t>
      </w:r>
      <w:r>
        <w:rPr>
          <w:rFonts w:ascii="Arial" w:hAnsi="Arial" w:cs="Arial"/>
          <w:sz w:val="18"/>
          <w:szCs w:val="18"/>
        </w:rPr>
        <w:t>,</w:t>
      </w:r>
      <w:r w:rsidR="007058F3">
        <w:rPr>
          <w:rFonts w:ascii="Arial" w:hAnsi="Arial" w:cs="Arial"/>
          <w:sz w:val="18"/>
          <w:szCs w:val="18"/>
        </w:rPr>
        <w:t>578</w:t>
      </w:r>
      <w:r>
        <w:rPr>
          <w:rFonts w:ascii="Arial" w:hAnsi="Arial" w:cs="Arial"/>
          <w:sz w:val="18"/>
          <w:szCs w:val="18"/>
        </w:rPr>
        <w:t>,</w:t>
      </w:r>
      <w:r w:rsidR="007058F3">
        <w:rPr>
          <w:rFonts w:ascii="Arial" w:hAnsi="Arial" w:cs="Arial"/>
          <w:sz w:val="18"/>
          <w:szCs w:val="18"/>
        </w:rPr>
        <w:t>790</w:t>
      </w:r>
      <w:r>
        <w:rPr>
          <w:rFonts w:ascii="Arial" w:hAnsi="Arial" w:cs="Arial"/>
          <w:sz w:val="18"/>
          <w:szCs w:val="18"/>
        </w:rPr>
        <w:t>,</w:t>
      </w:r>
      <w:r w:rsidR="007058F3">
        <w:rPr>
          <w:rFonts w:ascii="Arial" w:hAnsi="Arial" w:cs="Arial"/>
          <w:sz w:val="18"/>
          <w:szCs w:val="18"/>
        </w:rPr>
        <w:t>262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w:t>
      </w:r>
      <w:r w:rsidR="007058F3">
        <w:rPr>
          <w:rFonts w:ascii="Arial" w:hAnsi="Arial" w:cs="Arial"/>
          <w:sz w:val="18"/>
          <w:szCs w:val="18"/>
        </w:rPr>
        <w:t>menor</w:t>
      </w:r>
      <w:r>
        <w:rPr>
          <w:rFonts w:ascii="Arial" w:hAnsi="Arial" w:cs="Arial"/>
          <w:sz w:val="18"/>
          <w:szCs w:val="18"/>
        </w:rPr>
        <w:t xml:space="preserve"> en un </w:t>
      </w:r>
      <w:r w:rsidR="007058F3">
        <w:rPr>
          <w:rFonts w:ascii="Arial" w:hAnsi="Arial" w:cs="Arial"/>
          <w:sz w:val="18"/>
          <w:szCs w:val="18"/>
        </w:rPr>
        <w:t>28</w:t>
      </w:r>
      <w:r>
        <w:rPr>
          <w:rFonts w:ascii="Arial" w:hAnsi="Arial" w:cs="Arial"/>
          <w:sz w:val="18"/>
          <w:szCs w:val="18"/>
        </w:rPr>
        <w:t>%, respecto al ejercicio de 202</w:t>
      </w:r>
      <w:r w:rsidR="007058F3">
        <w:rPr>
          <w:rFonts w:ascii="Arial" w:hAnsi="Arial" w:cs="Arial"/>
          <w:sz w:val="18"/>
          <w:szCs w:val="18"/>
        </w:rPr>
        <w:t>4</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27D53943"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7058F3">
        <w:rPr>
          <w:rFonts w:ascii="Arial" w:hAnsi="Arial" w:cs="Arial"/>
          <w:sz w:val="18"/>
          <w:szCs w:val="18"/>
        </w:rPr>
        <w:t>marzo</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7058F3">
        <w:rPr>
          <w:rFonts w:ascii="Arial" w:hAnsi="Arial" w:cs="Arial"/>
          <w:sz w:val="18"/>
          <w:szCs w:val="18"/>
        </w:rPr>
        <w:t>320,316,375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7058F3">
        <w:rPr>
          <w:rFonts w:ascii="Arial" w:hAnsi="Arial" w:cs="Arial"/>
          <w:sz w:val="18"/>
          <w:szCs w:val="18"/>
        </w:rPr>
        <w:t>299,405,067</w:t>
      </w:r>
      <w:r>
        <w:rPr>
          <w:rFonts w:ascii="Arial" w:hAnsi="Arial" w:cs="Arial"/>
          <w:sz w:val="18"/>
          <w:szCs w:val="18"/>
        </w:rPr>
        <w:t>; sobre la Producción, el Consumo y las transacciones por un importe de $1</w:t>
      </w:r>
      <w:r w:rsidR="007058F3">
        <w:rPr>
          <w:rFonts w:ascii="Arial" w:hAnsi="Arial" w:cs="Arial"/>
          <w:sz w:val="18"/>
          <w:szCs w:val="18"/>
        </w:rPr>
        <w:t>0</w:t>
      </w:r>
      <w:r>
        <w:rPr>
          <w:rFonts w:ascii="Arial" w:hAnsi="Arial" w:cs="Arial"/>
          <w:sz w:val="18"/>
          <w:szCs w:val="18"/>
        </w:rPr>
        <w:t>,</w:t>
      </w:r>
      <w:r w:rsidR="007058F3">
        <w:rPr>
          <w:rFonts w:ascii="Arial" w:hAnsi="Arial" w:cs="Arial"/>
          <w:sz w:val="18"/>
          <w:szCs w:val="18"/>
        </w:rPr>
        <w:t>752</w:t>
      </w:r>
      <w:r>
        <w:rPr>
          <w:rFonts w:ascii="Arial" w:hAnsi="Arial" w:cs="Arial"/>
          <w:sz w:val="18"/>
          <w:szCs w:val="18"/>
        </w:rPr>
        <w:t>,</w:t>
      </w:r>
      <w:r w:rsidR="007058F3">
        <w:rPr>
          <w:rFonts w:ascii="Arial" w:hAnsi="Arial" w:cs="Arial"/>
          <w:sz w:val="18"/>
          <w:szCs w:val="18"/>
        </w:rPr>
        <w:t>63</w:t>
      </w:r>
      <w:r>
        <w:rPr>
          <w:rFonts w:ascii="Arial" w:hAnsi="Arial" w:cs="Arial"/>
          <w:sz w:val="18"/>
          <w:szCs w:val="18"/>
        </w:rPr>
        <w:t>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13508">
        <w:rPr>
          <w:rFonts w:ascii="Arial" w:hAnsi="Arial" w:cs="Arial"/>
          <w:sz w:val="18"/>
          <w:szCs w:val="18"/>
        </w:rPr>
        <w:t>5</w:t>
      </w:r>
      <w:r>
        <w:rPr>
          <w:rFonts w:ascii="Arial" w:hAnsi="Arial" w:cs="Arial"/>
          <w:sz w:val="18"/>
          <w:szCs w:val="18"/>
        </w:rPr>
        <w:t>,</w:t>
      </w:r>
      <w:r w:rsidR="00513508">
        <w:rPr>
          <w:rFonts w:ascii="Arial" w:hAnsi="Arial" w:cs="Arial"/>
          <w:sz w:val="18"/>
          <w:szCs w:val="18"/>
        </w:rPr>
        <w:t>790</w:t>
      </w:r>
      <w:r>
        <w:rPr>
          <w:rFonts w:ascii="Arial" w:hAnsi="Arial" w:cs="Arial"/>
          <w:sz w:val="18"/>
          <w:szCs w:val="18"/>
        </w:rPr>
        <w:t>,</w:t>
      </w:r>
      <w:r w:rsidR="00513508">
        <w:rPr>
          <w:rFonts w:ascii="Arial" w:hAnsi="Arial" w:cs="Arial"/>
          <w:sz w:val="18"/>
          <w:szCs w:val="18"/>
        </w:rPr>
        <w:t>108</w:t>
      </w:r>
      <w:r>
        <w:rPr>
          <w:rFonts w:ascii="Arial" w:hAnsi="Arial" w:cs="Arial"/>
          <w:sz w:val="18"/>
          <w:szCs w:val="18"/>
        </w:rPr>
        <w:t xml:space="preserve">. Presentando un diferencial </w:t>
      </w:r>
      <w:r w:rsidR="00513508">
        <w:rPr>
          <w:rFonts w:ascii="Arial" w:hAnsi="Arial" w:cs="Arial"/>
          <w:sz w:val="18"/>
          <w:szCs w:val="18"/>
        </w:rPr>
        <w:t>negativo</w:t>
      </w:r>
      <w:r>
        <w:rPr>
          <w:rFonts w:ascii="Arial" w:hAnsi="Arial" w:cs="Arial"/>
          <w:sz w:val="18"/>
          <w:szCs w:val="18"/>
        </w:rPr>
        <w:t xml:space="preserve"> en impuestos del </w:t>
      </w:r>
      <w:r w:rsidR="00513508">
        <w:rPr>
          <w:rFonts w:ascii="Arial" w:hAnsi="Arial" w:cs="Arial"/>
          <w:sz w:val="18"/>
          <w:szCs w:val="18"/>
        </w:rPr>
        <w:t>69</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4FD8FE5E"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13508">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13508">
        <w:rPr>
          <w:rFonts w:ascii="Arial" w:hAnsi="Arial" w:cs="Arial"/>
          <w:sz w:val="18"/>
          <w:szCs w:val="18"/>
        </w:rPr>
        <w:t>222,061,171</w:t>
      </w:r>
      <w:r w:rsidRPr="0073056A">
        <w:rPr>
          <w:rFonts w:ascii="Arial" w:hAnsi="Arial" w:cs="Arial"/>
          <w:sz w:val="18"/>
          <w:szCs w:val="18"/>
        </w:rPr>
        <w:t>.</w:t>
      </w:r>
      <w:r>
        <w:rPr>
          <w:rFonts w:ascii="Arial" w:hAnsi="Arial" w:cs="Arial"/>
          <w:sz w:val="18"/>
          <w:szCs w:val="18"/>
        </w:rPr>
        <w:t xml:space="preserve"> Mostrando un decremento del </w:t>
      </w:r>
      <w:r w:rsidR="00513508">
        <w:rPr>
          <w:rFonts w:ascii="Arial" w:hAnsi="Arial" w:cs="Arial"/>
          <w:sz w:val="18"/>
          <w:szCs w:val="18"/>
        </w:rPr>
        <w:t>67</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481DC9BE"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13508">
        <w:rPr>
          <w:rFonts w:ascii="Arial" w:hAnsi="Arial" w:cs="Arial"/>
          <w:sz w:val="18"/>
          <w:szCs w:val="18"/>
        </w:rPr>
        <w:t>marzo</w:t>
      </w:r>
      <w:r>
        <w:rPr>
          <w:rFonts w:ascii="Arial" w:hAnsi="Arial" w:cs="Arial"/>
          <w:sz w:val="18"/>
          <w:szCs w:val="18"/>
        </w:rPr>
        <w:t xml:space="preserve"> es</w:t>
      </w:r>
      <w:r w:rsidRPr="0073056A">
        <w:rPr>
          <w:rFonts w:ascii="Arial" w:hAnsi="Arial" w:cs="Arial"/>
          <w:sz w:val="18"/>
          <w:szCs w:val="18"/>
        </w:rPr>
        <w:t xml:space="preserve"> de $</w:t>
      </w:r>
      <w:r w:rsidR="00513508">
        <w:rPr>
          <w:rFonts w:ascii="Arial" w:hAnsi="Arial" w:cs="Arial"/>
          <w:sz w:val="18"/>
          <w:szCs w:val="18"/>
        </w:rPr>
        <w:t>85</w:t>
      </w:r>
      <w:r w:rsidRPr="00502DDD">
        <w:rPr>
          <w:rFonts w:ascii="Arial" w:hAnsi="Arial" w:cs="Arial"/>
          <w:sz w:val="18"/>
          <w:szCs w:val="18"/>
        </w:rPr>
        <w:t>,</w:t>
      </w:r>
      <w:r w:rsidR="00513508">
        <w:rPr>
          <w:rFonts w:ascii="Arial" w:hAnsi="Arial" w:cs="Arial"/>
          <w:sz w:val="18"/>
          <w:szCs w:val="18"/>
        </w:rPr>
        <w:t>303</w:t>
      </w:r>
      <w:r w:rsidRPr="00502DDD">
        <w:rPr>
          <w:rFonts w:ascii="Arial" w:hAnsi="Arial" w:cs="Arial"/>
          <w:sz w:val="18"/>
          <w:szCs w:val="18"/>
        </w:rPr>
        <w:t>,</w:t>
      </w:r>
      <w:r w:rsidR="00513508">
        <w:rPr>
          <w:rFonts w:ascii="Arial" w:hAnsi="Arial" w:cs="Arial"/>
          <w:sz w:val="18"/>
          <w:szCs w:val="18"/>
        </w:rPr>
        <w:t>459</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513508">
        <w:rPr>
          <w:rFonts w:ascii="Arial" w:hAnsi="Arial" w:cs="Arial"/>
          <w:sz w:val="18"/>
          <w:szCs w:val="18"/>
        </w:rPr>
        <w:t>79</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091EA079"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13508">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513508">
        <w:rPr>
          <w:rFonts w:ascii="Arial" w:hAnsi="Arial" w:cs="Arial"/>
          <w:sz w:val="18"/>
          <w:szCs w:val="18"/>
        </w:rPr>
        <w:t>2,263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1B25A434"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513508">
        <w:rPr>
          <w:rFonts w:ascii="Arial" w:hAnsi="Arial" w:cs="Arial"/>
          <w:sz w:val="18"/>
          <w:szCs w:val="18"/>
        </w:rPr>
        <w:t>59,956,097</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513508">
        <w:rPr>
          <w:rFonts w:ascii="Arial" w:hAnsi="Arial" w:cs="Arial"/>
          <w:sz w:val="18"/>
          <w:szCs w:val="18"/>
        </w:rPr>
        <w:t>de</w:t>
      </w:r>
      <w:r>
        <w:rPr>
          <w:rFonts w:ascii="Arial" w:hAnsi="Arial" w:cs="Arial"/>
          <w:sz w:val="18"/>
          <w:szCs w:val="18"/>
        </w:rPr>
        <w:t xml:space="preserve">cremento del </w:t>
      </w:r>
      <w:r w:rsidR="00513508">
        <w:rPr>
          <w:rFonts w:ascii="Arial" w:hAnsi="Arial" w:cs="Arial"/>
          <w:sz w:val="18"/>
          <w:szCs w:val="18"/>
        </w:rPr>
        <w:t>56</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4F48CDB1"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9B7AB2">
        <w:rPr>
          <w:rFonts w:ascii="Arial" w:hAnsi="Arial" w:cs="Arial"/>
          <w:sz w:val="18"/>
          <w:szCs w:val="18"/>
        </w:rPr>
        <w:t>6</w:t>
      </w:r>
      <w:r>
        <w:rPr>
          <w:rFonts w:ascii="Arial" w:hAnsi="Arial" w:cs="Arial"/>
          <w:sz w:val="18"/>
          <w:szCs w:val="18"/>
        </w:rPr>
        <w:t>,</w:t>
      </w:r>
      <w:r w:rsidR="009B7AB2">
        <w:rPr>
          <w:rFonts w:ascii="Arial" w:hAnsi="Arial" w:cs="Arial"/>
          <w:sz w:val="18"/>
          <w:szCs w:val="18"/>
        </w:rPr>
        <w:t>751</w:t>
      </w:r>
      <w:r>
        <w:rPr>
          <w:rFonts w:ascii="Arial" w:hAnsi="Arial" w:cs="Arial"/>
          <w:sz w:val="18"/>
          <w:szCs w:val="18"/>
        </w:rPr>
        <w:t>,</w:t>
      </w:r>
      <w:r w:rsidR="009B7AB2">
        <w:rPr>
          <w:rFonts w:ascii="Arial" w:hAnsi="Arial" w:cs="Arial"/>
          <w:sz w:val="18"/>
          <w:szCs w:val="18"/>
        </w:rPr>
        <w:t>565</w:t>
      </w:r>
      <w:r>
        <w:rPr>
          <w:rFonts w:ascii="Arial" w:hAnsi="Arial" w:cs="Arial"/>
          <w:sz w:val="18"/>
          <w:szCs w:val="18"/>
        </w:rPr>
        <w:t>,</w:t>
      </w:r>
      <w:r w:rsidR="009B7AB2">
        <w:rPr>
          <w:rFonts w:ascii="Arial" w:hAnsi="Arial" w:cs="Arial"/>
          <w:sz w:val="18"/>
          <w:szCs w:val="18"/>
        </w:rPr>
        <w:t>039</w:t>
      </w:r>
      <w:r>
        <w:rPr>
          <w:rFonts w:ascii="Arial" w:hAnsi="Arial" w:cs="Arial"/>
          <w:sz w:val="18"/>
          <w:szCs w:val="18"/>
        </w:rPr>
        <w:t xml:space="preserve"> al mes de </w:t>
      </w:r>
      <w:r w:rsidR="009B7AB2">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9B7AB2">
        <w:rPr>
          <w:rFonts w:ascii="Arial" w:hAnsi="Arial" w:cs="Arial"/>
          <w:sz w:val="18"/>
          <w:szCs w:val="18"/>
        </w:rPr>
        <w:t>de</w:t>
      </w:r>
      <w:r>
        <w:rPr>
          <w:rFonts w:ascii="Arial" w:hAnsi="Arial" w:cs="Arial"/>
          <w:sz w:val="18"/>
          <w:szCs w:val="18"/>
        </w:rPr>
        <w:t xml:space="preserve">cremento del </w:t>
      </w:r>
      <w:r w:rsidR="009B7AB2">
        <w:rPr>
          <w:rFonts w:ascii="Arial" w:hAnsi="Arial" w:cs="Arial"/>
          <w:sz w:val="18"/>
          <w:szCs w:val="18"/>
        </w:rPr>
        <w:t>76</w:t>
      </w:r>
      <w:r>
        <w:rPr>
          <w:rFonts w:ascii="Arial" w:hAnsi="Arial" w:cs="Arial"/>
          <w:sz w:val="18"/>
          <w:szCs w:val="18"/>
        </w:rPr>
        <w:t>%.</w:t>
      </w:r>
    </w:p>
    <w:p w14:paraId="08FC2D1E" w14:textId="77777777" w:rsidR="008C10B0" w:rsidRPr="0073056A" w:rsidRDefault="008C10B0"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6F5625B0" w14:textId="5D856C63"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9B7AB2">
        <w:rPr>
          <w:rFonts w:ascii="Arial" w:hAnsi="Arial" w:cs="Arial"/>
          <w:sz w:val="18"/>
          <w:szCs w:val="18"/>
        </w:rPr>
        <w:t>3</w:t>
      </w:r>
      <w:r>
        <w:rPr>
          <w:rFonts w:ascii="Arial" w:hAnsi="Arial" w:cs="Arial"/>
          <w:sz w:val="18"/>
          <w:szCs w:val="18"/>
        </w:rPr>
        <w:t>,</w:t>
      </w:r>
      <w:r w:rsidR="009B7AB2">
        <w:rPr>
          <w:rFonts w:ascii="Arial" w:hAnsi="Arial" w:cs="Arial"/>
          <w:sz w:val="18"/>
          <w:szCs w:val="18"/>
        </w:rPr>
        <w:t>553</w:t>
      </w:r>
      <w:r>
        <w:rPr>
          <w:rFonts w:ascii="Arial" w:hAnsi="Arial" w:cs="Arial"/>
          <w:sz w:val="18"/>
          <w:szCs w:val="18"/>
        </w:rPr>
        <w:t>,</w:t>
      </w:r>
      <w:r w:rsidR="009B7AB2">
        <w:rPr>
          <w:rFonts w:ascii="Arial" w:hAnsi="Arial" w:cs="Arial"/>
          <w:sz w:val="18"/>
          <w:szCs w:val="18"/>
        </w:rPr>
        <w:t>076</w:t>
      </w:r>
      <w:r>
        <w:rPr>
          <w:rFonts w:ascii="Arial" w:hAnsi="Arial" w:cs="Arial"/>
          <w:sz w:val="18"/>
          <w:szCs w:val="18"/>
        </w:rPr>
        <w:t>,</w:t>
      </w:r>
      <w:r w:rsidR="009B7AB2">
        <w:rPr>
          <w:rFonts w:ascii="Arial" w:hAnsi="Arial" w:cs="Arial"/>
          <w:sz w:val="18"/>
          <w:szCs w:val="18"/>
        </w:rPr>
        <w:t>929</w:t>
      </w:r>
      <w:r>
        <w:rPr>
          <w:rFonts w:ascii="Arial" w:hAnsi="Arial" w:cs="Arial"/>
          <w:sz w:val="18"/>
          <w:szCs w:val="18"/>
        </w:rPr>
        <w:t>, siendo el rubro más importante el Fondo General de Participaciones ya que representa el 7</w:t>
      </w:r>
      <w:r w:rsidR="009B7AB2">
        <w:rPr>
          <w:rFonts w:ascii="Arial" w:hAnsi="Arial" w:cs="Arial"/>
          <w:sz w:val="18"/>
          <w:szCs w:val="18"/>
        </w:rPr>
        <w:t>2</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23F6DA11"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9B7AB2">
        <w:rPr>
          <w:rFonts w:ascii="Arial" w:hAnsi="Arial" w:cs="Arial"/>
          <w:sz w:val="18"/>
          <w:szCs w:val="18"/>
        </w:rPr>
        <w:t>marzo</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0534C6"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537016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5A3CC938" w14:textId="73CD212C"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924,735,993 </w:t>
            </w:r>
          </w:p>
        </w:tc>
        <w:tc>
          <w:tcPr>
            <w:tcW w:w="1371" w:type="dxa"/>
            <w:tcBorders>
              <w:top w:val="nil"/>
              <w:left w:val="nil"/>
              <w:bottom w:val="single" w:sz="8" w:space="0" w:color="auto"/>
              <w:right w:val="single" w:sz="8" w:space="0" w:color="auto"/>
            </w:tcBorders>
            <w:shd w:val="clear" w:color="auto" w:fill="auto"/>
            <w:noWrap/>
            <w:vAlign w:val="center"/>
          </w:tcPr>
          <w:p w14:paraId="6900413C" w14:textId="69FA6D1C"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36.52</w:t>
            </w:r>
          </w:p>
        </w:tc>
      </w:tr>
      <w:tr w:rsidR="000534C6"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08D3E9E"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55A81E3F" w14:textId="56DA9C6C"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300,602,227 </w:t>
            </w:r>
          </w:p>
        </w:tc>
        <w:tc>
          <w:tcPr>
            <w:tcW w:w="1371" w:type="dxa"/>
            <w:tcBorders>
              <w:top w:val="nil"/>
              <w:left w:val="nil"/>
              <w:bottom w:val="single" w:sz="8" w:space="0" w:color="auto"/>
              <w:right w:val="single" w:sz="8" w:space="0" w:color="auto"/>
            </w:tcBorders>
            <w:shd w:val="clear" w:color="auto" w:fill="auto"/>
            <w:noWrap/>
            <w:vAlign w:val="center"/>
          </w:tcPr>
          <w:p w14:paraId="2D9D317A" w14:textId="6563DBA3"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11.87</w:t>
            </w:r>
          </w:p>
        </w:tc>
      </w:tr>
      <w:tr w:rsidR="000534C6"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EBF43D1" w14:textId="2A53E745"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shd w:val="clear" w:color="auto" w:fill="auto"/>
            <w:noWrap/>
            <w:vAlign w:val="center"/>
          </w:tcPr>
          <w:p w14:paraId="0A99A144" w14:textId="42ECDB98"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405,604,517 </w:t>
            </w:r>
          </w:p>
        </w:tc>
        <w:tc>
          <w:tcPr>
            <w:tcW w:w="1371" w:type="dxa"/>
            <w:tcBorders>
              <w:top w:val="nil"/>
              <w:left w:val="nil"/>
              <w:bottom w:val="single" w:sz="8" w:space="0" w:color="auto"/>
              <w:right w:val="single" w:sz="8" w:space="0" w:color="auto"/>
            </w:tcBorders>
            <w:shd w:val="clear" w:color="auto" w:fill="auto"/>
            <w:noWrap/>
            <w:vAlign w:val="center"/>
          </w:tcPr>
          <w:p w14:paraId="42CC6D51" w14:textId="3AE3159E"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16.02</w:t>
            </w:r>
          </w:p>
        </w:tc>
      </w:tr>
      <w:tr w:rsidR="000534C6"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C57EC2"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5B9CC5B8" w14:textId="1053D833"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347,999,924 </w:t>
            </w:r>
          </w:p>
        </w:tc>
        <w:tc>
          <w:tcPr>
            <w:tcW w:w="1371" w:type="dxa"/>
            <w:tcBorders>
              <w:top w:val="nil"/>
              <w:left w:val="nil"/>
              <w:bottom w:val="single" w:sz="8" w:space="0" w:color="auto"/>
              <w:right w:val="single" w:sz="8" w:space="0" w:color="auto"/>
            </w:tcBorders>
            <w:shd w:val="clear" w:color="auto" w:fill="auto"/>
            <w:noWrap/>
            <w:vAlign w:val="center"/>
          </w:tcPr>
          <w:p w14:paraId="285A1D9B" w14:textId="71B5B7E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13.75</w:t>
            </w:r>
          </w:p>
        </w:tc>
      </w:tr>
      <w:tr w:rsidR="000534C6"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68423B3" w14:textId="1A16B074"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shd w:val="clear" w:color="auto" w:fill="auto"/>
            <w:noWrap/>
            <w:vAlign w:val="center"/>
          </w:tcPr>
          <w:p w14:paraId="365A5E66" w14:textId="5A1D81E2"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34,751,445 </w:t>
            </w:r>
          </w:p>
        </w:tc>
        <w:tc>
          <w:tcPr>
            <w:tcW w:w="1371" w:type="dxa"/>
            <w:tcBorders>
              <w:top w:val="nil"/>
              <w:left w:val="nil"/>
              <w:bottom w:val="single" w:sz="8" w:space="0" w:color="auto"/>
              <w:right w:val="single" w:sz="8" w:space="0" w:color="auto"/>
            </w:tcBorders>
            <w:shd w:val="clear" w:color="auto" w:fill="auto"/>
            <w:noWrap/>
            <w:vAlign w:val="center"/>
          </w:tcPr>
          <w:p w14:paraId="43E436C3" w14:textId="6360163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1.37</w:t>
            </w:r>
          </w:p>
        </w:tc>
      </w:tr>
      <w:tr w:rsidR="000534C6"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2DC022" w14:textId="74A3B53F"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3530BF01" w14:textId="34755F4F"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62,833,448 </w:t>
            </w:r>
          </w:p>
        </w:tc>
        <w:tc>
          <w:tcPr>
            <w:tcW w:w="1371" w:type="dxa"/>
            <w:tcBorders>
              <w:top w:val="nil"/>
              <w:left w:val="nil"/>
              <w:bottom w:val="single" w:sz="8" w:space="0" w:color="auto"/>
              <w:right w:val="single" w:sz="8" w:space="0" w:color="auto"/>
            </w:tcBorders>
            <w:shd w:val="clear" w:color="auto" w:fill="auto"/>
            <w:noWrap/>
            <w:vAlign w:val="center"/>
          </w:tcPr>
          <w:p w14:paraId="2A1C5D5C" w14:textId="54D77110"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2.48</w:t>
            </w:r>
          </w:p>
        </w:tc>
      </w:tr>
      <w:tr w:rsidR="000534C6"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2E46C46" w14:textId="737BFFEB"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201AACAC" w14:textId="5253AB88"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195,869,941 </w:t>
            </w:r>
          </w:p>
        </w:tc>
        <w:tc>
          <w:tcPr>
            <w:tcW w:w="1371" w:type="dxa"/>
            <w:tcBorders>
              <w:top w:val="nil"/>
              <w:left w:val="nil"/>
              <w:bottom w:val="single" w:sz="8" w:space="0" w:color="auto"/>
              <w:right w:val="single" w:sz="8" w:space="0" w:color="auto"/>
            </w:tcBorders>
            <w:shd w:val="clear" w:color="auto" w:fill="auto"/>
            <w:noWrap/>
            <w:vAlign w:val="center"/>
          </w:tcPr>
          <w:p w14:paraId="3A5F03E6" w14:textId="3028171D"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7.74</w:t>
            </w:r>
          </w:p>
        </w:tc>
      </w:tr>
      <w:tr w:rsidR="000534C6"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5AD38B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51647F1E" w14:textId="65B513B5"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259,513,054 </w:t>
            </w:r>
          </w:p>
        </w:tc>
        <w:tc>
          <w:tcPr>
            <w:tcW w:w="1371" w:type="dxa"/>
            <w:tcBorders>
              <w:top w:val="nil"/>
              <w:left w:val="nil"/>
              <w:bottom w:val="single" w:sz="8" w:space="0" w:color="auto"/>
              <w:right w:val="single" w:sz="8" w:space="0" w:color="auto"/>
            </w:tcBorders>
            <w:shd w:val="clear" w:color="auto" w:fill="auto"/>
            <w:noWrap/>
            <w:vAlign w:val="center"/>
          </w:tcPr>
          <w:p w14:paraId="176D912B" w14:textId="0D9200B1"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10.25</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5C04E848" w14:textId="2B9A8D54" w:rsidR="008C10B0" w:rsidRPr="000534C6" w:rsidRDefault="000534C6"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2,531,910,550</w:t>
            </w:r>
          </w:p>
        </w:tc>
        <w:tc>
          <w:tcPr>
            <w:tcW w:w="1371" w:type="dxa"/>
            <w:tcBorders>
              <w:top w:val="nil"/>
              <w:left w:val="nil"/>
              <w:bottom w:val="single" w:sz="8" w:space="0" w:color="auto"/>
              <w:right w:val="single" w:sz="8" w:space="0" w:color="auto"/>
            </w:tcBorders>
            <w:shd w:val="clear" w:color="auto" w:fill="auto"/>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4EE00370"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534C6">
        <w:rPr>
          <w:rFonts w:ascii="Arial" w:hAnsi="Arial" w:cs="Arial"/>
          <w:sz w:val="18"/>
          <w:szCs w:val="18"/>
        </w:rPr>
        <w:t>marzo</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732D19">
        <w:rPr>
          <w:rFonts w:ascii="Arial" w:hAnsi="Arial" w:cs="Arial"/>
          <w:sz w:val="18"/>
          <w:szCs w:val="18"/>
        </w:rPr>
        <w:t>6,751,565,039</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2C96BB9D"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del </w:t>
      </w:r>
      <w:r w:rsidR="00732D19">
        <w:rPr>
          <w:rFonts w:ascii="Arial" w:hAnsi="Arial" w:cs="Arial"/>
          <w:sz w:val="18"/>
          <w:szCs w:val="18"/>
        </w:rPr>
        <w:t>primer</w:t>
      </w:r>
      <w:r>
        <w:rPr>
          <w:rFonts w:ascii="Arial" w:hAnsi="Arial" w:cs="Arial"/>
          <w:sz w:val="18"/>
          <w:szCs w:val="18"/>
        </w:rPr>
        <w:t xml:space="preserve"> trimestre del ejercicio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diciembre por este concepto un monto de $</w:t>
      </w:r>
      <w:r w:rsidR="00732D19">
        <w:rPr>
          <w:rFonts w:ascii="Arial" w:hAnsi="Arial" w:cs="Arial"/>
          <w:sz w:val="18"/>
          <w:szCs w:val="18"/>
        </w:rPr>
        <w:t>778,004,456</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732D19">
        <w:rPr>
          <w:rFonts w:ascii="Arial" w:hAnsi="Arial" w:cs="Arial"/>
          <w:sz w:val="18"/>
          <w:szCs w:val="18"/>
        </w:rPr>
        <w:t>77</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03AC943E"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32D19">
        <w:rPr>
          <w:rFonts w:ascii="Arial" w:hAnsi="Arial" w:cs="Arial"/>
          <w:sz w:val="18"/>
          <w:szCs w:val="18"/>
        </w:rPr>
        <w:t>29</w:t>
      </w:r>
      <w:r>
        <w:rPr>
          <w:rFonts w:ascii="Arial" w:hAnsi="Arial" w:cs="Arial"/>
          <w:sz w:val="18"/>
          <w:szCs w:val="18"/>
        </w:rPr>
        <w:t>,</w:t>
      </w:r>
      <w:r w:rsidR="00732D19">
        <w:rPr>
          <w:rFonts w:ascii="Arial" w:hAnsi="Arial" w:cs="Arial"/>
          <w:sz w:val="18"/>
          <w:szCs w:val="18"/>
        </w:rPr>
        <w:t>922</w:t>
      </w:r>
      <w:r>
        <w:rPr>
          <w:rFonts w:ascii="Arial" w:hAnsi="Arial" w:cs="Arial"/>
          <w:sz w:val="18"/>
          <w:szCs w:val="18"/>
        </w:rPr>
        <w:t>,</w:t>
      </w:r>
      <w:r w:rsidR="00732D19">
        <w:rPr>
          <w:rFonts w:ascii="Arial" w:hAnsi="Arial" w:cs="Arial"/>
          <w:sz w:val="18"/>
          <w:szCs w:val="18"/>
        </w:rPr>
        <w:t>292</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29F4709F"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32D19">
        <w:rPr>
          <w:rFonts w:ascii="Arial" w:hAnsi="Arial" w:cs="Arial"/>
          <w:sz w:val="18"/>
          <w:szCs w:val="18"/>
        </w:rPr>
        <w:t>marzo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732D19">
        <w:rPr>
          <w:rFonts w:ascii="Arial" w:hAnsi="Arial" w:cs="Arial"/>
          <w:sz w:val="18"/>
          <w:szCs w:val="18"/>
        </w:rPr>
        <w:t>49</w:t>
      </w:r>
      <w:r>
        <w:rPr>
          <w:rFonts w:ascii="Arial" w:hAnsi="Arial" w:cs="Arial"/>
          <w:sz w:val="18"/>
          <w:szCs w:val="18"/>
        </w:rPr>
        <w:t>,</w:t>
      </w:r>
      <w:r w:rsidR="00732D19">
        <w:rPr>
          <w:rFonts w:ascii="Arial" w:hAnsi="Arial" w:cs="Arial"/>
          <w:sz w:val="18"/>
          <w:szCs w:val="18"/>
        </w:rPr>
        <w:t>021</w:t>
      </w:r>
      <w:r>
        <w:rPr>
          <w:rFonts w:ascii="Arial" w:hAnsi="Arial" w:cs="Arial"/>
          <w:sz w:val="18"/>
          <w:szCs w:val="18"/>
        </w:rPr>
        <w:t>,</w:t>
      </w:r>
      <w:r w:rsidR="00732D19">
        <w:rPr>
          <w:rFonts w:ascii="Arial" w:hAnsi="Arial" w:cs="Arial"/>
          <w:sz w:val="18"/>
          <w:szCs w:val="18"/>
        </w:rPr>
        <w:t>670</w:t>
      </w:r>
      <w:r w:rsidRPr="0073056A">
        <w:rPr>
          <w:rFonts w:ascii="Arial" w:hAnsi="Arial" w:cs="Arial"/>
          <w:sz w:val="18"/>
          <w:szCs w:val="18"/>
        </w:rPr>
        <w:t>.</w:t>
      </w:r>
      <w:r>
        <w:rPr>
          <w:rFonts w:ascii="Arial" w:hAnsi="Arial" w:cs="Arial"/>
          <w:sz w:val="18"/>
          <w:szCs w:val="18"/>
        </w:rPr>
        <w:t xml:space="preserve"> Lo que representa un </w:t>
      </w:r>
      <w:r w:rsidR="00732D19">
        <w:rPr>
          <w:rFonts w:ascii="Arial" w:hAnsi="Arial" w:cs="Arial"/>
          <w:sz w:val="18"/>
          <w:szCs w:val="18"/>
        </w:rPr>
        <w:t>de</w:t>
      </w:r>
      <w:r>
        <w:rPr>
          <w:rFonts w:ascii="Arial" w:hAnsi="Arial" w:cs="Arial"/>
          <w:sz w:val="18"/>
          <w:szCs w:val="18"/>
        </w:rPr>
        <w:t xml:space="preserve">cremento del </w:t>
      </w:r>
      <w:r w:rsidR="00732D19">
        <w:rPr>
          <w:rFonts w:ascii="Arial" w:hAnsi="Arial" w:cs="Arial"/>
          <w:sz w:val="18"/>
          <w:szCs w:val="18"/>
        </w:rPr>
        <w:t>92</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574A1693"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732D19">
        <w:rPr>
          <w:rFonts w:ascii="Arial" w:hAnsi="Arial" w:cs="Arial"/>
          <w:sz w:val="18"/>
          <w:szCs w:val="18"/>
        </w:rPr>
        <w:t>marzo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732D19">
        <w:rPr>
          <w:rFonts w:ascii="Arial" w:hAnsi="Arial" w:cs="Arial"/>
          <w:sz w:val="18"/>
          <w:szCs w:val="18"/>
        </w:rPr>
        <w:t>3</w:t>
      </w:r>
      <w:r>
        <w:rPr>
          <w:rFonts w:ascii="Arial" w:hAnsi="Arial" w:cs="Arial"/>
          <w:sz w:val="18"/>
          <w:szCs w:val="18"/>
        </w:rPr>
        <w:t>,</w:t>
      </w:r>
      <w:r w:rsidR="00732D19">
        <w:rPr>
          <w:rFonts w:ascii="Arial" w:hAnsi="Arial" w:cs="Arial"/>
          <w:sz w:val="18"/>
          <w:szCs w:val="18"/>
        </w:rPr>
        <w:t>485</w:t>
      </w:r>
      <w:r>
        <w:rPr>
          <w:rFonts w:ascii="Arial" w:hAnsi="Arial" w:cs="Arial"/>
          <w:sz w:val="18"/>
          <w:szCs w:val="18"/>
        </w:rPr>
        <w:t>,</w:t>
      </w:r>
      <w:r w:rsidR="00732D19">
        <w:rPr>
          <w:rFonts w:ascii="Arial" w:hAnsi="Arial" w:cs="Arial"/>
          <w:sz w:val="18"/>
          <w:szCs w:val="18"/>
        </w:rPr>
        <w:t>732</w:t>
      </w:r>
      <w:r>
        <w:rPr>
          <w:rFonts w:ascii="Arial" w:hAnsi="Arial" w:cs="Arial"/>
          <w:sz w:val="18"/>
          <w:szCs w:val="18"/>
        </w:rPr>
        <w:t>,</w:t>
      </w:r>
      <w:r w:rsidR="00732D19">
        <w:rPr>
          <w:rFonts w:ascii="Arial" w:hAnsi="Arial" w:cs="Arial"/>
          <w:sz w:val="18"/>
          <w:szCs w:val="18"/>
        </w:rPr>
        <w:t>6</w:t>
      </w:r>
      <w:r w:rsidR="009C5253">
        <w:rPr>
          <w:rFonts w:ascii="Arial" w:hAnsi="Arial" w:cs="Arial"/>
          <w:sz w:val="18"/>
          <w:szCs w:val="18"/>
        </w:rPr>
        <w:t>4</w:t>
      </w:r>
      <w:r w:rsidR="00732D19">
        <w:rPr>
          <w:rFonts w:ascii="Arial" w:hAnsi="Arial" w:cs="Arial"/>
          <w:sz w:val="18"/>
          <w:szCs w:val="18"/>
        </w:rPr>
        <w:t>9</w:t>
      </w:r>
      <w:r w:rsidR="008655F4">
        <w:rPr>
          <w:rFonts w:ascii="Arial" w:hAnsi="Arial" w:cs="Arial"/>
          <w:sz w:val="18"/>
          <w:szCs w:val="18"/>
        </w:rPr>
        <w:t>, observando un decremento del 81%, respecto del ejercicio 2024.</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lastRenderedPageBreak/>
        <w:t>Resultado del Ejercicio (Ahorro/Desahorro)</w:t>
      </w:r>
    </w:p>
    <w:p w14:paraId="4A79D7C8" w14:textId="29237917"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655F4">
        <w:rPr>
          <w:rFonts w:ascii="Arial" w:hAnsi="Arial" w:cs="Arial"/>
          <w:sz w:val="18"/>
          <w:szCs w:val="18"/>
        </w:rPr>
        <w:t>marzo</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8655F4">
        <w:rPr>
          <w:rFonts w:ascii="Arial" w:hAnsi="Arial" w:cs="Arial"/>
          <w:sz w:val="18"/>
          <w:szCs w:val="18"/>
        </w:rPr>
        <w:t>1</w:t>
      </w:r>
      <w:r>
        <w:rPr>
          <w:rFonts w:ascii="Arial" w:hAnsi="Arial" w:cs="Arial"/>
          <w:sz w:val="18"/>
          <w:szCs w:val="18"/>
        </w:rPr>
        <w:t>,</w:t>
      </w:r>
      <w:r w:rsidR="008655F4">
        <w:rPr>
          <w:rFonts w:ascii="Arial" w:hAnsi="Arial" w:cs="Arial"/>
          <w:sz w:val="18"/>
          <w:szCs w:val="18"/>
        </w:rPr>
        <w:t>578</w:t>
      </w:r>
      <w:r>
        <w:rPr>
          <w:rFonts w:ascii="Arial" w:hAnsi="Arial" w:cs="Arial"/>
          <w:sz w:val="18"/>
          <w:szCs w:val="18"/>
        </w:rPr>
        <w:t>,</w:t>
      </w:r>
      <w:r w:rsidR="008655F4">
        <w:rPr>
          <w:rFonts w:ascii="Arial" w:hAnsi="Arial" w:cs="Arial"/>
          <w:sz w:val="18"/>
          <w:szCs w:val="18"/>
        </w:rPr>
        <w:t>790</w:t>
      </w:r>
      <w:r>
        <w:rPr>
          <w:rFonts w:ascii="Arial" w:hAnsi="Arial" w:cs="Arial"/>
          <w:sz w:val="18"/>
          <w:szCs w:val="18"/>
        </w:rPr>
        <w:t>,</w:t>
      </w:r>
      <w:r w:rsidR="008655F4">
        <w:rPr>
          <w:rFonts w:ascii="Arial" w:hAnsi="Arial" w:cs="Arial"/>
          <w:sz w:val="18"/>
          <w:szCs w:val="18"/>
        </w:rPr>
        <w:t>262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8655F4">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marginalmente negativa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3C0AF50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8655F4">
        <w:rPr>
          <w:rFonts w:ascii="Arial" w:hAnsi="Arial" w:cs="Arial"/>
          <w:sz w:val="18"/>
          <w:szCs w:val="18"/>
        </w:rPr>
        <w:t>4</w:t>
      </w:r>
      <w:r>
        <w:rPr>
          <w:rFonts w:ascii="Arial" w:hAnsi="Arial" w:cs="Arial"/>
          <w:sz w:val="18"/>
          <w:szCs w:val="18"/>
        </w:rPr>
        <w:t>,1</w:t>
      </w:r>
      <w:r w:rsidR="008655F4">
        <w:rPr>
          <w:rFonts w:ascii="Arial" w:hAnsi="Arial" w:cs="Arial"/>
          <w:sz w:val="18"/>
          <w:szCs w:val="18"/>
        </w:rPr>
        <w:t>0</w:t>
      </w:r>
      <w:r>
        <w:rPr>
          <w:rFonts w:ascii="Arial" w:hAnsi="Arial" w:cs="Arial"/>
          <w:sz w:val="18"/>
          <w:szCs w:val="18"/>
        </w:rPr>
        <w:t>7,</w:t>
      </w:r>
      <w:r w:rsidR="008655F4">
        <w:rPr>
          <w:rFonts w:ascii="Arial" w:hAnsi="Arial" w:cs="Arial"/>
          <w:sz w:val="18"/>
          <w:szCs w:val="18"/>
        </w:rPr>
        <w:t>376</w:t>
      </w:r>
      <w:r>
        <w:rPr>
          <w:rFonts w:ascii="Arial" w:hAnsi="Arial" w:cs="Arial"/>
          <w:sz w:val="18"/>
          <w:szCs w:val="18"/>
        </w:rPr>
        <w:t>,</w:t>
      </w:r>
      <w:r w:rsidR="008655F4">
        <w:rPr>
          <w:rFonts w:ascii="Arial" w:hAnsi="Arial" w:cs="Arial"/>
          <w:sz w:val="18"/>
          <w:szCs w:val="18"/>
        </w:rPr>
        <w:t>705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202</w:t>
      </w:r>
      <w:r w:rsidR="008655F4">
        <w:rPr>
          <w:rFonts w:ascii="Arial" w:hAnsi="Arial" w:cs="Arial"/>
          <w:sz w:val="18"/>
          <w:szCs w:val="18"/>
        </w:rPr>
        <w:t>5</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8655F4">
        <w:rPr>
          <w:rFonts w:ascii="Arial" w:hAnsi="Arial" w:cs="Arial"/>
          <w:sz w:val="18"/>
          <w:szCs w:val="18"/>
        </w:rPr>
        <w:t>969</w:t>
      </w:r>
      <w:r>
        <w:rPr>
          <w:rFonts w:ascii="Arial" w:hAnsi="Arial" w:cs="Arial"/>
          <w:sz w:val="18"/>
          <w:szCs w:val="18"/>
        </w:rPr>
        <w:t>,8</w:t>
      </w:r>
      <w:r w:rsidR="008655F4">
        <w:rPr>
          <w:rFonts w:ascii="Arial" w:hAnsi="Arial" w:cs="Arial"/>
          <w:sz w:val="18"/>
          <w:szCs w:val="18"/>
        </w:rPr>
        <w:t>34</w:t>
      </w:r>
      <w:r>
        <w:rPr>
          <w:rFonts w:ascii="Arial" w:hAnsi="Arial" w:cs="Arial"/>
          <w:sz w:val="18"/>
          <w:szCs w:val="18"/>
        </w:rPr>
        <w:t>,</w:t>
      </w:r>
      <w:r w:rsidR="008655F4">
        <w:rPr>
          <w:rFonts w:ascii="Arial" w:hAnsi="Arial" w:cs="Arial"/>
          <w:sz w:val="18"/>
          <w:szCs w:val="18"/>
        </w:rPr>
        <w:t>701</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393EECC6"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8655F4">
        <w:rPr>
          <w:rFonts w:ascii="Arial" w:hAnsi="Arial" w:cs="Arial"/>
          <w:sz w:val="18"/>
          <w:szCs w:val="18"/>
        </w:rPr>
        <w:t>7</w:t>
      </w:r>
      <w:r>
        <w:rPr>
          <w:rFonts w:ascii="Arial" w:hAnsi="Arial" w:cs="Arial"/>
          <w:sz w:val="18"/>
          <w:szCs w:val="18"/>
        </w:rPr>
        <w:t>,</w:t>
      </w:r>
      <w:r w:rsidR="008655F4">
        <w:rPr>
          <w:rFonts w:ascii="Arial" w:hAnsi="Arial" w:cs="Arial"/>
          <w:sz w:val="18"/>
          <w:szCs w:val="18"/>
        </w:rPr>
        <w:t>126</w:t>
      </w:r>
      <w:r>
        <w:rPr>
          <w:rFonts w:ascii="Arial" w:hAnsi="Arial" w:cs="Arial"/>
          <w:sz w:val="18"/>
          <w:szCs w:val="18"/>
        </w:rPr>
        <w:t>,</w:t>
      </w:r>
      <w:r w:rsidR="008655F4">
        <w:rPr>
          <w:rFonts w:ascii="Arial" w:hAnsi="Arial" w:cs="Arial"/>
          <w:sz w:val="18"/>
          <w:szCs w:val="18"/>
        </w:rPr>
        <w:t>634</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8655F4">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mayor en $</w:t>
      </w:r>
      <w:r w:rsidR="008655F4">
        <w:rPr>
          <w:rFonts w:ascii="Arial" w:hAnsi="Arial" w:cs="Arial"/>
          <w:sz w:val="18"/>
          <w:szCs w:val="18"/>
        </w:rPr>
        <w:t>1</w:t>
      </w:r>
      <w:r>
        <w:rPr>
          <w:rFonts w:ascii="Arial" w:hAnsi="Arial" w:cs="Arial"/>
          <w:sz w:val="18"/>
          <w:szCs w:val="18"/>
        </w:rPr>
        <w:t>,</w:t>
      </w:r>
      <w:r w:rsidR="008655F4">
        <w:rPr>
          <w:rFonts w:ascii="Arial" w:hAnsi="Arial" w:cs="Arial"/>
          <w:sz w:val="18"/>
          <w:szCs w:val="18"/>
        </w:rPr>
        <w:t>232</w:t>
      </w:r>
      <w:r>
        <w:rPr>
          <w:rFonts w:ascii="Arial" w:hAnsi="Arial" w:cs="Arial"/>
          <w:sz w:val="18"/>
          <w:szCs w:val="18"/>
        </w:rPr>
        <w:t>,</w:t>
      </w:r>
      <w:r w:rsidR="008655F4">
        <w:rPr>
          <w:rFonts w:ascii="Arial" w:hAnsi="Arial" w:cs="Arial"/>
          <w:sz w:val="18"/>
          <w:szCs w:val="18"/>
        </w:rPr>
        <w:t>246</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4B423A3C"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8655F4">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704E5422"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8655F4">
        <w:rPr>
          <w:rFonts w:ascii="Arial" w:hAnsi="Arial" w:cs="Arial"/>
          <w:sz w:val="18"/>
          <w:szCs w:val="18"/>
        </w:rPr>
        <w:t>primer</w:t>
      </w:r>
      <w:r>
        <w:rPr>
          <w:rFonts w:ascii="Arial" w:hAnsi="Arial" w:cs="Arial"/>
          <w:sz w:val="18"/>
          <w:szCs w:val="18"/>
        </w:rPr>
        <w:t xml:space="preserve"> trimestre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4EFCE84B"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E328A2">
        <w:rPr>
          <w:rFonts w:ascii="Arial" w:hAnsi="Arial" w:cs="Arial"/>
          <w:sz w:val="18"/>
          <w:szCs w:val="18"/>
        </w:rPr>
        <w:t>primer</w:t>
      </w:r>
      <w:r>
        <w:rPr>
          <w:rFonts w:ascii="Arial" w:hAnsi="Arial" w:cs="Arial"/>
          <w:sz w:val="18"/>
          <w:szCs w:val="18"/>
        </w:rPr>
        <w:t xml:space="preserve"> trimestre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E328A2">
        <w:rPr>
          <w:rFonts w:ascii="Arial" w:hAnsi="Arial" w:cs="Arial"/>
          <w:sz w:val="18"/>
          <w:szCs w:val="18"/>
        </w:rPr>
        <w:t>486</w:t>
      </w:r>
      <w:r>
        <w:rPr>
          <w:rFonts w:ascii="Arial" w:hAnsi="Arial" w:cs="Arial"/>
          <w:sz w:val="18"/>
          <w:szCs w:val="18"/>
        </w:rPr>
        <w:t>,</w:t>
      </w:r>
      <w:r w:rsidR="00E328A2">
        <w:rPr>
          <w:rFonts w:ascii="Arial" w:hAnsi="Arial" w:cs="Arial"/>
          <w:sz w:val="18"/>
          <w:szCs w:val="18"/>
        </w:rPr>
        <w:t>136</w:t>
      </w:r>
      <w:r>
        <w:rPr>
          <w:rFonts w:ascii="Arial" w:hAnsi="Arial" w:cs="Arial"/>
          <w:sz w:val="18"/>
          <w:szCs w:val="18"/>
        </w:rPr>
        <w:t>,</w:t>
      </w:r>
      <w:r w:rsidR="00E328A2">
        <w:rPr>
          <w:rFonts w:ascii="Arial" w:hAnsi="Arial" w:cs="Arial"/>
          <w:sz w:val="18"/>
          <w:szCs w:val="18"/>
        </w:rPr>
        <w:t>8</w:t>
      </w:r>
      <w:r>
        <w:rPr>
          <w:rFonts w:ascii="Arial" w:hAnsi="Arial" w:cs="Arial"/>
          <w:sz w:val="18"/>
          <w:szCs w:val="18"/>
        </w:rPr>
        <w:t>23,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22123848"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cierre del </w:t>
      </w:r>
      <w:r w:rsidR="00E328A2">
        <w:rPr>
          <w:rFonts w:ascii="Arial" w:hAnsi="Arial" w:cs="Arial"/>
          <w:sz w:val="18"/>
          <w:szCs w:val="18"/>
        </w:rPr>
        <w:t>primer</w:t>
      </w:r>
      <w:r>
        <w:rPr>
          <w:rFonts w:ascii="Arial" w:hAnsi="Arial" w:cs="Arial"/>
          <w:sz w:val="18"/>
          <w:szCs w:val="18"/>
        </w:rPr>
        <w:t xml:space="preserve"> trimestre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3,536,</w:t>
      </w:r>
      <w:r w:rsidR="00E328A2">
        <w:rPr>
          <w:rFonts w:ascii="Arial" w:hAnsi="Arial" w:cs="Arial"/>
          <w:sz w:val="18"/>
          <w:szCs w:val="18"/>
        </w:rPr>
        <w:t>942</w:t>
      </w:r>
      <w:r>
        <w:rPr>
          <w:rFonts w:ascii="Arial" w:hAnsi="Arial" w:cs="Arial"/>
          <w:sz w:val="18"/>
          <w:szCs w:val="18"/>
        </w:rPr>
        <w:t>,</w:t>
      </w:r>
      <w:r w:rsidR="00E328A2">
        <w:rPr>
          <w:rFonts w:ascii="Arial" w:hAnsi="Arial" w:cs="Arial"/>
          <w:sz w:val="18"/>
          <w:szCs w:val="18"/>
        </w:rPr>
        <w:t>630</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 presentando un incremento de</w:t>
      </w:r>
      <w:r w:rsidR="00E328A2">
        <w:rPr>
          <w:rFonts w:ascii="Arial" w:hAnsi="Arial" w:cs="Arial"/>
          <w:sz w:val="18"/>
          <w:szCs w:val="18"/>
        </w:rPr>
        <w:t xml:space="preserve"> $203,463</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61ACB1E8"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E328A2">
        <w:rPr>
          <w:rFonts w:ascii="Arial" w:hAnsi="Arial" w:cs="Arial"/>
          <w:sz w:val="18"/>
          <w:szCs w:val="18"/>
        </w:rPr>
        <w:t>247,528,180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E328A2">
        <w:rPr>
          <w:rFonts w:ascii="Arial" w:hAnsi="Arial" w:cs="Arial"/>
          <w:sz w:val="18"/>
          <w:szCs w:val="18"/>
        </w:rPr>
        <w:t>siendo coincidente su importe con el</w:t>
      </w:r>
      <w:r>
        <w:rPr>
          <w:rFonts w:ascii="Arial" w:hAnsi="Arial" w:cs="Arial"/>
          <w:sz w:val="18"/>
          <w:szCs w:val="18"/>
        </w:rPr>
        <w:t xml:space="preserve"> ejercicio de 202</w:t>
      </w:r>
      <w:r w:rsidR="00E328A2">
        <w:rPr>
          <w:rFonts w:ascii="Arial" w:hAnsi="Arial" w:cs="Arial"/>
          <w:sz w:val="18"/>
          <w:szCs w:val="18"/>
        </w:rPr>
        <w:t>4</w:t>
      </w:r>
    </w:p>
    <w:p w14:paraId="72DB026F" w14:textId="2FBE8BBB"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lastRenderedPageBreak/>
        <w:t xml:space="preserve">El saldo de $247,528,180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w:t>
      </w:r>
      <w:r w:rsidR="0090039A">
        <w:rPr>
          <w:rFonts w:ascii="Arial" w:hAnsi="Arial" w:cs="Arial"/>
          <w:sz w:val="18"/>
          <w:szCs w:val="18"/>
        </w:rPr>
        <w:t xml:space="preserve">no </w:t>
      </w:r>
      <w:r>
        <w:rPr>
          <w:rFonts w:ascii="Arial" w:hAnsi="Arial" w:cs="Arial"/>
          <w:sz w:val="18"/>
          <w:szCs w:val="18"/>
        </w:rPr>
        <w:t>observándose variaci</w:t>
      </w:r>
      <w:r w:rsidR="0090039A">
        <w:rPr>
          <w:rFonts w:ascii="Arial" w:hAnsi="Arial" w:cs="Arial"/>
          <w:sz w:val="18"/>
          <w:szCs w:val="18"/>
        </w:rPr>
        <w:t>o</w:t>
      </w:r>
      <w:r>
        <w:rPr>
          <w:rFonts w:ascii="Arial" w:hAnsi="Arial" w:cs="Arial"/>
          <w:sz w:val="18"/>
          <w:szCs w:val="18"/>
        </w:rPr>
        <w:t>n</w:t>
      </w:r>
      <w:r w:rsidR="0090039A">
        <w:rPr>
          <w:rFonts w:ascii="Arial" w:hAnsi="Arial" w:cs="Arial"/>
          <w:sz w:val="18"/>
          <w:szCs w:val="18"/>
        </w:rPr>
        <w:t>es</w:t>
      </w:r>
      <w:r>
        <w:rPr>
          <w:rFonts w:ascii="Arial" w:hAnsi="Arial" w:cs="Arial"/>
          <w:sz w:val="18"/>
          <w:szCs w:val="18"/>
        </w:rPr>
        <w:t xml:space="preserve"> en relación al ejercicio de 202</w:t>
      </w:r>
      <w:r w:rsidR="0090039A">
        <w:rPr>
          <w:rFonts w:ascii="Arial" w:hAnsi="Arial" w:cs="Arial"/>
          <w:sz w:val="18"/>
          <w:szCs w:val="18"/>
        </w:rPr>
        <w:t>4</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3B7CF9FE"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90039A">
        <w:rPr>
          <w:rFonts w:ascii="Arial" w:hAnsi="Arial" w:cs="Arial"/>
          <w:sz w:val="18"/>
          <w:szCs w:val="18"/>
        </w:rPr>
        <w:t>marzo</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7C23A798"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90039A">
        <w:rPr>
          <w:rFonts w:ascii="Arial" w:hAnsi="Arial" w:cs="Arial"/>
          <w:sz w:val="18"/>
          <w:szCs w:val="18"/>
        </w:rPr>
        <w:t>2</w:t>
      </w:r>
      <w:r>
        <w:rPr>
          <w:rFonts w:ascii="Arial" w:hAnsi="Arial" w:cs="Arial"/>
          <w:sz w:val="18"/>
          <w:szCs w:val="18"/>
        </w:rPr>
        <w:t>,</w:t>
      </w:r>
      <w:r w:rsidR="0090039A">
        <w:rPr>
          <w:rFonts w:ascii="Arial" w:hAnsi="Arial" w:cs="Arial"/>
          <w:sz w:val="18"/>
          <w:szCs w:val="18"/>
        </w:rPr>
        <w:t>537</w:t>
      </w:r>
      <w:r>
        <w:rPr>
          <w:rFonts w:ascii="Arial" w:hAnsi="Arial" w:cs="Arial"/>
          <w:sz w:val="18"/>
          <w:szCs w:val="18"/>
        </w:rPr>
        <w:t>,</w:t>
      </w:r>
      <w:r w:rsidR="0090039A">
        <w:rPr>
          <w:rFonts w:ascii="Arial" w:hAnsi="Arial" w:cs="Arial"/>
          <w:sz w:val="18"/>
          <w:szCs w:val="18"/>
        </w:rPr>
        <w:t>403</w:t>
      </w:r>
      <w:r>
        <w:rPr>
          <w:rFonts w:ascii="Arial" w:hAnsi="Arial" w:cs="Arial"/>
          <w:sz w:val="18"/>
          <w:szCs w:val="18"/>
        </w:rPr>
        <w:t>,</w:t>
      </w:r>
      <w:r w:rsidR="0090039A">
        <w:rPr>
          <w:rFonts w:ascii="Arial" w:hAnsi="Arial" w:cs="Arial"/>
          <w:sz w:val="18"/>
          <w:szCs w:val="18"/>
        </w:rPr>
        <w:t>802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90039A">
        <w:rPr>
          <w:rFonts w:ascii="Arial" w:hAnsi="Arial" w:cs="Arial"/>
          <w:sz w:val="18"/>
          <w:szCs w:val="18"/>
        </w:rPr>
        <w:t>16</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734468F3"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w:t>
      </w:r>
      <w:r w:rsidR="00750AF2">
        <w:rPr>
          <w:rFonts w:ascii="Arial" w:hAnsi="Arial" w:cs="Arial"/>
          <w:sz w:val="18"/>
          <w:szCs w:val="18"/>
        </w:rPr>
        <w:t>marzo</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750AF2">
        <w:rPr>
          <w:rFonts w:ascii="Arial" w:hAnsi="Arial" w:cs="Arial"/>
          <w:sz w:val="18"/>
          <w:szCs w:val="18"/>
        </w:rPr>
        <w:t>1</w:t>
      </w:r>
      <w:r>
        <w:rPr>
          <w:rFonts w:ascii="Arial" w:hAnsi="Arial" w:cs="Arial"/>
          <w:sz w:val="18"/>
          <w:szCs w:val="18"/>
        </w:rPr>
        <w:t>,</w:t>
      </w:r>
      <w:r w:rsidR="00750AF2">
        <w:rPr>
          <w:rFonts w:ascii="Arial" w:hAnsi="Arial" w:cs="Arial"/>
          <w:sz w:val="18"/>
          <w:szCs w:val="18"/>
        </w:rPr>
        <w:t>578</w:t>
      </w:r>
      <w:r>
        <w:rPr>
          <w:rFonts w:ascii="Arial" w:eastAsia="Times New Roman" w:hAnsi="Arial" w:cs="Arial"/>
          <w:bCs/>
          <w:sz w:val="18"/>
          <w:szCs w:val="18"/>
          <w:lang w:eastAsia="es-MX"/>
        </w:rPr>
        <w:t>,</w:t>
      </w:r>
      <w:r w:rsidR="00750AF2">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750AF2">
        <w:rPr>
          <w:rFonts w:ascii="Arial" w:eastAsia="Times New Roman" w:hAnsi="Arial" w:cs="Arial"/>
          <w:bCs/>
          <w:sz w:val="18"/>
          <w:szCs w:val="18"/>
          <w:lang w:eastAsia="es-MX"/>
        </w:rPr>
        <w:t>262</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70E5916D"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AA526E">
        <w:rPr>
          <w:lang w:val="es-MX"/>
        </w:rPr>
        <w:t>969,834,701</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3EEF5712"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AA526E">
        <w:rPr>
          <w:lang w:val="es-MX"/>
        </w:rPr>
        <w:t>1</w:t>
      </w:r>
      <w:r>
        <w:rPr>
          <w:lang w:val="es-MX"/>
        </w:rPr>
        <w:t>,</w:t>
      </w:r>
      <w:r w:rsidR="00AA526E">
        <w:rPr>
          <w:lang w:val="es-MX"/>
        </w:rPr>
        <w:t>578</w:t>
      </w:r>
      <w:r>
        <w:rPr>
          <w:lang w:val="es-MX"/>
        </w:rPr>
        <w:t>,</w:t>
      </w:r>
      <w:r w:rsidR="00AA526E">
        <w:rPr>
          <w:lang w:val="es-MX"/>
        </w:rPr>
        <w:t>790</w:t>
      </w:r>
      <w:r>
        <w:rPr>
          <w:lang w:val="es-MX"/>
        </w:rPr>
        <w:t>,</w:t>
      </w:r>
      <w:r w:rsidR="00AA526E">
        <w:rPr>
          <w:lang w:val="es-MX"/>
        </w:rPr>
        <w:t>262</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2CC6AAC0"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w:t>
      </w:r>
      <w:r w:rsidR="00AA526E">
        <w:rPr>
          <w:lang w:val="es-MX"/>
        </w:rPr>
        <w:t>marzo</w:t>
      </w:r>
      <w:r>
        <w:rPr>
          <w:lang w:val="es-MX"/>
        </w:rPr>
        <w:t xml:space="preserve"> un importe de </w:t>
      </w:r>
      <w:r w:rsidRPr="004466A7">
        <w:rPr>
          <w:lang w:val="es-MX"/>
        </w:rPr>
        <w:t>$</w:t>
      </w:r>
      <w:r w:rsidR="00AA526E">
        <w:rPr>
          <w:lang w:val="es-MX"/>
        </w:rPr>
        <w:t>17</w:t>
      </w:r>
      <w:r>
        <w:rPr>
          <w:lang w:val="es-MX"/>
        </w:rPr>
        <w:t>,</w:t>
      </w:r>
      <w:r w:rsidR="00AA526E">
        <w:rPr>
          <w:lang w:val="es-MX"/>
        </w:rPr>
        <w:t>312</w:t>
      </w:r>
      <w:r>
        <w:rPr>
          <w:lang w:val="es-MX"/>
        </w:rPr>
        <w:t>,</w:t>
      </w:r>
      <w:r w:rsidR="00AA526E">
        <w:rPr>
          <w:lang w:val="es-MX"/>
        </w:rPr>
        <w:t>110</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200A953E" w14:textId="7A1F8ECE" w:rsidR="008C10B0"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31</w:t>
      </w:r>
      <w:r w:rsidRPr="00DA18AC">
        <w:rPr>
          <w:lang w:val="es-MX"/>
        </w:rPr>
        <w:t xml:space="preserve"> de </w:t>
      </w:r>
      <w:r w:rsidR="00AA526E">
        <w:rPr>
          <w:lang w:val="es-MX"/>
        </w:rPr>
        <w:t>marzo</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AA526E">
        <w:rPr>
          <w:lang w:val="es-MX"/>
        </w:rPr>
        <w:t>626</w:t>
      </w:r>
      <w:r>
        <w:rPr>
          <w:lang w:val="es-MX"/>
        </w:rPr>
        <w:t>,</w:t>
      </w:r>
      <w:r w:rsidR="00AA526E">
        <w:rPr>
          <w:lang w:val="es-MX"/>
        </w:rPr>
        <w:t>267</w:t>
      </w:r>
      <w:r>
        <w:rPr>
          <w:lang w:val="es-MX"/>
        </w:rPr>
        <w:t>,</w:t>
      </w:r>
      <w:r w:rsidR="00AA526E">
        <w:rPr>
          <w:lang w:val="es-MX"/>
        </w:rPr>
        <w:t>671</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309CEF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911,429,150</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19DA189D"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3,087,846,403</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6C3C97A4" w:rsidR="008C10B0" w:rsidRPr="00450621" w:rsidRDefault="00E72137"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108,101,152</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6C20FFC8" w:rsidR="008C10B0" w:rsidRPr="009B66AA" w:rsidRDefault="00E72137"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w:t>
            </w:r>
            <w:r w:rsidR="009C5253">
              <w:rPr>
                <w:rFonts w:ascii="Arial" w:eastAsia="Times New Roman" w:hAnsi="Arial" w:cs="Arial"/>
                <w:b/>
                <w:sz w:val="18"/>
                <w:szCs w:val="18"/>
                <w:lang w:eastAsia="es-ES"/>
              </w:rPr>
              <w:t>1</w:t>
            </w:r>
            <w:r>
              <w:rPr>
                <w:rFonts w:ascii="Arial" w:eastAsia="Times New Roman" w:hAnsi="Arial" w:cs="Arial"/>
                <w:b/>
                <w:sz w:val="18"/>
                <w:szCs w:val="18"/>
                <w:lang w:eastAsia="es-ES"/>
              </w:rPr>
              <w:t>07,3</w:t>
            </w:r>
            <w:r w:rsidR="009C5253">
              <w:rPr>
                <w:rFonts w:ascii="Arial" w:eastAsia="Times New Roman" w:hAnsi="Arial" w:cs="Arial"/>
                <w:b/>
                <w:sz w:val="18"/>
                <w:szCs w:val="18"/>
                <w:lang w:eastAsia="es-ES"/>
              </w:rPr>
              <w:t>76</w:t>
            </w:r>
            <w:r>
              <w:rPr>
                <w:rFonts w:ascii="Arial" w:eastAsia="Times New Roman" w:hAnsi="Arial" w:cs="Arial"/>
                <w:b/>
                <w:sz w:val="18"/>
                <w:szCs w:val="18"/>
                <w:lang w:eastAsia="es-ES"/>
              </w:rPr>
              <w:t>,</w:t>
            </w:r>
            <w:r w:rsidR="009C5253">
              <w:rPr>
                <w:rFonts w:ascii="Arial" w:eastAsia="Times New Roman" w:hAnsi="Arial" w:cs="Arial"/>
                <w:b/>
                <w:sz w:val="18"/>
                <w:szCs w:val="18"/>
                <w:lang w:eastAsia="es-ES"/>
              </w:rPr>
              <w:t>705</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0091D4F2" w:rsidR="008C10B0" w:rsidRPr="00450621"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52BE65B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1BC4EA29"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7276521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3D9839FD" w:rsidR="008C10B0" w:rsidRPr="00FF5A7D"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142856F1" w:rsidR="008C10B0" w:rsidRPr="00450621" w:rsidRDefault="00903C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006AA563" w:rsidR="008C10B0"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3B98FB3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28BC394B"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2434583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0475716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737AEEF8" w:rsidR="008C10B0" w:rsidRPr="00F8171F"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97,497,600</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62219491" w:rsidR="008C10B0" w:rsidRPr="00450621" w:rsidRDefault="00903CC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97,701,063</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58672CA4"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5AF67F70" w:rsidR="008C10B0" w:rsidRPr="00450621"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1,481,089,199</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D93822" w14:textId="04A9F683" w:rsidR="008C10B0" w:rsidRPr="00450621"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1,481,089,199</w:t>
            </w:r>
          </w:p>
        </w:tc>
        <w:tc>
          <w:tcPr>
            <w:tcW w:w="1267" w:type="dxa"/>
            <w:tcBorders>
              <w:top w:val="nil"/>
              <w:left w:val="nil"/>
              <w:bottom w:val="single" w:sz="4" w:space="0" w:color="000000"/>
              <w:right w:val="single" w:sz="4" w:space="0" w:color="000000"/>
            </w:tcBorders>
            <w:shd w:val="clear" w:color="000000" w:fill="D3D3D3"/>
          </w:tcPr>
          <w:p w14:paraId="684B561A" w14:textId="4839368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77777777" w:rsidR="008C10B0" w:rsidRDefault="008C10B0" w:rsidP="008C10B0">
      <w:pPr>
        <w:rPr>
          <w:lang w:eastAsia="es-ES"/>
        </w:rPr>
      </w:pPr>
    </w:p>
    <w:p w14:paraId="67B97F18" w14:textId="77777777" w:rsidR="008C10B0" w:rsidRPr="006942ED" w:rsidRDefault="00AB24DC" w:rsidP="008C10B0">
      <w:pPr>
        <w:rPr>
          <w:lang w:eastAsia="es-ES"/>
        </w:rPr>
      </w:pPr>
      <w:r>
        <w:rPr>
          <w:noProof/>
          <w:szCs w:val="18"/>
          <w:lang w:val="es-ES" w:eastAsia="es-MX"/>
        </w:rPr>
        <w:object w:dxaOrig="1440" w:dyaOrig="1440" w14:anchorId="08E2F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45.75pt;margin-top:23.35pt;width:558.75pt;height:361.7pt;z-index:251669504">
            <v:imagedata r:id="rId12" o:title=""/>
            <w10:wrap type="topAndBottom"/>
          </v:shape>
          <o:OLEObject Type="Embed" ProgID="Excel.Sheet.12" ShapeID="_x0000_s2105" DrawAspect="Content" ObjectID="_1807518903" r:id="rId13"/>
        </w:object>
      </w:r>
    </w:p>
    <w:p w14:paraId="524DA631" w14:textId="77777777" w:rsidR="008C10B0" w:rsidRDefault="008C10B0" w:rsidP="008C10B0">
      <w:pPr>
        <w:ind w:firstLine="708"/>
        <w:rPr>
          <w:lang w:eastAsia="es-ES"/>
        </w:rPr>
      </w:pPr>
    </w:p>
    <w:p w14:paraId="07ED83EA" w14:textId="77777777" w:rsidR="008C10B0" w:rsidRDefault="00AB24DC" w:rsidP="008C10B0">
      <w:pPr>
        <w:ind w:firstLine="708"/>
        <w:rPr>
          <w:lang w:eastAsia="es-ES"/>
        </w:rPr>
      </w:pPr>
      <w:r>
        <w:rPr>
          <w:b/>
          <w:smallCaps/>
          <w:noProof/>
          <w:szCs w:val="18"/>
          <w:lang w:eastAsia="es-MX"/>
        </w:rPr>
        <w:lastRenderedPageBreak/>
        <w:object w:dxaOrig="1440" w:dyaOrig="1440" w14:anchorId="06C5EE27">
          <v:shape id="_x0000_s2106" type="#_x0000_t75" style="position:absolute;left:0;text-align:left;margin-left:-11.7pt;margin-top:12.75pt;width:500.8pt;height:525.2pt;z-index:251670528">
            <v:imagedata r:id="rId14" o:title=""/>
            <w10:wrap type="topAndBottom"/>
          </v:shape>
          <o:OLEObject Type="Embed" ProgID="Excel.Sheet.12" ShapeID="_x0000_s2106" DrawAspect="Content" ObjectID="_1807518904" r:id="rId15"/>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76CD950A"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00F63665" w:rsidR="008C10B0" w:rsidRDefault="0078137F" w:rsidP="008C10B0">
      <w:pPr>
        <w:tabs>
          <w:tab w:val="left" w:pos="284"/>
        </w:tabs>
        <w:ind w:left="284"/>
        <w:jc w:val="both"/>
        <w:rPr>
          <w:rFonts w:ascii="Arial" w:hAnsi="Arial" w:cs="Arial"/>
          <w:sz w:val="18"/>
          <w:szCs w:val="18"/>
        </w:rPr>
      </w:pPr>
      <w:r>
        <w:rPr>
          <w:rFonts w:ascii="Arial" w:hAnsi="Arial" w:cs="Arial"/>
          <w:sz w:val="18"/>
          <w:szCs w:val="18"/>
        </w:rPr>
        <w:t>Al mes de marzo</w:t>
      </w:r>
      <w:r w:rsidR="008C10B0">
        <w:rPr>
          <w:rFonts w:ascii="Arial" w:hAnsi="Arial" w:cs="Arial"/>
          <w:sz w:val="18"/>
          <w:szCs w:val="18"/>
        </w:rPr>
        <w:t xml:space="preserve"> del</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0B1EF486"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6,959,366,833</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0E322E10"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479,837,571</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1A3391D1" w:rsidR="008C10B0" w:rsidRPr="00450621" w:rsidRDefault="0078137F"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7,439,204,404</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62048082"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6,959,366,833</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17CF1E63"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1,277,664,698</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66513FCD"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479,837,571</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0E212422" w:rsidR="008C10B0" w:rsidRPr="00450621"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203,424,501</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33AD3A52" w:rsidR="008C10B0" w:rsidRPr="00AD5155"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14,162,610</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20887E47" w:rsidR="008C10B0" w:rsidRPr="00AD5155" w:rsidRDefault="00A7096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5,943,952,595</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16"/>
      <w:headerReference w:type="default" r:id="rId17"/>
      <w:footerReference w:type="even" r:id="rId18"/>
      <w:footerReference w:type="default" r:id="rId1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10F1" w14:textId="77777777" w:rsidR="009558BC" w:rsidRDefault="009558BC" w:rsidP="00EA5418">
      <w:pPr>
        <w:spacing w:after="0" w:line="240" w:lineRule="auto"/>
      </w:pPr>
      <w:r>
        <w:separator/>
      </w:r>
    </w:p>
  </w:endnote>
  <w:endnote w:type="continuationSeparator" w:id="0">
    <w:p w14:paraId="4AC35A59" w14:textId="77777777" w:rsidR="009558BC" w:rsidRDefault="009558B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996DA" w14:textId="77777777" w:rsidR="009558BC" w:rsidRDefault="009558BC" w:rsidP="00EA5418">
      <w:pPr>
        <w:spacing w:after="0" w:line="240" w:lineRule="auto"/>
      </w:pPr>
      <w:r>
        <w:separator/>
      </w:r>
    </w:p>
  </w:footnote>
  <w:footnote w:type="continuationSeparator" w:id="0">
    <w:p w14:paraId="4FC9B515" w14:textId="77777777" w:rsidR="009558BC" w:rsidRDefault="009558B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0389219">
    <w:abstractNumId w:val="13"/>
  </w:num>
  <w:num w:numId="2" w16cid:durableId="437453652">
    <w:abstractNumId w:val="2"/>
  </w:num>
  <w:num w:numId="3" w16cid:durableId="724525251">
    <w:abstractNumId w:val="6"/>
  </w:num>
  <w:num w:numId="4" w16cid:durableId="1415782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6703580">
    <w:abstractNumId w:val="9"/>
  </w:num>
  <w:num w:numId="6" w16cid:durableId="277492589">
    <w:abstractNumId w:val="5"/>
  </w:num>
  <w:num w:numId="7" w16cid:durableId="1591280618">
    <w:abstractNumId w:val="12"/>
  </w:num>
  <w:num w:numId="8" w16cid:durableId="1743868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1858243">
    <w:abstractNumId w:val="11"/>
  </w:num>
  <w:num w:numId="10" w16cid:durableId="2121535199">
    <w:abstractNumId w:val="3"/>
  </w:num>
  <w:num w:numId="11" w16cid:durableId="1976057735">
    <w:abstractNumId w:val="0"/>
  </w:num>
  <w:num w:numId="12" w16cid:durableId="847525261">
    <w:abstractNumId w:val="14"/>
  </w:num>
  <w:num w:numId="13" w16cid:durableId="1722560002">
    <w:abstractNumId w:val="4"/>
  </w:num>
  <w:num w:numId="14" w16cid:durableId="398288116">
    <w:abstractNumId w:val="1"/>
  </w:num>
  <w:num w:numId="15" w16cid:durableId="953243625">
    <w:abstractNumId w:val="8"/>
  </w:num>
  <w:num w:numId="16" w16cid:durableId="185899865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11AF"/>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7A6"/>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223"/>
    <w:rsid w:val="004C5E7B"/>
    <w:rsid w:val="004D30E1"/>
    <w:rsid w:val="004D3E91"/>
    <w:rsid w:val="004D41B8"/>
    <w:rsid w:val="004D47D0"/>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1D06"/>
    <w:rsid w:val="0066322D"/>
    <w:rsid w:val="00663540"/>
    <w:rsid w:val="006653EB"/>
    <w:rsid w:val="00667535"/>
    <w:rsid w:val="00672D27"/>
    <w:rsid w:val="00673C62"/>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0B0"/>
    <w:rsid w:val="008C1333"/>
    <w:rsid w:val="008C155F"/>
    <w:rsid w:val="008C2121"/>
    <w:rsid w:val="008C568D"/>
    <w:rsid w:val="008D0B37"/>
    <w:rsid w:val="008D42C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8BC"/>
    <w:rsid w:val="00955BF1"/>
    <w:rsid w:val="00957043"/>
    <w:rsid w:val="00957060"/>
    <w:rsid w:val="00957510"/>
    <w:rsid w:val="00960EC6"/>
    <w:rsid w:val="0096238F"/>
    <w:rsid w:val="00963062"/>
    <w:rsid w:val="009632A0"/>
    <w:rsid w:val="00964A60"/>
    <w:rsid w:val="00964DCC"/>
    <w:rsid w:val="00964EC7"/>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AAB"/>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526E"/>
    <w:rsid w:val="00AA6498"/>
    <w:rsid w:val="00AA6892"/>
    <w:rsid w:val="00AA7AE3"/>
    <w:rsid w:val="00AB0983"/>
    <w:rsid w:val="00AB2062"/>
    <w:rsid w:val="00AB24DC"/>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2137"/>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223E"/>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1.xlsx"/><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20580</Words>
  <Characters>113192</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2025-04-16T19:13:00Z</cp:lastPrinted>
  <dcterms:created xsi:type="dcterms:W3CDTF">2025-04-30T17:47:00Z</dcterms:created>
  <dcterms:modified xsi:type="dcterms:W3CDTF">2025-04-30T17:47:00Z</dcterms:modified>
</cp:coreProperties>
</file>