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C906" w14:textId="4209CE03" w:rsidR="00B844F0" w:rsidRDefault="00075F11" w:rsidP="000A2A48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615A465E" w14:textId="77777777" w:rsidR="007675DF" w:rsidRDefault="007675DF" w:rsidP="007675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Gobierno del Estado a través del Fondo Macro para el Desarrollo Integral de Tlaxcala “FOMTLAX”, contribuye al desarrollo económico del Estado con el otorgamiento de créditos para las micro y pequeñas empresas de los diversos sectores económicos, fomentando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5F4A736A" w14:textId="2527F24C" w:rsidR="007675DF" w:rsidRDefault="007675DF" w:rsidP="007675DF">
      <w:pPr>
        <w:pStyle w:val="NormalWeb"/>
        <w:shd w:val="clear" w:color="auto" w:fill="FFFFFF"/>
        <w:spacing w:before="0" w:beforeAutospacing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Con fecha 24 de marzo de 2025, la Gobernadora del Estado de Tlaxcala, Lic. Lorena Cuellar Cisneros otorgó el nombramiento de </w:t>
      </w:r>
      <w:proofErr w:type="gramStart"/>
      <w:r>
        <w:rPr>
          <w:rFonts w:ascii="Arial" w:eastAsiaTheme="minorHAnsi" w:hAnsi="Arial" w:cs="Arial"/>
          <w:sz w:val="18"/>
          <w:szCs w:val="18"/>
          <w:lang w:eastAsia="en-US"/>
        </w:rPr>
        <w:t>Director General</w:t>
      </w:r>
      <w:proofErr w:type="gramEnd"/>
      <w:r>
        <w:rPr>
          <w:rFonts w:ascii="Arial" w:eastAsiaTheme="minorHAnsi" w:hAnsi="Arial" w:cs="Arial"/>
          <w:sz w:val="18"/>
          <w:szCs w:val="18"/>
          <w:lang w:eastAsia="en-US"/>
        </w:rPr>
        <w:t xml:space="preserve"> del Fondo         </w:t>
      </w:r>
      <w:r>
        <w:rPr>
          <w:rFonts w:ascii="Arial" w:eastAsiaTheme="minorHAnsi" w:hAnsi="Arial" w:cs="Arial"/>
          <w:sz w:val="18"/>
          <w:szCs w:val="18"/>
          <w:lang w:eastAsia="en-US"/>
        </w:rPr>
        <w:t>Macro para el Desarrollo Integral de Tlaxcala “FOMTLAX”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, al </w:t>
      </w:r>
      <w:r>
        <w:rPr>
          <w:rFonts w:ascii="Arial" w:eastAsiaTheme="minorHAnsi" w:hAnsi="Arial" w:cs="Arial"/>
          <w:sz w:val="18"/>
          <w:szCs w:val="18"/>
          <w:lang w:eastAsia="en-US"/>
        </w:rPr>
        <w:t>Lic. Carlos Augusto Pérez Hernández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63A9F98" w14:textId="77777777" w:rsidR="007675DF" w:rsidRDefault="007675DF" w:rsidP="007675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marzo, se brindó orientación a 847 personas interesadas en obtener un crédito, recibiéndose 378 solicitudes, otorgándose 311 créditos, con una inversión de 10.1 MDP, que beneficiaron a 498 familias. Lo anterior, aprobado en nueve sesiones ordinarias del Comité de Crédito Interno de este Organismo. </w:t>
      </w:r>
    </w:p>
    <w:p w14:paraId="52096E3F" w14:textId="77777777" w:rsidR="007675DF" w:rsidRDefault="007675DF" w:rsidP="007675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total de créditos, 111 corresponden al Programa “Mujer </w:t>
      </w:r>
      <w:proofErr w:type="spellStart"/>
      <w:r>
        <w:rPr>
          <w:rFonts w:ascii="Arial" w:hAnsi="Arial" w:cs="Arial"/>
          <w:sz w:val="18"/>
          <w:szCs w:val="18"/>
        </w:rPr>
        <w:t>Fomtlax</w:t>
      </w:r>
      <w:proofErr w:type="spellEnd"/>
      <w:r>
        <w:rPr>
          <w:rFonts w:ascii="Arial" w:hAnsi="Arial" w:cs="Arial"/>
          <w:sz w:val="18"/>
          <w:szCs w:val="18"/>
        </w:rPr>
        <w:t>”, en beneficio de igual número de mujeres conformadas en 37 grupos solidarios, por un monto total de 1.5   MDP.</w:t>
      </w:r>
    </w:p>
    <w:p w14:paraId="4ED75388" w14:textId="77777777" w:rsidR="007675DF" w:rsidRDefault="007675DF" w:rsidP="007675D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llevaron a cabo pláticas de promoción del “Programa de Créditos para Unidades Productivas” en los municipios de: Apizaco, Tetla de la Solidaridad, La Magdalena </w:t>
      </w:r>
      <w:proofErr w:type="spellStart"/>
      <w:r>
        <w:rPr>
          <w:rFonts w:ascii="Arial" w:hAnsi="Arial" w:cs="Arial"/>
          <w:sz w:val="18"/>
          <w:szCs w:val="18"/>
        </w:rPr>
        <w:t>Tlalteluco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Mazatecochco</w:t>
      </w:r>
      <w:proofErr w:type="spellEnd"/>
      <w:r>
        <w:rPr>
          <w:rFonts w:ascii="Arial" w:hAnsi="Arial" w:cs="Arial"/>
          <w:sz w:val="18"/>
          <w:szCs w:val="18"/>
        </w:rPr>
        <w:t xml:space="preserve"> de José María Morelos, Tlaxco, San Pablo del Monte, </w:t>
      </w:r>
      <w:proofErr w:type="spellStart"/>
      <w:r>
        <w:rPr>
          <w:rFonts w:ascii="Arial" w:hAnsi="Arial" w:cs="Arial"/>
          <w:sz w:val="18"/>
          <w:szCs w:val="18"/>
        </w:rPr>
        <w:t>Tocatlán</w:t>
      </w:r>
      <w:proofErr w:type="spellEnd"/>
      <w:r>
        <w:rPr>
          <w:rFonts w:ascii="Arial" w:hAnsi="Arial" w:cs="Arial"/>
          <w:sz w:val="18"/>
          <w:szCs w:val="18"/>
        </w:rPr>
        <w:t>, Tlaxcala, Cuapiaxtla y Terrenate, brindando atención a 524 personas.</w:t>
      </w:r>
    </w:p>
    <w:p w14:paraId="35AC70C8" w14:textId="77777777" w:rsidR="007675DF" w:rsidRDefault="007675DF" w:rsidP="007675D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36F8378" w14:textId="77777777" w:rsidR="007675DF" w:rsidRDefault="007675DF" w:rsidP="007675D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participó también con diversas dependencias del gobierno del Estado en los eventos: en la “Tercera Feria de Financiamiento para el sector agropecuario y acuícola del Estado de Tlaxcala 2025 (SIA)”, “Feria Nacional de Empleo de las Mujeres 2025” (SNE) y en la “Primera Reunión de Titulares del sector económico con presidentes municipales”.</w:t>
      </w:r>
    </w:p>
    <w:p w14:paraId="58137220" w14:textId="77777777" w:rsidR="007675DF" w:rsidRDefault="007675DF" w:rsidP="007675D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D0E262A" w14:textId="77777777" w:rsidR="007675DF" w:rsidRDefault="007675DF" w:rsidP="00767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Personal del “FOMTLAX” recibió la capacitación sobre los temas: “Jornada en línea sobre dudas y orientación en la carga de información” (IAIP); “Prevención y combate de incendios y manejo de extintores” (Delegación de Bomberos de la SSC) y el curso: “Desarrollo Humano” (OMG)</w:t>
      </w:r>
      <w:r>
        <w:rPr>
          <w:rFonts w:ascii="Arial" w:hAnsi="Arial" w:cs="Arial"/>
        </w:rPr>
        <w:t>.</w:t>
      </w:r>
    </w:p>
    <w:p w14:paraId="22DB12B8" w14:textId="77777777" w:rsidR="007675DF" w:rsidRDefault="007675DF" w:rsidP="007675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69E141" w14:textId="77777777" w:rsidR="007675DF" w:rsidRDefault="007675DF" w:rsidP="007675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lo que refiere a la recuperación de la cartera, se continuó con las diversas acciones de tratamientos de cartera a solicitud de acreditados; se llevaron a cabo 1,134 visitas domiciliarias para entrega de requerimientos de pago y se efectuaron 1,595 llamadas telefónicas. Del mes de enero al mes de marzo se logró un monto de recuperación de 23.1 MDP.</w:t>
      </w:r>
    </w:p>
    <w:p w14:paraId="0B4E1F4A" w14:textId="77777777" w:rsidR="00C93559" w:rsidRDefault="00C93559" w:rsidP="003B02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115403" w14:textId="11D414BC"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14:paraId="4171D5F0" w14:textId="77777777" w:rsidR="007675DF" w:rsidRDefault="007675DF" w:rsidP="00F474E9">
      <w:pPr>
        <w:jc w:val="both"/>
        <w:rPr>
          <w:rFonts w:ascii="Arial" w:hAnsi="Arial" w:cs="Arial"/>
          <w:sz w:val="18"/>
          <w:szCs w:val="18"/>
        </w:rPr>
      </w:pPr>
    </w:p>
    <w:p w14:paraId="6C070C25" w14:textId="77777777" w:rsidR="00A71207" w:rsidRDefault="00A71207" w:rsidP="00F474E9">
      <w:pPr>
        <w:jc w:val="both"/>
        <w:rPr>
          <w:rFonts w:ascii="Arial" w:hAnsi="Arial" w:cs="Arial"/>
          <w:sz w:val="18"/>
          <w:szCs w:val="18"/>
        </w:rPr>
      </w:pPr>
    </w:p>
    <w:p w14:paraId="42D0DFEA" w14:textId="33DC8413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Introducción</w:t>
      </w:r>
    </w:p>
    <w:p w14:paraId="622AF244" w14:textId="63477179" w:rsidR="00AD791F" w:rsidRPr="00A71207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249D07E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Contable</w:t>
      </w:r>
    </w:p>
    <w:p w14:paraId="3743E8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Actividades</w:t>
      </w:r>
    </w:p>
    <w:p w14:paraId="4346E4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Situación Financiera</w:t>
      </w:r>
    </w:p>
    <w:p w14:paraId="11C46EA2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Cambios en la Situación Financiera</w:t>
      </w:r>
    </w:p>
    <w:p w14:paraId="37D4EE61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Activo</w:t>
      </w:r>
    </w:p>
    <w:p w14:paraId="7EC9DB8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la Deuda y Otros Pasivos</w:t>
      </w:r>
    </w:p>
    <w:p w14:paraId="20F881A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Variación de la Hacienda Pública</w:t>
      </w:r>
    </w:p>
    <w:p w14:paraId="7893680A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Flujos de Efectivo</w:t>
      </w:r>
    </w:p>
    <w:p w14:paraId="4A0B4F8D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Informe de Pasivos Contingentes</w:t>
      </w:r>
    </w:p>
    <w:p w14:paraId="2EF7C13F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a los Estados Financieros</w:t>
      </w:r>
    </w:p>
    <w:p w14:paraId="71BD4C60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Desglose</w:t>
      </w:r>
    </w:p>
    <w:p w14:paraId="0627EB73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Memoria (cuentas de orden)</w:t>
      </w:r>
    </w:p>
    <w:p w14:paraId="448055E5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Gestión Administrativa</w:t>
      </w:r>
    </w:p>
    <w:p w14:paraId="1FBE73DA" w14:textId="77777777" w:rsidR="006E1FB7" w:rsidRDefault="006E1FB7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7"/>
          <w:szCs w:val="17"/>
        </w:rPr>
      </w:pPr>
    </w:p>
    <w:p w14:paraId="6FE52BC1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Presupuestaria</w:t>
      </w:r>
    </w:p>
    <w:p w14:paraId="45CC7F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Ingresos (por rubro y por fuente de financiamiento)</w:t>
      </w:r>
    </w:p>
    <w:p w14:paraId="514628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Presupuesto de Egresos Clasificación Administrativa</w:t>
      </w:r>
    </w:p>
    <w:p w14:paraId="0B8E8B62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por Objeto del Gasto (capitulo y concepto)</w:t>
      </w:r>
    </w:p>
    <w:p w14:paraId="7685E020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Económica (por tipo de gasto)</w:t>
      </w:r>
    </w:p>
    <w:p w14:paraId="08F42E4E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Funcional (Finalidad y Función)</w:t>
      </w:r>
    </w:p>
    <w:p w14:paraId="1AA1116C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Endeudamiento Neto</w:t>
      </w:r>
    </w:p>
    <w:p w14:paraId="302620B8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Intereses de Deuda</w:t>
      </w:r>
    </w:p>
    <w:p w14:paraId="41C20D6F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Postura Fiscal</w:t>
      </w:r>
    </w:p>
    <w:p w14:paraId="3A7197E0" w14:textId="32DC37FB" w:rsidR="00A71207" w:rsidRDefault="00A71207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6ADED82E" w14:textId="77777777" w:rsidR="00AD791F" w:rsidRPr="00A7120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Programática</w:t>
      </w:r>
    </w:p>
    <w:p w14:paraId="0218550D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Gastos por Categoría Programática</w:t>
      </w:r>
    </w:p>
    <w:p w14:paraId="7A837C68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Programas y Proyectos de Inversión</w:t>
      </w:r>
    </w:p>
    <w:p w14:paraId="214893D4" w14:textId="75D49CF2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Resultados</w:t>
      </w:r>
    </w:p>
    <w:p w14:paraId="7895E5A0" w14:textId="77777777" w:rsidR="00FF41A1" w:rsidRDefault="00FF41A1" w:rsidP="00FF41A1">
      <w:pPr>
        <w:pStyle w:val="Prrafodelista"/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77EFF29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Anexos</w:t>
      </w:r>
    </w:p>
    <w:p w14:paraId="4B397586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Muebles que Componen el Patrimonio</w:t>
      </w:r>
    </w:p>
    <w:p w14:paraId="765E6F37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Inmuebles que Componen el Patrimonio</w:t>
      </w:r>
    </w:p>
    <w:p w14:paraId="1FDD9382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Cuentas Bancarias Productivas Especificas</w:t>
      </w:r>
    </w:p>
    <w:p w14:paraId="246FD94D" w14:textId="77777777" w:rsidR="004137E3" w:rsidRPr="00A71207" w:rsidRDefault="00AD791F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Esquemas Bursátiles y de Coberturas Financieras</w:t>
      </w:r>
    </w:p>
    <w:p w14:paraId="0698D022" w14:textId="3599756C" w:rsidR="00B43C7F" w:rsidRPr="00A71207" w:rsidRDefault="00067787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Balanza de Comprobación. </w:t>
      </w:r>
    </w:p>
    <w:p w14:paraId="037CD7E4" w14:textId="09F55A1F" w:rsidR="004137E3" w:rsidRPr="00A71207" w:rsidRDefault="004137E3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Auxiliares Contables</w:t>
      </w:r>
    </w:p>
    <w:p w14:paraId="2F755396" w14:textId="69AD801D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Bancos</w:t>
      </w:r>
    </w:p>
    <w:p w14:paraId="431473EA" w14:textId="6BA77CDC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Conciliaciones Bancarias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y Estados de cuenta Bancaria</w:t>
      </w:r>
    </w:p>
    <w:p w14:paraId="6E6546FC" w14:textId="5616142A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bookmarkStart w:id="0" w:name="_Hlk36026404"/>
      <w:bookmarkStart w:id="1" w:name="_Hlk36027996"/>
      <w:r w:rsidRPr="00A71207">
        <w:rPr>
          <w:rFonts w:ascii="Arial" w:eastAsia="Times New Roman" w:hAnsi="Arial" w:cs="Arial"/>
          <w:sz w:val="17"/>
          <w:szCs w:val="17"/>
        </w:rPr>
        <w:t>Estado Presupuestario de Ingresos desagregado por concepto</w:t>
      </w:r>
      <w:bookmarkStart w:id="2" w:name="_Hlk107994875"/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bookmarkEnd w:id="0"/>
    <w:bookmarkEnd w:id="2"/>
    <w:p w14:paraId="40BCBD37" w14:textId="1E5849BF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Estado Presupuestario de Egresos desagregado por partida, del periodo y acumulado</w:t>
      </w:r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p w14:paraId="05E3266E" w14:textId="456C7D4F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Avance del Programa Operativo Anual</w:t>
      </w:r>
    </w:p>
    <w:p w14:paraId="6E1007DA" w14:textId="566745EA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Inventario de Bienes Muebles, Inmuebles e Intangibles, clasificado y cuantificado</w:t>
      </w:r>
    </w:p>
    <w:p w14:paraId="3AE65CA4" w14:textId="75B27792" w:rsidR="00067787" w:rsidRPr="00A71207" w:rsidRDefault="00067787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Ingresos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327CD9CB" w14:textId="58E25057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Egresos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1BD1E286" w14:textId="7D410FD6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Plantilla de Personal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Trimestral</w:t>
      </w:r>
    </w:p>
    <w:p w14:paraId="54DBBEC5" w14:textId="299712C1" w:rsidR="00067787" w:rsidRPr="00A71207" w:rsidRDefault="004137E3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Libro </w:t>
      </w:r>
      <w:r w:rsidR="00067787" w:rsidRPr="00A71207">
        <w:rPr>
          <w:rFonts w:ascii="Arial" w:eastAsia="Times New Roman" w:hAnsi="Arial" w:cs="Arial"/>
          <w:sz w:val="17"/>
          <w:szCs w:val="17"/>
        </w:rPr>
        <w:t>Diario.</w:t>
      </w:r>
    </w:p>
    <w:p w14:paraId="23B731AF" w14:textId="77777777" w:rsidR="00FF41A1" w:rsidRPr="00A71207" w:rsidRDefault="00FF41A1" w:rsidP="00FF41A1">
      <w:pPr>
        <w:spacing w:after="0" w:line="360" w:lineRule="auto"/>
        <w:ind w:left="1068"/>
        <w:jc w:val="both"/>
        <w:rPr>
          <w:rFonts w:ascii="Arial" w:eastAsia="Times New Roman" w:hAnsi="Arial" w:cs="Arial"/>
          <w:sz w:val="17"/>
          <w:szCs w:val="17"/>
        </w:rPr>
      </w:pPr>
    </w:p>
    <w:bookmarkEnd w:id="1"/>
    <w:p w14:paraId="609D01A2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Formatos de Disciplina Financiera</w:t>
      </w:r>
    </w:p>
    <w:p w14:paraId="0254954C" w14:textId="77777777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1   </w:t>
      </w:r>
      <w:r w:rsidRPr="00A71207">
        <w:rPr>
          <w:sz w:val="17"/>
          <w:szCs w:val="17"/>
        </w:rPr>
        <w:t>Estado de Situación Financiera Detallado - LDF</w:t>
      </w:r>
    </w:p>
    <w:p w14:paraId="77AA3568" w14:textId="77777777" w:rsidR="00042519" w:rsidRPr="00A71207" w:rsidRDefault="00042519" w:rsidP="00C762B8">
      <w:pPr>
        <w:pStyle w:val="Prrafodelista"/>
        <w:numPr>
          <w:ilvl w:val="0"/>
          <w:numId w:val="13"/>
        </w:numPr>
        <w:spacing w:after="0" w:line="240" w:lineRule="auto"/>
        <w:ind w:left="1077" w:hanging="357"/>
        <w:rPr>
          <w:rFonts w:ascii="Arial" w:eastAsia="Times New Roman" w:hAnsi="Arial" w:cs="Arial"/>
          <w:b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2   </w:t>
      </w:r>
      <w:r w:rsidRPr="00A71207">
        <w:rPr>
          <w:rFonts w:ascii="Arial" w:eastAsia="Times New Roman" w:hAnsi="Arial" w:cs="Arial"/>
          <w:sz w:val="17"/>
          <w:szCs w:val="17"/>
        </w:rPr>
        <w:t>Informe Analítico de la Deuda Pública y Otros Pasivos – LDF</w:t>
      </w:r>
    </w:p>
    <w:p w14:paraId="57DC6EE0" w14:textId="77777777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3  </w:t>
      </w:r>
      <w:r w:rsidRPr="00A71207">
        <w:rPr>
          <w:rFonts w:ascii="Arial" w:eastAsia="Times New Roman" w:hAnsi="Arial" w:cs="Arial"/>
          <w:sz w:val="17"/>
          <w:szCs w:val="17"/>
        </w:rPr>
        <w:t xml:space="preserve"> Informe Analítico de Obligaciones Diferentes de Financiamientos – LDF</w:t>
      </w:r>
    </w:p>
    <w:p w14:paraId="2BDF985A" w14:textId="1CAE99C8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4</w:t>
      </w:r>
      <w:r w:rsidR="00C762B8" w:rsidRPr="00A71207"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 xml:space="preserve"> Balance Presupuestario – LDF</w:t>
      </w:r>
    </w:p>
    <w:p w14:paraId="45324982" w14:textId="66D9F0D5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5</w:t>
      </w:r>
      <w:r w:rsidRPr="00A71207">
        <w:rPr>
          <w:rFonts w:ascii="Arial" w:eastAsia="Times New Roman" w:hAnsi="Arial" w:cs="Arial"/>
          <w:sz w:val="17"/>
          <w:szCs w:val="17"/>
        </w:rPr>
        <w:t xml:space="preserve"> </w:t>
      </w:r>
      <w:r w:rsidR="00C762B8" w:rsidRPr="00A71207">
        <w:rPr>
          <w:rFonts w:ascii="Arial" w:eastAsia="Times New Roman" w:hAnsi="Arial" w:cs="Arial"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>Estado Analítico de Ingresos Detallado – LDF</w:t>
      </w:r>
    </w:p>
    <w:p w14:paraId="2F11613C" w14:textId="76D20C64" w:rsidR="00042519" w:rsidRPr="00A71207" w:rsidRDefault="00042519" w:rsidP="00C762B8">
      <w:pPr>
        <w:pStyle w:val="Texto"/>
        <w:numPr>
          <w:ilvl w:val="0"/>
          <w:numId w:val="13"/>
        </w:numPr>
        <w:spacing w:after="0"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6a </w:t>
      </w:r>
      <w:r w:rsidRPr="00A71207">
        <w:rPr>
          <w:sz w:val="17"/>
          <w:szCs w:val="17"/>
        </w:rPr>
        <w:t>Estado Analítico del Ejercicio del Presupuesto de Egresos Detallado – LDF (Clasificación por Objeto del Gasto)</w:t>
      </w:r>
    </w:p>
    <w:p w14:paraId="57632CD8" w14:textId="6D784B5B" w:rsidR="00042519" w:rsidRPr="00A71207" w:rsidRDefault="00042519" w:rsidP="00C762B8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ind w:left="1077" w:hanging="357"/>
        <w:rPr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6b </w:t>
      </w:r>
      <w:r w:rsidRPr="00A71207">
        <w:rPr>
          <w:sz w:val="17"/>
          <w:szCs w:val="17"/>
        </w:rPr>
        <w:t>Estado Analítico del Ejercicio del Presupuesto de Egresos Detallado – LDF (Clasificación Administrativa)</w:t>
      </w:r>
    </w:p>
    <w:p w14:paraId="5AADDB2B" w14:textId="4BC4FAFD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6c </w:t>
      </w:r>
      <w:r w:rsidRPr="00A71207">
        <w:rPr>
          <w:sz w:val="17"/>
          <w:szCs w:val="17"/>
        </w:rPr>
        <w:t>Estado Analítico del Ejercicio del Presupuesto de Egresos Detallado – LDF (Clasificación Funcional)</w:t>
      </w:r>
    </w:p>
    <w:p w14:paraId="30F8B191" w14:textId="7E37D8A5" w:rsidR="00C762B8" w:rsidRPr="00A71207" w:rsidRDefault="00042519" w:rsidP="00C762B8">
      <w:pPr>
        <w:pStyle w:val="Texto"/>
        <w:numPr>
          <w:ilvl w:val="0"/>
          <w:numId w:val="13"/>
        </w:numPr>
        <w:tabs>
          <w:tab w:val="left" w:pos="1530"/>
        </w:tabs>
        <w:spacing w:line="288" w:lineRule="auto"/>
        <w:ind w:left="1077" w:hanging="357"/>
        <w:rPr>
          <w:rFonts w:cs="Times New Roman"/>
          <w:sz w:val="17"/>
          <w:szCs w:val="17"/>
          <w:lang w:eastAsia="hi-IN"/>
        </w:rPr>
      </w:pPr>
      <w:r w:rsidRPr="00A71207">
        <w:rPr>
          <w:b/>
          <w:sz w:val="17"/>
          <w:szCs w:val="17"/>
        </w:rPr>
        <w:t xml:space="preserve">Formato 6d </w:t>
      </w:r>
      <w:r w:rsidRPr="00A71207">
        <w:rPr>
          <w:sz w:val="17"/>
          <w:szCs w:val="17"/>
        </w:rPr>
        <w:t>Estado Analítico del Ejercicio del Presupuesto de Egresos Detallado – LDF (Clasificación de Servicios Personales por Categoría)</w:t>
      </w:r>
      <w:r w:rsidR="00C762B8" w:rsidRPr="00A71207">
        <w:rPr>
          <w:rFonts w:cs="Times New Roman"/>
          <w:sz w:val="17"/>
          <w:szCs w:val="17"/>
          <w:lang w:eastAsia="hi-IN"/>
        </w:rPr>
        <w:t xml:space="preserve">  </w:t>
      </w:r>
    </w:p>
    <w:sectPr w:rsidR="00C762B8" w:rsidRPr="00A71207" w:rsidSect="0028732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7" w:right="1701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1EF" w14:textId="77777777" w:rsidR="008C5774" w:rsidRDefault="008C5774" w:rsidP="00EA5418">
      <w:pPr>
        <w:spacing w:after="0" w:line="240" w:lineRule="auto"/>
      </w:pPr>
      <w:r>
        <w:separator/>
      </w:r>
    </w:p>
  </w:endnote>
  <w:endnote w:type="continuationSeparator" w:id="0">
    <w:p w14:paraId="5BAA7C94" w14:textId="77777777" w:rsidR="008C5774" w:rsidRDefault="008C57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F44E" w14:textId="767AACB0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0EE057A">
        <v:line id="12 Conector recto" o:spid="_x0000_s1026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542EA6" w:rsidRPr="00542EA6">
          <w:rPr>
            <w:rFonts w:ascii="Soberana Sans Light" w:hAnsi="Soberana Sans Light"/>
            <w:noProof/>
            <w:lang w:val="es-ES"/>
          </w:rPr>
          <w:t>4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14:paraId="273328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C3BD" w14:textId="72814E2C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54EB97">
        <v:line id="3 Conector recto" o:spid="_x0000_s1025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542EA6" w:rsidRPr="00542EA6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340A" w14:textId="77777777" w:rsidR="008C5774" w:rsidRDefault="008C5774" w:rsidP="00EA5418">
      <w:pPr>
        <w:spacing w:after="0" w:line="240" w:lineRule="auto"/>
      </w:pPr>
      <w:r>
        <w:separator/>
      </w:r>
    </w:p>
  </w:footnote>
  <w:footnote w:type="continuationSeparator" w:id="0">
    <w:p w14:paraId="05B36B6F" w14:textId="77777777" w:rsidR="008C5774" w:rsidRDefault="008C57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D436" w14:textId="77777777" w:rsidR="0013011C" w:rsidRDefault="00000000">
    <w:pPr>
      <w:pStyle w:val="Encabezado"/>
    </w:pPr>
    <w:r>
      <w:rPr>
        <w:noProof/>
        <w:lang w:eastAsia="es-MX"/>
      </w:rPr>
      <w:pict w14:anchorId="6C5AC7DA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2DEEAA0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CDBF61C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D7D5EEC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B18C86A" w14:textId="282AF53D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81D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42EA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14:paraId="20CD47A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428D8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1B1DECB">
        <v:line id="4 Conector recto" o:spid="_x0000_s1028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D78E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FBD0177">
        <v:line id="1 Conector recto" o:spid="_x0000_s1027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9C1244"/>
    <w:multiLevelType w:val="hybridMultilevel"/>
    <w:tmpl w:val="CB18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4432A1"/>
    <w:multiLevelType w:val="hybridMultilevel"/>
    <w:tmpl w:val="74428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755"/>
    <w:multiLevelType w:val="hybridMultilevel"/>
    <w:tmpl w:val="365E03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6C3A9A"/>
    <w:multiLevelType w:val="hybridMultilevel"/>
    <w:tmpl w:val="B24E07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0FA"/>
    <w:multiLevelType w:val="hybridMultilevel"/>
    <w:tmpl w:val="BA08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BC2749"/>
    <w:multiLevelType w:val="hybridMultilevel"/>
    <w:tmpl w:val="ADE840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69E5"/>
    <w:multiLevelType w:val="hybridMultilevel"/>
    <w:tmpl w:val="476683BC"/>
    <w:lvl w:ilvl="0" w:tplc="1090D7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0458"/>
    <w:multiLevelType w:val="hybridMultilevel"/>
    <w:tmpl w:val="CAD87ED8"/>
    <w:lvl w:ilvl="0" w:tplc="1090D7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4FE"/>
    <w:multiLevelType w:val="hybridMultilevel"/>
    <w:tmpl w:val="6EFEA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6FB0"/>
    <w:multiLevelType w:val="hybridMultilevel"/>
    <w:tmpl w:val="B336B5E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924FCC"/>
    <w:multiLevelType w:val="hybridMultilevel"/>
    <w:tmpl w:val="345E4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97A51"/>
    <w:multiLevelType w:val="hybridMultilevel"/>
    <w:tmpl w:val="AB9C07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1128464">
    <w:abstractNumId w:val="1"/>
  </w:num>
  <w:num w:numId="2" w16cid:durableId="707991334">
    <w:abstractNumId w:val="3"/>
  </w:num>
  <w:num w:numId="3" w16cid:durableId="862741736">
    <w:abstractNumId w:val="12"/>
  </w:num>
  <w:num w:numId="4" w16cid:durableId="1448547373">
    <w:abstractNumId w:val="7"/>
  </w:num>
  <w:num w:numId="5" w16cid:durableId="1916090261">
    <w:abstractNumId w:val="6"/>
  </w:num>
  <w:num w:numId="6" w16cid:durableId="2088073985">
    <w:abstractNumId w:val="17"/>
  </w:num>
  <w:num w:numId="7" w16cid:durableId="2071149908">
    <w:abstractNumId w:val="26"/>
  </w:num>
  <w:num w:numId="8" w16cid:durableId="2146769824">
    <w:abstractNumId w:val="19"/>
  </w:num>
  <w:num w:numId="9" w16cid:durableId="364251934">
    <w:abstractNumId w:val="14"/>
  </w:num>
  <w:num w:numId="10" w16cid:durableId="2146308105">
    <w:abstractNumId w:val="0"/>
  </w:num>
  <w:num w:numId="11" w16cid:durableId="1585262248">
    <w:abstractNumId w:val="9"/>
  </w:num>
  <w:num w:numId="12" w16cid:durableId="1392189714">
    <w:abstractNumId w:val="4"/>
  </w:num>
  <w:num w:numId="13" w16cid:durableId="834150684">
    <w:abstractNumId w:val="15"/>
  </w:num>
  <w:num w:numId="14" w16cid:durableId="346441302">
    <w:abstractNumId w:val="18"/>
  </w:num>
  <w:num w:numId="15" w16cid:durableId="1958216076">
    <w:abstractNumId w:val="21"/>
  </w:num>
  <w:num w:numId="16" w16cid:durableId="378092190">
    <w:abstractNumId w:val="16"/>
  </w:num>
  <w:num w:numId="17" w16cid:durableId="1396320511">
    <w:abstractNumId w:val="25"/>
  </w:num>
  <w:num w:numId="18" w16cid:durableId="1699813358">
    <w:abstractNumId w:val="20"/>
  </w:num>
  <w:num w:numId="19" w16cid:durableId="1250575678">
    <w:abstractNumId w:val="11"/>
  </w:num>
  <w:num w:numId="20" w16cid:durableId="652872047">
    <w:abstractNumId w:val="22"/>
  </w:num>
  <w:num w:numId="21" w16cid:durableId="560752161">
    <w:abstractNumId w:val="2"/>
  </w:num>
  <w:num w:numId="22" w16cid:durableId="436099843">
    <w:abstractNumId w:val="23"/>
  </w:num>
  <w:num w:numId="23" w16cid:durableId="1598251365">
    <w:abstractNumId w:val="10"/>
  </w:num>
  <w:num w:numId="24" w16cid:durableId="654115044">
    <w:abstractNumId w:val="5"/>
  </w:num>
  <w:num w:numId="25" w16cid:durableId="1417286437">
    <w:abstractNumId w:val="13"/>
  </w:num>
  <w:num w:numId="26" w16cid:durableId="961495147">
    <w:abstractNumId w:val="8"/>
  </w:num>
  <w:num w:numId="27" w16cid:durableId="1279370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5951"/>
    <w:rsid w:val="00033845"/>
    <w:rsid w:val="00040466"/>
    <w:rsid w:val="00042519"/>
    <w:rsid w:val="000454EA"/>
    <w:rsid w:val="00054B24"/>
    <w:rsid w:val="00055300"/>
    <w:rsid w:val="00056042"/>
    <w:rsid w:val="00067787"/>
    <w:rsid w:val="00075F11"/>
    <w:rsid w:val="00076A56"/>
    <w:rsid w:val="00081D79"/>
    <w:rsid w:val="000A2A48"/>
    <w:rsid w:val="000A65B1"/>
    <w:rsid w:val="000B3FD4"/>
    <w:rsid w:val="000F6D16"/>
    <w:rsid w:val="00101C5D"/>
    <w:rsid w:val="001137E3"/>
    <w:rsid w:val="0013011C"/>
    <w:rsid w:val="00146E12"/>
    <w:rsid w:val="001646D9"/>
    <w:rsid w:val="00174F20"/>
    <w:rsid w:val="00183FBE"/>
    <w:rsid w:val="00196D0F"/>
    <w:rsid w:val="001A2431"/>
    <w:rsid w:val="001B1B72"/>
    <w:rsid w:val="001F7AA6"/>
    <w:rsid w:val="0020797E"/>
    <w:rsid w:val="002356B2"/>
    <w:rsid w:val="002549E7"/>
    <w:rsid w:val="00262EF8"/>
    <w:rsid w:val="002865A7"/>
    <w:rsid w:val="00287324"/>
    <w:rsid w:val="0029674A"/>
    <w:rsid w:val="002A6835"/>
    <w:rsid w:val="002A70B3"/>
    <w:rsid w:val="002D4C8A"/>
    <w:rsid w:val="002E06B4"/>
    <w:rsid w:val="002E5897"/>
    <w:rsid w:val="002F2773"/>
    <w:rsid w:val="00307635"/>
    <w:rsid w:val="0032095C"/>
    <w:rsid w:val="00322A09"/>
    <w:rsid w:val="00343791"/>
    <w:rsid w:val="00355821"/>
    <w:rsid w:val="003575A4"/>
    <w:rsid w:val="003610E0"/>
    <w:rsid w:val="00372F40"/>
    <w:rsid w:val="00380130"/>
    <w:rsid w:val="00387A2B"/>
    <w:rsid w:val="003A6522"/>
    <w:rsid w:val="003B028F"/>
    <w:rsid w:val="003D0D78"/>
    <w:rsid w:val="003D5DBF"/>
    <w:rsid w:val="003E7FD0"/>
    <w:rsid w:val="003F05C2"/>
    <w:rsid w:val="004137E3"/>
    <w:rsid w:val="0044253C"/>
    <w:rsid w:val="00443075"/>
    <w:rsid w:val="00486AE1"/>
    <w:rsid w:val="00497D8B"/>
    <w:rsid w:val="004D0129"/>
    <w:rsid w:val="004D41B8"/>
    <w:rsid w:val="00502D8E"/>
    <w:rsid w:val="005117F4"/>
    <w:rsid w:val="00522632"/>
    <w:rsid w:val="00531310"/>
    <w:rsid w:val="00534982"/>
    <w:rsid w:val="00537B1A"/>
    <w:rsid w:val="00540418"/>
    <w:rsid w:val="00542EA6"/>
    <w:rsid w:val="00582405"/>
    <w:rsid w:val="005840B5"/>
    <w:rsid w:val="005852BC"/>
    <w:rsid w:val="005859FA"/>
    <w:rsid w:val="00597742"/>
    <w:rsid w:val="005D75D1"/>
    <w:rsid w:val="005E2EB5"/>
    <w:rsid w:val="005F103E"/>
    <w:rsid w:val="005F7589"/>
    <w:rsid w:val="006048D2"/>
    <w:rsid w:val="00611E39"/>
    <w:rsid w:val="00623300"/>
    <w:rsid w:val="006458E9"/>
    <w:rsid w:val="006A4F83"/>
    <w:rsid w:val="006B729B"/>
    <w:rsid w:val="006D291A"/>
    <w:rsid w:val="006E1FB7"/>
    <w:rsid w:val="006E6B8E"/>
    <w:rsid w:val="006E77DD"/>
    <w:rsid w:val="00731430"/>
    <w:rsid w:val="00742E35"/>
    <w:rsid w:val="00746D9B"/>
    <w:rsid w:val="0075717E"/>
    <w:rsid w:val="007675DF"/>
    <w:rsid w:val="0079582C"/>
    <w:rsid w:val="007C3C68"/>
    <w:rsid w:val="007D1E43"/>
    <w:rsid w:val="007D6E9A"/>
    <w:rsid w:val="007F4838"/>
    <w:rsid w:val="0082753C"/>
    <w:rsid w:val="0082761D"/>
    <w:rsid w:val="0082781F"/>
    <w:rsid w:val="00850E90"/>
    <w:rsid w:val="00891E2E"/>
    <w:rsid w:val="00897D42"/>
    <w:rsid w:val="00897F46"/>
    <w:rsid w:val="008A6E4D"/>
    <w:rsid w:val="008B0017"/>
    <w:rsid w:val="008B6826"/>
    <w:rsid w:val="008C5774"/>
    <w:rsid w:val="008C5A3B"/>
    <w:rsid w:val="008D4122"/>
    <w:rsid w:val="008D4272"/>
    <w:rsid w:val="008E3652"/>
    <w:rsid w:val="008F204E"/>
    <w:rsid w:val="00911EF6"/>
    <w:rsid w:val="00965EFE"/>
    <w:rsid w:val="009E16FC"/>
    <w:rsid w:val="009E5258"/>
    <w:rsid w:val="009F62E7"/>
    <w:rsid w:val="00A14B74"/>
    <w:rsid w:val="00A516D8"/>
    <w:rsid w:val="00A71207"/>
    <w:rsid w:val="00A8165C"/>
    <w:rsid w:val="00AB13B7"/>
    <w:rsid w:val="00AC1FDF"/>
    <w:rsid w:val="00AC7243"/>
    <w:rsid w:val="00AD70F5"/>
    <w:rsid w:val="00AD791F"/>
    <w:rsid w:val="00AE59F4"/>
    <w:rsid w:val="00AE642C"/>
    <w:rsid w:val="00B166A9"/>
    <w:rsid w:val="00B17423"/>
    <w:rsid w:val="00B372A2"/>
    <w:rsid w:val="00B42A02"/>
    <w:rsid w:val="00B43C7F"/>
    <w:rsid w:val="00B56B2B"/>
    <w:rsid w:val="00B716BE"/>
    <w:rsid w:val="00B844F0"/>
    <w:rsid w:val="00B849EE"/>
    <w:rsid w:val="00B96907"/>
    <w:rsid w:val="00BD6A5B"/>
    <w:rsid w:val="00BF28A4"/>
    <w:rsid w:val="00C13551"/>
    <w:rsid w:val="00C33401"/>
    <w:rsid w:val="00C419B3"/>
    <w:rsid w:val="00C43968"/>
    <w:rsid w:val="00C44F01"/>
    <w:rsid w:val="00C762B8"/>
    <w:rsid w:val="00C85A3B"/>
    <w:rsid w:val="00C93559"/>
    <w:rsid w:val="00CA09E5"/>
    <w:rsid w:val="00CA2D37"/>
    <w:rsid w:val="00CA7EAA"/>
    <w:rsid w:val="00CB42AC"/>
    <w:rsid w:val="00CC5CB6"/>
    <w:rsid w:val="00D01254"/>
    <w:rsid w:val="00D02A82"/>
    <w:rsid w:val="00D055EC"/>
    <w:rsid w:val="00D17CAD"/>
    <w:rsid w:val="00D25F34"/>
    <w:rsid w:val="00D404ED"/>
    <w:rsid w:val="00D51261"/>
    <w:rsid w:val="00D5675C"/>
    <w:rsid w:val="00D748D3"/>
    <w:rsid w:val="00D75A56"/>
    <w:rsid w:val="00D848D7"/>
    <w:rsid w:val="00DD230F"/>
    <w:rsid w:val="00DE728C"/>
    <w:rsid w:val="00E001B2"/>
    <w:rsid w:val="00E038C1"/>
    <w:rsid w:val="00E32708"/>
    <w:rsid w:val="00E45FD0"/>
    <w:rsid w:val="00E81959"/>
    <w:rsid w:val="00EA5418"/>
    <w:rsid w:val="00EB215E"/>
    <w:rsid w:val="00EC28F3"/>
    <w:rsid w:val="00ED65D7"/>
    <w:rsid w:val="00F474E9"/>
    <w:rsid w:val="00F745E7"/>
    <w:rsid w:val="00F96944"/>
    <w:rsid w:val="00FA3FB9"/>
    <w:rsid w:val="00FA5247"/>
    <w:rsid w:val="00FB24F8"/>
    <w:rsid w:val="00FD41FC"/>
    <w:rsid w:val="00FD566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FF203"/>
  <w15:docId w15:val="{4035D058-9DAD-4E6C-BE51-25B63B8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3088-0AE1-4DAC-ADD6-6FBE45B0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Oficina Contabilidad</cp:lastModifiedBy>
  <cp:revision>68</cp:revision>
  <cp:lastPrinted>2024-01-08T15:13:00Z</cp:lastPrinted>
  <dcterms:created xsi:type="dcterms:W3CDTF">2014-09-01T14:30:00Z</dcterms:created>
  <dcterms:modified xsi:type="dcterms:W3CDTF">2025-04-02T20:54:00Z</dcterms:modified>
</cp:coreProperties>
</file>